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439F" w14:textId="77777777" w:rsidR="008D39EF" w:rsidRPr="00920D0E" w:rsidRDefault="00A85F79" w:rsidP="008D39EF">
      <w:pPr>
        <w:jc w:val="center"/>
        <w:rPr>
          <w:rFonts w:ascii="黑体" w:eastAsia="黑体" w:hAnsi="黑体" w:cs="Times New Roman"/>
          <w:sz w:val="32"/>
          <w:szCs w:val="44"/>
        </w:rPr>
      </w:pPr>
      <w:r w:rsidRPr="00920D0E">
        <w:rPr>
          <w:rFonts w:ascii="黑体" w:eastAsia="黑体" w:hAnsi="黑体" w:cs="Times New Roman" w:hint="eastAsia"/>
          <w:sz w:val="32"/>
          <w:szCs w:val="44"/>
        </w:rPr>
        <w:t>东方</w:t>
      </w:r>
      <w:r w:rsidRPr="00920D0E">
        <w:rPr>
          <w:rFonts w:ascii="黑体" w:eastAsia="黑体" w:hAnsi="黑体" w:cs="Times New Roman"/>
          <w:sz w:val="32"/>
          <w:szCs w:val="44"/>
        </w:rPr>
        <w:t>阿尔法精选灵活配置混合型发起式证券投资</w:t>
      </w:r>
      <w:r w:rsidR="00322DFB" w:rsidRPr="00920D0E">
        <w:rPr>
          <w:rFonts w:ascii="黑体" w:eastAsia="黑体" w:hAnsi="黑体" w:cs="Times New Roman"/>
          <w:sz w:val="32"/>
          <w:szCs w:val="44"/>
        </w:rPr>
        <w:t>基金（</w:t>
      </w:r>
      <w:r w:rsidR="00FF479E" w:rsidRPr="00920D0E">
        <w:rPr>
          <w:rFonts w:ascii="黑体" w:eastAsia="黑体" w:hAnsi="黑体" w:cs="Times New Roman"/>
          <w:sz w:val="32"/>
          <w:szCs w:val="44"/>
        </w:rPr>
        <w:t>C</w:t>
      </w:r>
      <w:r w:rsidR="00AF4C00" w:rsidRPr="00920D0E">
        <w:rPr>
          <w:rFonts w:ascii="黑体" w:eastAsia="黑体" w:hAnsi="黑体" w:cs="Times New Roman"/>
          <w:sz w:val="32"/>
          <w:szCs w:val="44"/>
        </w:rPr>
        <w:t>类</w:t>
      </w:r>
      <w:r w:rsidR="00322DFB" w:rsidRPr="00920D0E">
        <w:rPr>
          <w:rFonts w:ascii="黑体" w:eastAsia="黑体" w:hAnsi="黑体" w:cs="Times New Roman"/>
          <w:sz w:val="32"/>
          <w:szCs w:val="44"/>
        </w:rPr>
        <w:t>份额）</w:t>
      </w:r>
    </w:p>
    <w:p w14:paraId="29AC007B" w14:textId="77777777" w:rsidR="009C6ABD" w:rsidRPr="00920D0E" w:rsidRDefault="00322DFB" w:rsidP="008D39EF">
      <w:pPr>
        <w:jc w:val="center"/>
        <w:rPr>
          <w:rFonts w:ascii="黑体" w:eastAsia="黑体" w:hAnsi="黑体" w:cs="Times New Roman"/>
          <w:sz w:val="32"/>
          <w:szCs w:val="44"/>
        </w:rPr>
      </w:pPr>
      <w:r w:rsidRPr="00920D0E">
        <w:rPr>
          <w:rFonts w:ascii="黑体" w:eastAsia="黑体" w:hAnsi="黑体" w:cs="Times New Roman"/>
          <w:sz w:val="32"/>
          <w:szCs w:val="44"/>
        </w:rPr>
        <w:t>基金产品资料概要</w:t>
      </w:r>
      <w:r w:rsidR="00701050" w:rsidRPr="00701050">
        <w:rPr>
          <w:rFonts w:ascii="黑体" w:eastAsia="黑体" w:hAnsi="黑体" w:cs="Times New Roman" w:hint="eastAsia"/>
          <w:sz w:val="32"/>
          <w:szCs w:val="44"/>
        </w:rPr>
        <w:t>更新</w:t>
      </w:r>
    </w:p>
    <w:p w14:paraId="469B40BB" w14:textId="1DAE687B" w:rsidR="001A6B72" w:rsidRPr="00920D0E" w:rsidRDefault="00322DFB" w:rsidP="009C6ABD">
      <w:pPr>
        <w:spacing w:afterLines="50" w:after="156"/>
        <w:jc w:val="right"/>
        <w:rPr>
          <w:rFonts w:asciiTheme="minorEastAsia" w:hAnsiTheme="minorEastAsia"/>
        </w:rPr>
      </w:pPr>
      <w:r w:rsidRPr="00920D0E">
        <w:rPr>
          <w:rFonts w:asciiTheme="minorEastAsia" w:hAnsiTheme="minorEastAsia" w:hint="eastAsia"/>
        </w:rPr>
        <w:t>编制日期：</w:t>
      </w:r>
      <w:r w:rsidR="00A85F79" w:rsidRPr="00920D0E">
        <w:rPr>
          <w:rFonts w:asciiTheme="minorEastAsia" w:hAnsiTheme="minorEastAsia"/>
        </w:rPr>
        <w:t>2020</w:t>
      </w:r>
      <w:r w:rsidRPr="00920D0E">
        <w:rPr>
          <w:rFonts w:asciiTheme="minorEastAsia" w:hAnsiTheme="minorEastAsia" w:hint="eastAsia"/>
        </w:rPr>
        <w:t>年</w:t>
      </w:r>
      <w:r w:rsidR="004D419D">
        <w:rPr>
          <w:rFonts w:asciiTheme="minorEastAsia" w:hAnsiTheme="minorEastAsia" w:hint="eastAsia"/>
        </w:rPr>
        <w:t>1</w:t>
      </w:r>
      <w:r w:rsidR="004D419D">
        <w:rPr>
          <w:rFonts w:asciiTheme="minorEastAsia" w:hAnsiTheme="minorEastAsia"/>
        </w:rPr>
        <w:t>2</w:t>
      </w:r>
      <w:r w:rsidRPr="00920D0E">
        <w:rPr>
          <w:rFonts w:asciiTheme="minorEastAsia" w:hAnsiTheme="minorEastAsia" w:hint="eastAsia"/>
        </w:rPr>
        <w:t>月</w:t>
      </w:r>
      <w:r w:rsidR="00F13169">
        <w:rPr>
          <w:rFonts w:asciiTheme="minorEastAsia" w:hAnsiTheme="minorEastAsia"/>
        </w:rPr>
        <w:t>28</w:t>
      </w:r>
      <w:r w:rsidRPr="00920D0E">
        <w:rPr>
          <w:rFonts w:asciiTheme="minorEastAsia" w:hAnsiTheme="minorEastAsia"/>
        </w:rPr>
        <w:t>日</w:t>
      </w:r>
    </w:p>
    <w:p w14:paraId="4D0F1BCD" w14:textId="1C051D5D" w:rsidR="008D39EF" w:rsidRPr="00920D0E" w:rsidRDefault="008D39EF" w:rsidP="008D39EF">
      <w:pPr>
        <w:spacing w:afterLines="50" w:after="156"/>
        <w:ind w:right="420"/>
        <w:jc w:val="center"/>
        <w:rPr>
          <w:rFonts w:asciiTheme="minorEastAsia" w:hAnsiTheme="minorEastAsia"/>
        </w:rPr>
      </w:pPr>
      <w:r w:rsidRPr="00920D0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44D742C9" wp14:editId="1129FD5A">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86481AF" w14:textId="77777777"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CFE87A" w14:textId="77777777" w:rsidR="001A6B72" w:rsidRPr="008D39EF" w:rsidRDefault="00BA4E5C" w:rsidP="00D248D0">
                            <w:pPr>
                              <w:jc w:val="distribute"/>
                              <w:rPr>
                                <w:rFonts w:asciiTheme="minorEastAsia" w:hAnsiTheme="minorEastAsia"/>
                                <w:b/>
                                <w:sz w:val="28"/>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411B88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920D0E">
        <w:rPr>
          <w:rFonts w:asciiTheme="minorEastAsia" w:hAnsiTheme="minorEastAsia"/>
        </w:rPr>
        <w:t>送出日期</w:t>
      </w:r>
      <w:r w:rsidRPr="00920D0E">
        <w:rPr>
          <w:rFonts w:asciiTheme="minorEastAsia" w:hAnsiTheme="minorEastAsia" w:hint="eastAsia"/>
        </w:rPr>
        <w:t>：</w:t>
      </w:r>
      <w:r w:rsidRPr="00920D0E">
        <w:rPr>
          <w:rFonts w:asciiTheme="minorEastAsia" w:hAnsiTheme="minorEastAsia"/>
        </w:rPr>
        <w:t>2020年</w:t>
      </w:r>
      <w:r w:rsidR="004D419D">
        <w:rPr>
          <w:rFonts w:asciiTheme="minorEastAsia" w:hAnsiTheme="minorEastAsia"/>
        </w:rPr>
        <w:t>12</w:t>
      </w:r>
      <w:r w:rsidRPr="00920D0E">
        <w:rPr>
          <w:rFonts w:asciiTheme="minorEastAsia" w:hAnsiTheme="minorEastAsia"/>
        </w:rPr>
        <w:t>月</w:t>
      </w:r>
      <w:r w:rsidR="007D640D">
        <w:rPr>
          <w:rFonts w:asciiTheme="minorEastAsia" w:hAnsiTheme="minorEastAsia"/>
        </w:rPr>
        <w:t>29</w:t>
      </w:r>
      <w:r w:rsidRPr="00920D0E">
        <w:rPr>
          <w:rFonts w:asciiTheme="minorEastAsia" w:hAnsiTheme="minorEastAsia"/>
        </w:rPr>
        <w:t>日</w:t>
      </w:r>
    </w:p>
    <w:p w14:paraId="57AA6774" w14:textId="77777777" w:rsidR="008D39EF" w:rsidRPr="00920D0E" w:rsidRDefault="008D39EF" w:rsidP="009C6ABD">
      <w:pPr>
        <w:spacing w:afterLines="50" w:after="156"/>
        <w:jc w:val="right"/>
        <w:rPr>
          <w:rFonts w:ascii="华文仿宋" w:eastAsia="华文仿宋" w:hAnsi="华文仿宋"/>
        </w:rPr>
      </w:pPr>
    </w:p>
    <w:p w14:paraId="3F4FC121" w14:textId="77777777" w:rsidR="008D39EF" w:rsidRPr="00920D0E" w:rsidRDefault="008D39EF" w:rsidP="008D39EF">
      <w:pPr>
        <w:spacing w:afterLines="50" w:after="156"/>
        <w:ind w:right="840"/>
      </w:pPr>
    </w:p>
    <w:p w14:paraId="71B0EFB8" w14:textId="77777777" w:rsidR="00322DFB" w:rsidRPr="00920D0E" w:rsidRDefault="00074340" w:rsidP="00074340">
      <w:pPr>
        <w:rPr>
          <w:rStyle w:val="a7"/>
          <w:rFonts w:asciiTheme="minorEastAsia" w:hAnsiTheme="minorEastAsia"/>
          <w:b/>
          <w:i w:val="0"/>
          <w:color w:val="auto"/>
          <w:szCs w:val="21"/>
        </w:rPr>
      </w:pPr>
      <w:r w:rsidRPr="00920D0E">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DB42CA" w:rsidRPr="00920D0E" w14:paraId="288FDD12" w14:textId="77777777" w:rsidTr="00586A70">
        <w:trPr>
          <w:trHeight w:val="20"/>
        </w:trPr>
        <w:tc>
          <w:tcPr>
            <w:tcW w:w="1985" w:type="dxa"/>
          </w:tcPr>
          <w:p w14:paraId="2BE952CB"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基金简称</w:t>
            </w:r>
          </w:p>
        </w:tc>
        <w:tc>
          <w:tcPr>
            <w:tcW w:w="2977" w:type="dxa"/>
          </w:tcPr>
          <w:p w14:paraId="3119ED6B" w14:textId="77777777" w:rsidR="00AF4C00" w:rsidRPr="00920D0E" w:rsidRDefault="00AF4C00" w:rsidP="00AF4C00">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w:t>
            </w:r>
          </w:p>
        </w:tc>
        <w:tc>
          <w:tcPr>
            <w:tcW w:w="2551" w:type="dxa"/>
          </w:tcPr>
          <w:p w14:paraId="4AB5FA23"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w:t>
            </w:r>
            <w:r w:rsidR="006F7DC8" w:rsidRPr="00920D0E">
              <w:rPr>
                <w:rFonts w:asciiTheme="minorEastAsia" w:hAnsiTheme="minorEastAsia" w:hint="eastAsia"/>
                <w:b/>
                <w:szCs w:val="21"/>
              </w:rPr>
              <w:t>主</w:t>
            </w:r>
            <w:r w:rsidRPr="00920D0E">
              <w:rPr>
                <w:rFonts w:asciiTheme="minorEastAsia" w:hAnsiTheme="minorEastAsia" w:hint="eastAsia"/>
                <w:b/>
                <w:szCs w:val="21"/>
              </w:rPr>
              <w:t>代码</w:t>
            </w:r>
          </w:p>
        </w:tc>
        <w:tc>
          <w:tcPr>
            <w:tcW w:w="2410" w:type="dxa"/>
            <w:gridSpan w:val="2"/>
          </w:tcPr>
          <w:p w14:paraId="4249E981" w14:textId="77777777" w:rsidR="00AF4C00" w:rsidRPr="00920D0E" w:rsidRDefault="00D31834">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005358</w:t>
            </w:r>
          </w:p>
        </w:tc>
      </w:tr>
      <w:tr w:rsidR="00DB42CA" w:rsidRPr="00920D0E" w14:paraId="7C41CDF2" w14:textId="77777777" w:rsidTr="00586A70">
        <w:trPr>
          <w:trHeight w:val="20"/>
        </w:trPr>
        <w:tc>
          <w:tcPr>
            <w:tcW w:w="1985" w:type="dxa"/>
          </w:tcPr>
          <w:p w14:paraId="3220C1E6"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基金简称</w:t>
            </w:r>
          </w:p>
        </w:tc>
        <w:tc>
          <w:tcPr>
            <w:tcW w:w="2977" w:type="dxa"/>
          </w:tcPr>
          <w:p w14:paraId="2DBB5D89"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东方阿尔法精选混合C</w:t>
            </w:r>
          </w:p>
        </w:tc>
        <w:tc>
          <w:tcPr>
            <w:tcW w:w="2551" w:type="dxa"/>
          </w:tcPr>
          <w:p w14:paraId="08002777"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基金的基金代码</w:t>
            </w:r>
          </w:p>
        </w:tc>
        <w:tc>
          <w:tcPr>
            <w:tcW w:w="2410" w:type="dxa"/>
            <w:gridSpan w:val="2"/>
          </w:tcPr>
          <w:p w14:paraId="08F6B9C7" w14:textId="77777777" w:rsidR="00CD53C6" w:rsidRPr="00920D0E" w:rsidDel="00D31834"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005359</w:t>
            </w:r>
          </w:p>
        </w:tc>
      </w:tr>
      <w:tr w:rsidR="00DB42CA" w:rsidRPr="00920D0E" w14:paraId="0F2011D7" w14:textId="77777777" w:rsidTr="00586A70">
        <w:trPr>
          <w:trHeight w:val="20"/>
        </w:trPr>
        <w:tc>
          <w:tcPr>
            <w:tcW w:w="1985" w:type="dxa"/>
          </w:tcPr>
          <w:p w14:paraId="0386C823"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基金管理人</w:t>
            </w:r>
          </w:p>
        </w:tc>
        <w:tc>
          <w:tcPr>
            <w:tcW w:w="2977" w:type="dxa"/>
            <w:tcBorders>
              <w:bottom w:val="single" w:sz="4" w:space="0" w:color="auto"/>
            </w:tcBorders>
          </w:tcPr>
          <w:p w14:paraId="64B886B5"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东方阿尔法基金管理有限公司</w:t>
            </w:r>
          </w:p>
        </w:tc>
        <w:tc>
          <w:tcPr>
            <w:tcW w:w="2551" w:type="dxa"/>
            <w:tcBorders>
              <w:bottom w:val="single" w:sz="4" w:space="0" w:color="auto"/>
            </w:tcBorders>
          </w:tcPr>
          <w:p w14:paraId="1614BD1A"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基金托管人</w:t>
            </w:r>
          </w:p>
        </w:tc>
        <w:tc>
          <w:tcPr>
            <w:tcW w:w="2410" w:type="dxa"/>
            <w:gridSpan w:val="2"/>
            <w:tcBorders>
              <w:bottom w:val="single" w:sz="4" w:space="0" w:color="auto"/>
            </w:tcBorders>
          </w:tcPr>
          <w:p w14:paraId="34A73EC6"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招商银行股份有限公司</w:t>
            </w:r>
          </w:p>
        </w:tc>
      </w:tr>
      <w:tr w:rsidR="00DB42CA" w:rsidRPr="00920D0E" w14:paraId="53ECB1CE" w14:textId="77777777" w:rsidTr="00586A70">
        <w:trPr>
          <w:trHeight w:val="20"/>
        </w:trPr>
        <w:tc>
          <w:tcPr>
            <w:tcW w:w="1985" w:type="dxa"/>
          </w:tcPr>
          <w:p w14:paraId="5C592BC3"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基金合同生效日</w:t>
            </w:r>
          </w:p>
        </w:tc>
        <w:tc>
          <w:tcPr>
            <w:tcW w:w="2977" w:type="dxa"/>
            <w:tcBorders>
              <w:right w:val="nil"/>
            </w:tcBorders>
          </w:tcPr>
          <w:p w14:paraId="63F0BCB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2018年2月8日</w:t>
            </w:r>
          </w:p>
        </w:tc>
        <w:tc>
          <w:tcPr>
            <w:tcW w:w="2558" w:type="dxa"/>
            <w:gridSpan w:val="2"/>
            <w:tcBorders>
              <w:left w:val="nil"/>
              <w:right w:val="nil"/>
            </w:tcBorders>
          </w:tcPr>
          <w:p w14:paraId="2583BEE0"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b/>
                <w:szCs w:val="21"/>
              </w:rPr>
              <w:t>上市交易所及上市日期</w:t>
            </w:r>
          </w:p>
        </w:tc>
        <w:tc>
          <w:tcPr>
            <w:tcW w:w="2403" w:type="dxa"/>
            <w:tcBorders>
              <w:left w:val="nil"/>
            </w:tcBorders>
          </w:tcPr>
          <w:p w14:paraId="4A3E526B"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暂未上市</w:t>
            </w:r>
          </w:p>
        </w:tc>
      </w:tr>
      <w:tr w:rsidR="00DB42CA" w:rsidRPr="00920D0E" w14:paraId="332B4723" w14:textId="77777777" w:rsidTr="00586A70">
        <w:trPr>
          <w:trHeight w:val="20"/>
        </w:trPr>
        <w:tc>
          <w:tcPr>
            <w:tcW w:w="1985" w:type="dxa"/>
          </w:tcPr>
          <w:p w14:paraId="3A6E0AFF"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基金类型</w:t>
            </w:r>
          </w:p>
        </w:tc>
        <w:tc>
          <w:tcPr>
            <w:tcW w:w="2977" w:type="dxa"/>
            <w:tcBorders>
              <w:right w:val="nil"/>
            </w:tcBorders>
          </w:tcPr>
          <w:p w14:paraId="2AA8A657"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混合型</w:t>
            </w:r>
          </w:p>
        </w:tc>
        <w:tc>
          <w:tcPr>
            <w:tcW w:w="2551" w:type="dxa"/>
            <w:tcBorders>
              <w:left w:val="nil"/>
              <w:right w:val="nil"/>
            </w:tcBorders>
          </w:tcPr>
          <w:p w14:paraId="230218F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交易币种</w:t>
            </w:r>
          </w:p>
        </w:tc>
        <w:tc>
          <w:tcPr>
            <w:tcW w:w="2410" w:type="dxa"/>
            <w:gridSpan w:val="2"/>
            <w:tcBorders>
              <w:left w:val="nil"/>
            </w:tcBorders>
          </w:tcPr>
          <w:p w14:paraId="2283BE6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人民币</w:t>
            </w:r>
          </w:p>
        </w:tc>
      </w:tr>
      <w:tr w:rsidR="00DB42CA" w:rsidRPr="00920D0E" w14:paraId="005A880F" w14:textId="77777777" w:rsidTr="00586A70">
        <w:trPr>
          <w:trHeight w:val="20"/>
        </w:trPr>
        <w:tc>
          <w:tcPr>
            <w:tcW w:w="1985" w:type="dxa"/>
          </w:tcPr>
          <w:p w14:paraId="1E54D086"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运作方式</w:t>
            </w:r>
          </w:p>
        </w:tc>
        <w:tc>
          <w:tcPr>
            <w:tcW w:w="2977" w:type="dxa"/>
          </w:tcPr>
          <w:p w14:paraId="36D0711C"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普通开放式</w:t>
            </w:r>
          </w:p>
        </w:tc>
        <w:tc>
          <w:tcPr>
            <w:tcW w:w="2551" w:type="dxa"/>
          </w:tcPr>
          <w:p w14:paraId="758FFD2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开放频率</w:t>
            </w:r>
          </w:p>
        </w:tc>
        <w:tc>
          <w:tcPr>
            <w:tcW w:w="2410" w:type="dxa"/>
            <w:gridSpan w:val="2"/>
          </w:tcPr>
          <w:p w14:paraId="2FEF09DF"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每个开放日</w:t>
            </w:r>
          </w:p>
        </w:tc>
      </w:tr>
      <w:tr w:rsidR="00DB42CA" w:rsidRPr="00920D0E" w14:paraId="25CED114" w14:textId="77777777" w:rsidTr="00586A70">
        <w:trPr>
          <w:trHeight w:val="20"/>
        </w:trPr>
        <w:tc>
          <w:tcPr>
            <w:tcW w:w="1985" w:type="dxa"/>
            <w:vMerge w:val="restart"/>
            <w:vAlign w:val="center"/>
          </w:tcPr>
          <w:p w14:paraId="2C2244F9" w14:textId="77777777" w:rsidR="00586A70" w:rsidRPr="00920D0E" w:rsidRDefault="00586A70" w:rsidP="00586A70">
            <w:pPr>
              <w:pStyle w:val="a5"/>
              <w:spacing w:line="360" w:lineRule="exact"/>
              <w:ind w:firstLineChars="0" w:firstLine="0"/>
              <w:jc w:val="left"/>
              <w:rPr>
                <w:rFonts w:asciiTheme="minorEastAsia" w:hAnsiTheme="minorEastAsia"/>
                <w:b/>
                <w:szCs w:val="21"/>
              </w:rPr>
            </w:pPr>
            <w:r w:rsidRPr="00920D0E">
              <w:rPr>
                <w:rFonts w:asciiTheme="minorEastAsia" w:hAnsiTheme="minorEastAsia" w:hint="eastAsia"/>
                <w:b/>
                <w:szCs w:val="21"/>
              </w:rPr>
              <w:t>基金经理</w:t>
            </w:r>
          </w:p>
        </w:tc>
        <w:tc>
          <w:tcPr>
            <w:tcW w:w="2977" w:type="dxa"/>
            <w:vMerge w:val="restart"/>
            <w:vAlign w:val="center"/>
          </w:tcPr>
          <w:p w14:paraId="39BCCDAA" w14:textId="77777777" w:rsidR="00586A70" w:rsidRPr="00920D0E" w:rsidRDefault="00586A70" w:rsidP="00586A70">
            <w:pPr>
              <w:pStyle w:val="a5"/>
              <w:spacing w:line="360" w:lineRule="exact"/>
              <w:ind w:firstLineChars="0" w:firstLine="0"/>
              <w:jc w:val="left"/>
              <w:rPr>
                <w:rFonts w:asciiTheme="minorEastAsia" w:hAnsiTheme="minorEastAsia"/>
                <w:szCs w:val="21"/>
              </w:rPr>
            </w:pPr>
            <w:r w:rsidRPr="00920D0E">
              <w:rPr>
                <w:rFonts w:asciiTheme="minorEastAsia" w:hAnsiTheme="minorEastAsia"/>
                <w:szCs w:val="21"/>
              </w:rPr>
              <w:t>刘明</w:t>
            </w:r>
          </w:p>
        </w:tc>
        <w:tc>
          <w:tcPr>
            <w:tcW w:w="2551" w:type="dxa"/>
          </w:tcPr>
          <w:p w14:paraId="1B2AC661"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开始担任本基金基金经理的日期</w:t>
            </w:r>
          </w:p>
        </w:tc>
        <w:tc>
          <w:tcPr>
            <w:tcW w:w="2410" w:type="dxa"/>
            <w:gridSpan w:val="2"/>
          </w:tcPr>
          <w:p w14:paraId="530945F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2018-02-08</w:t>
            </w:r>
          </w:p>
        </w:tc>
      </w:tr>
      <w:tr w:rsidR="00DB42CA" w:rsidRPr="00920D0E" w14:paraId="41011C57" w14:textId="77777777" w:rsidTr="00586A70">
        <w:trPr>
          <w:trHeight w:val="20"/>
        </w:trPr>
        <w:tc>
          <w:tcPr>
            <w:tcW w:w="1985" w:type="dxa"/>
            <w:vMerge/>
          </w:tcPr>
          <w:p w14:paraId="0A37C1C3"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977" w:type="dxa"/>
            <w:vMerge/>
          </w:tcPr>
          <w:p w14:paraId="181112FC"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551" w:type="dxa"/>
          </w:tcPr>
          <w:p w14:paraId="6212096A"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证券从业日期</w:t>
            </w:r>
          </w:p>
        </w:tc>
        <w:tc>
          <w:tcPr>
            <w:tcW w:w="2410" w:type="dxa"/>
            <w:gridSpan w:val="2"/>
          </w:tcPr>
          <w:p w14:paraId="6900065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1992-10-19</w:t>
            </w:r>
          </w:p>
        </w:tc>
      </w:tr>
    </w:tbl>
    <w:p w14:paraId="62A9076D" w14:textId="77777777" w:rsidR="00BA4E5C" w:rsidRPr="00920D0E" w:rsidRDefault="00BA4E5C" w:rsidP="00074340">
      <w:pPr>
        <w:spacing w:line="340" w:lineRule="exact"/>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：证券从业日期指基金经理首次从事证券行业的时间。本基金基金经理</w:t>
      </w:r>
      <w:r w:rsidRPr="00920D0E">
        <w:rPr>
          <w:rFonts w:asciiTheme="minorEastAsia" w:hAnsiTheme="minorEastAsia"/>
          <w:szCs w:val="21"/>
        </w:rPr>
        <w:t>1996年1月至2004年2月曾就职于厦门产权交易中心，</w:t>
      </w:r>
      <w:r w:rsidR="00667DFB" w:rsidRPr="00920D0E">
        <w:rPr>
          <w:rFonts w:asciiTheme="minorEastAsia" w:hAnsiTheme="minorEastAsia"/>
          <w:szCs w:val="21"/>
        </w:rPr>
        <w:t>该段从业经历未计入基金定期报告证券从业年限。</w:t>
      </w:r>
    </w:p>
    <w:p w14:paraId="098EC7ED" w14:textId="77777777" w:rsidR="00667DFB" w:rsidRPr="00920D0E" w:rsidRDefault="00667DFB" w:rsidP="00074340">
      <w:pPr>
        <w:spacing w:line="340" w:lineRule="exact"/>
        <w:rPr>
          <w:rFonts w:asciiTheme="minorEastAsia" w:hAnsiTheme="minorEastAsia"/>
          <w:b/>
          <w:szCs w:val="21"/>
        </w:rPr>
      </w:pPr>
    </w:p>
    <w:p w14:paraId="45989515" w14:textId="77777777" w:rsidR="00322DFB" w:rsidRPr="00920D0E" w:rsidRDefault="00514EF3" w:rsidP="00514EF3">
      <w:pPr>
        <w:spacing w:line="340" w:lineRule="exact"/>
        <w:rPr>
          <w:rFonts w:asciiTheme="minorEastAsia" w:hAnsiTheme="minorEastAsia"/>
          <w:b/>
          <w:szCs w:val="21"/>
        </w:rPr>
      </w:pPr>
      <w:r w:rsidRPr="00920D0E">
        <w:rPr>
          <w:rFonts w:asciiTheme="minorEastAsia" w:hAnsiTheme="minorEastAsia"/>
          <w:b/>
          <w:szCs w:val="21"/>
        </w:rPr>
        <w:t>二</w:t>
      </w:r>
      <w:r w:rsidRPr="00920D0E">
        <w:rPr>
          <w:rFonts w:asciiTheme="minorEastAsia" w:hAnsiTheme="minorEastAsia" w:hint="eastAsia"/>
          <w:b/>
          <w:szCs w:val="21"/>
        </w:rPr>
        <w:t>、</w:t>
      </w:r>
      <w:r w:rsidR="002F33D7" w:rsidRPr="00920D0E">
        <w:rPr>
          <w:rFonts w:asciiTheme="minorEastAsia" w:hAnsiTheme="minorEastAsia" w:hint="eastAsia"/>
          <w:b/>
          <w:szCs w:val="21"/>
        </w:rPr>
        <w:t>基金投资与净值表现</w:t>
      </w:r>
    </w:p>
    <w:p w14:paraId="099C1322" w14:textId="77777777" w:rsidR="00CD53C6" w:rsidRPr="00920D0E" w:rsidRDefault="00D6161D" w:rsidP="00074340">
      <w:pPr>
        <w:spacing w:line="340" w:lineRule="exact"/>
        <w:rPr>
          <w:rFonts w:asciiTheme="minorEastAsia" w:hAnsiTheme="minorEastAsia"/>
          <w:b/>
          <w:szCs w:val="21"/>
        </w:rPr>
      </w:pPr>
      <w:r w:rsidRPr="00920D0E">
        <w:rPr>
          <w:rFonts w:asciiTheme="minorEastAsia" w:hAnsiTheme="minorEastAsia" w:hint="eastAsia"/>
          <w:b/>
          <w:szCs w:val="21"/>
        </w:rPr>
        <w:t>（一）</w:t>
      </w:r>
      <w:r w:rsidR="002F33D7" w:rsidRPr="00920D0E">
        <w:rPr>
          <w:rFonts w:asciiTheme="minorEastAsia" w:hAnsiTheme="minorEastAsia" w:hint="eastAsia"/>
          <w:b/>
          <w:szCs w:val="21"/>
        </w:rPr>
        <w:t>投资目标与投资策略</w:t>
      </w:r>
    </w:p>
    <w:p w14:paraId="4396C449" w14:textId="77777777" w:rsidR="002F33D7" w:rsidRPr="00920D0E" w:rsidRDefault="00CD53C6" w:rsidP="00074340">
      <w:pPr>
        <w:spacing w:line="340" w:lineRule="exact"/>
        <w:contextualSpacing/>
        <w:rPr>
          <w:rFonts w:asciiTheme="minorEastAsia" w:hAnsiTheme="minorEastAsia"/>
          <w:szCs w:val="21"/>
        </w:rPr>
      </w:pPr>
      <w:r w:rsidRPr="00920D0E">
        <w:rPr>
          <w:rFonts w:asciiTheme="minorEastAsia" w:hAnsiTheme="minorEastAsia"/>
          <w:szCs w:val="21"/>
        </w:rPr>
        <w:t>详见</w:t>
      </w:r>
      <w:r w:rsidRPr="00920D0E">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9"/>
        <w:gridCol w:w="7925"/>
      </w:tblGrid>
      <w:tr w:rsidR="00DB42CA" w:rsidRPr="00920D0E" w14:paraId="390558FC" w14:textId="77777777" w:rsidTr="00514EF3">
        <w:tc>
          <w:tcPr>
            <w:tcW w:w="2029" w:type="dxa"/>
          </w:tcPr>
          <w:p w14:paraId="09F5028F"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投资目标</w:t>
            </w:r>
          </w:p>
        </w:tc>
        <w:tc>
          <w:tcPr>
            <w:tcW w:w="8346" w:type="dxa"/>
          </w:tcPr>
          <w:p w14:paraId="176FD9DB"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在严格控制风险的基础之上，通过灵活、主动的投资管理方式力求实现组合资产的稳健增值。</w:t>
            </w:r>
          </w:p>
        </w:tc>
      </w:tr>
      <w:tr w:rsidR="00DB42CA" w:rsidRPr="00920D0E" w14:paraId="15C0A7E2" w14:textId="77777777" w:rsidTr="00514EF3">
        <w:tc>
          <w:tcPr>
            <w:tcW w:w="2029" w:type="dxa"/>
          </w:tcPr>
          <w:p w14:paraId="1D339EC1"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t>投资范围</w:t>
            </w:r>
          </w:p>
        </w:tc>
        <w:tc>
          <w:tcPr>
            <w:tcW w:w="8346" w:type="dxa"/>
          </w:tcPr>
          <w:p w14:paraId="605E1878" w14:textId="5636E067" w:rsidR="00E0755E"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本基金的投资范围为具有良好流动性的金融工具，包括国内依法发行上市的股票（包括主板、中小板、创业板及其他中国证监会</w:t>
            </w:r>
            <w:r w:rsidR="004D419D">
              <w:rPr>
                <w:rFonts w:asciiTheme="minorEastAsia" w:hAnsiTheme="minorEastAsia" w:hint="eastAsia"/>
                <w:bCs/>
                <w:szCs w:val="21"/>
              </w:rPr>
              <w:t>允许基金投资</w:t>
            </w:r>
            <w:r w:rsidRPr="00920D0E">
              <w:rPr>
                <w:rFonts w:asciiTheme="minorEastAsia" w:hAnsiTheme="minorEastAsia" w:hint="eastAsia"/>
                <w:bCs/>
                <w:szCs w:val="21"/>
              </w:rPr>
              <w:t>的股票</w:t>
            </w:r>
            <w:r w:rsidR="004D419D">
              <w:rPr>
                <w:rFonts w:asciiTheme="minorEastAsia" w:hAnsiTheme="minorEastAsia" w:hint="eastAsia"/>
                <w:bCs/>
                <w:szCs w:val="21"/>
              </w:rPr>
              <w:t>、存托凭证</w:t>
            </w:r>
            <w:r w:rsidRPr="00920D0E">
              <w:rPr>
                <w:rFonts w:asciiTheme="minorEastAsia" w:hAnsiTheme="minorEastAsia" w:hint="eastAsia"/>
                <w:bCs/>
                <w:szCs w:val="21"/>
              </w:rPr>
              <w:t>）、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w:t>
            </w:r>
            <w:r w:rsidRPr="00920D0E">
              <w:rPr>
                <w:rFonts w:asciiTheme="minorEastAsia" w:hAnsiTheme="minorEastAsia"/>
                <w:bCs/>
                <w:szCs w:val="21"/>
              </w:rPr>
              <w:t xml:space="preserve"> </w:t>
            </w:r>
            <w:r w:rsidRPr="00920D0E">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4DDA2F1"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基金的投资组合比例为：本基金投资组合中股票资产投资比例为基金资产的</w:t>
            </w:r>
            <w:r w:rsidRPr="00920D0E">
              <w:rPr>
                <w:rFonts w:asciiTheme="minorEastAsia" w:hAnsiTheme="minorEastAsia"/>
                <w:bCs/>
                <w:szCs w:val="21"/>
              </w:rPr>
              <w:t>0%—95%；其中对港股通标的股票（包括沪港</w:t>
            </w:r>
            <w:r w:rsidRPr="00920D0E">
              <w:rPr>
                <w:rFonts w:asciiTheme="minorEastAsia" w:hAnsiTheme="minorEastAsia" w:hint="eastAsia"/>
                <w:bCs/>
                <w:szCs w:val="21"/>
              </w:rPr>
              <w:t>通股票及深港通股票）的投资比例不超过股票资产的</w:t>
            </w:r>
            <w:r w:rsidRPr="00920D0E">
              <w:rPr>
                <w:rFonts w:asciiTheme="minorEastAsia" w:hAnsiTheme="minorEastAsia"/>
                <w:bCs/>
                <w:szCs w:val="21"/>
              </w:rPr>
              <w:t>50%。本基金在任何交易日日终持有的融资买入股票与其他有价证券市值之</w:t>
            </w:r>
            <w:r w:rsidRPr="00920D0E">
              <w:rPr>
                <w:rFonts w:asciiTheme="minorEastAsia" w:hAnsiTheme="minorEastAsia"/>
                <w:bCs/>
                <w:szCs w:val="21"/>
              </w:rPr>
              <w:lastRenderedPageBreak/>
              <w:t>和，不得超过基金资产净值的95%；本基金每个交易日日终在扣除股指期货及国债期货合约</w:t>
            </w:r>
            <w:r w:rsidRPr="00920D0E">
              <w:rPr>
                <w:rFonts w:asciiTheme="minorEastAsia" w:hAnsiTheme="minorEastAsia" w:hint="eastAsia"/>
                <w:bCs/>
                <w:szCs w:val="21"/>
              </w:rPr>
              <w:t>需缴纳的交易保证金后，保持现金或者到期日在一年以内的政府债券投资比例合计不低于基金资产净值的</w:t>
            </w:r>
            <w:r w:rsidRPr="00920D0E">
              <w:rPr>
                <w:rFonts w:asciiTheme="minorEastAsia" w:hAnsiTheme="minorEastAsia"/>
                <w:bCs/>
                <w:szCs w:val="21"/>
              </w:rPr>
              <w:t>5%，其中现金不包括结算备付金、存出保证金、应收申购款等。</w:t>
            </w:r>
          </w:p>
        </w:tc>
      </w:tr>
      <w:tr w:rsidR="00DB42CA" w:rsidRPr="00920D0E" w14:paraId="08CDE239" w14:textId="77777777" w:rsidTr="00514EF3">
        <w:tc>
          <w:tcPr>
            <w:tcW w:w="2029" w:type="dxa"/>
          </w:tcPr>
          <w:p w14:paraId="1AF542A6"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lastRenderedPageBreak/>
              <w:t>主要投资策略</w:t>
            </w:r>
          </w:p>
        </w:tc>
        <w:tc>
          <w:tcPr>
            <w:tcW w:w="8346" w:type="dxa"/>
          </w:tcPr>
          <w:p w14:paraId="4E0AA0F6" w14:textId="689BB8AF" w:rsidR="00514EF3" w:rsidRPr="00920D0E" w:rsidRDefault="002876C1"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F19E2" w:rsidRPr="00920D0E">
              <w:rPr>
                <w:rFonts w:asciiTheme="minorEastAsia" w:hAnsiTheme="minorEastAsia" w:hint="eastAsia"/>
                <w:bCs/>
                <w:szCs w:val="21"/>
              </w:rPr>
              <w:t>恢复</w:t>
            </w:r>
            <w:r w:rsidRPr="00920D0E">
              <w:rPr>
                <w:rFonts w:asciiTheme="minorEastAsia" w:hAnsiTheme="minorEastAsia" w:hint="eastAsia"/>
                <w:bCs/>
                <w:szCs w:val="21"/>
              </w:rPr>
              <w:t>到合理价值的过程中，分享股价提升带来的超额收益。</w:t>
            </w:r>
          </w:p>
        </w:tc>
      </w:tr>
      <w:tr w:rsidR="00DB42CA" w:rsidRPr="00920D0E" w14:paraId="13D4E572" w14:textId="77777777" w:rsidTr="00514EF3">
        <w:tc>
          <w:tcPr>
            <w:tcW w:w="2029" w:type="dxa"/>
          </w:tcPr>
          <w:p w14:paraId="5D6C6AEA"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业绩比较基准</w:t>
            </w:r>
          </w:p>
        </w:tc>
        <w:tc>
          <w:tcPr>
            <w:tcW w:w="8346" w:type="dxa"/>
          </w:tcPr>
          <w:p w14:paraId="234E746B" w14:textId="2AAB591B" w:rsidR="00514EF3" w:rsidRPr="00920D0E" w:rsidRDefault="002876C1" w:rsidP="00514EF3">
            <w:pPr>
              <w:spacing w:line="360" w:lineRule="exact"/>
              <w:rPr>
                <w:rFonts w:asciiTheme="minorEastAsia" w:hAnsiTheme="minorEastAsia"/>
                <w:szCs w:val="21"/>
              </w:rPr>
            </w:pPr>
            <w:r w:rsidRPr="00920D0E">
              <w:rPr>
                <w:rFonts w:asciiTheme="minorEastAsia" w:hAnsiTheme="minorEastAsia" w:hint="eastAsia"/>
                <w:szCs w:val="21"/>
              </w:rPr>
              <w:t>沪深</w:t>
            </w:r>
            <w:r w:rsidRPr="00920D0E">
              <w:rPr>
                <w:rFonts w:asciiTheme="minorEastAsia" w:hAnsiTheme="minorEastAsia"/>
                <w:szCs w:val="21"/>
              </w:rPr>
              <w:t>300指数收益率×40%+中证综合债券指数收益率×40%+恒生指数收益率×20%</w:t>
            </w:r>
          </w:p>
        </w:tc>
      </w:tr>
      <w:tr w:rsidR="00514EF3" w:rsidRPr="00920D0E" w14:paraId="7E3B7320" w14:textId="77777777" w:rsidTr="00514EF3">
        <w:tc>
          <w:tcPr>
            <w:tcW w:w="2029" w:type="dxa"/>
          </w:tcPr>
          <w:p w14:paraId="6972FF35"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风险收益特征</w:t>
            </w:r>
          </w:p>
        </w:tc>
        <w:tc>
          <w:tcPr>
            <w:tcW w:w="8346" w:type="dxa"/>
          </w:tcPr>
          <w:p w14:paraId="7BB58851" w14:textId="04A09AF4" w:rsidR="00514EF3" w:rsidRPr="00920D0E" w:rsidRDefault="002876C1"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本基金为混合型基金，其预期收益和风险高于货币型基金、债券型基金，而低于股票型基金。</w:t>
            </w:r>
            <w:r w:rsidR="004C7F14" w:rsidRPr="00920D0E">
              <w:rPr>
                <w:rFonts w:asciiTheme="minorEastAsia" w:hAnsiTheme="minorEastAsia" w:hint="eastAsia"/>
                <w:bCs/>
                <w:szCs w:val="21"/>
              </w:rPr>
              <w:t>本基金如果投资港股通标的股票，需承担汇率风险以及境外市场的风险。</w:t>
            </w:r>
          </w:p>
        </w:tc>
      </w:tr>
    </w:tbl>
    <w:p w14:paraId="49BC7B73" w14:textId="446EA14D" w:rsidR="00497FFB" w:rsidRPr="00920D0E" w:rsidRDefault="00497FFB" w:rsidP="004C7F14">
      <w:pPr>
        <w:spacing w:line="340" w:lineRule="exact"/>
        <w:contextualSpacing/>
        <w:rPr>
          <w:rFonts w:asciiTheme="minorEastAsia" w:hAnsiTheme="minorEastAsia"/>
          <w:b/>
          <w:szCs w:val="21"/>
        </w:rPr>
      </w:pPr>
    </w:p>
    <w:p w14:paraId="5ED8C91C" w14:textId="3B8E5EBF" w:rsidR="004C7F14"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（二）投资组合资产配置图表</w:t>
      </w:r>
      <w:r w:rsidRPr="00920D0E">
        <w:rPr>
          <w:rFonts w:asciiTheme="minorEastAsia" w:hAnsiTheme="minorEastAsia"/>
          <w:b/>
          <w:szCs w:val="21"/>
        </w:rPr>
        <w:t>/区域配置图表</w:t>
      </w:r>
    </w:p>
    <w:p w14:paraId="3DA82B50" w14:textId="06026593" w:rsidR="004C7F14" w:rsidRPr="00920D0E" w:rsidRDefault="004C7F14"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投资组合资产配置图表</w:t>
      </w:r>
    </w:p>
    <w:p w14:paraId="7792645E" w14:textId="7D50B5B1" w:rsidR="00FF479E" w:rsidRPr="00920D0E" w:rsidRDefault="00DD106B" w:rsidP="004C7F14">
      <w:pPr>
        <w:spacing w:line="340" w:lineRule="exact"/>
        <w:contextualSpacing/>
        <w:jc w:val="center"/>
        <w:rPr>
          <w:rFonts w:asciiTheme="minorEastAsia" w:hAnsiTheme="minorEastAsia"/>
          <w:b/>
          <w:szCs w:val="21"/>
        </w:rPr>
      </w:pPr>
      <w:r>
        <w:rPr>
          <w:rFonts w:asciiTheme="minorEastAsia" w:hAnsiTheme="minorEastAsia"/>
          <w:b/>
          <w:noProof/>
          <w:szCs w:val="21"/>
        </w:rPr>
        <w:drawing>
          <wp:anchor distT="0" distB="0" distL="114300" distR="114300" simplePos="0" relativeHeight="251664384" behindDoc="0" locked="0" layoutInCell="1" allowOverlap="1" wp14:anchorId="7D46C617" wp14:editId="1F0CE77F">
            <wp:simplePos x="0" y="0"/>
            <wp:positionH relativeFrom="margin">
              <wp:posOffset>52895</wp:posOffset>
            </wp:positionH>
            <wp:positionV relativeFrom="paragraph">
              <wp:posOffset>50165</wp:posOffset>
            </wp:positionV>
            <wp:extent cx="5723890" cy="2856865"/>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2856865"/>
                    </a:xfrm>
                    <a:prstGeom prst="rect">
                      <a:avLst/>
                    </a:prstGeom>
                    <a:noFill/>
                  </pic:spPr>
                </pic:pic>
              </a:graphicData>
            </a:graphic>
            <wp14:sizeRelH relativeFrom="page">
              <wp14:pctWidth>0</wp14:pctWidth>
            </wp14:sizeRelH>
            <wp14:sizeRelV relativeFrom="page">
              <wp14:pctHeight>0</wp14:pctHeight>
            </wp14:sizeRelV>
          </wp:anchor>
        </w:drawing>
      </w:r>
    </w:p>
    <w:p w14:paraId="46214EDA" w14:textId="0AF53DCE" w:rsidR="00FF479E" w:rsidRPr="00920D0E" w:rsidRDefault="00FF479E" w:rsidP="004C7F14">
      <w:pPr>
        <w:spacing w:line="340" w:lineRule="exact"/>
        <w:contextualSpacing/>
        <w:jc w:val="center"/>
        <w:rPr>
          <w:rFonts w:asciiTheme="minorEastAsia" w:hAnsiTheme="minorEastAsia"/>
          <w:b/>
          <w:szCs w:val="21"/>
        </w:rPr>
      </w:pPr>
    </w:p>
    <w:p w14:paraId="06DADFD5" w14:textId="77777777" w:rsidR="00FF479E" w:rsidRPr="00920D0E" w:rsidRDefault="00FF479E" w:rsidP="004C7F14">
      <w:pPr>
        <w:spacing w:line="340" w:lineRule="exact"/>
        <w:contextualSpacing/>
        <w:jc w:val="center"/>
        <w:rPr>
          <w:rFonts w:asciiTheme="minorEastAsia" w:hAnsiTheme="minorEastAsia"/>
          <w:b/>
          <w:szCs w:val="21"/>
        </w:rPr>
      </w:pPr>
    </w:p>
    <w:p w14:paraId="15C9B1AB" w14:textId="77777777" w:rsidR="00FF479E" w:rsidRPr="00920D0E" w:rsidRDefault="00FF479E" w:rsidP="004C7F14">
      <w:pPr>
        <w:spacing w:line="340" w:lineRule="exact"/>
        <w:contextualSpacing/>
        <w:jc w:val="center"/>
        <w:rPr>
          <w:rFonts w:asciiTheme="minorEastAsia" w:hAnsiTheme="minorEastAsia"/>
          <w:b/>
          <w:szCs w:val="21"/>
        </w:rPr>
      </w:pPr>
    </w:p>
    <w:p w14:paraId="75B1A4F1" w14:textId="77777777" w:rsidR="00FF479E" w:rsidRPr="00920D0E" w:rsidRDefault="00FF479E" w:rsidP="004C7F14">
      <w:pPr>
        <w:spacing w:line="340" w:lineRule="exact"/>
        <w:contextualSpacing/>
        <w:jc w:val="center"/>
        <w:rPr>
          <w:rFonts w:asciiTheme="minorEastAsia" w:hAnsiTheme="minorEastAsia"/>
          <w:b/>
          <w:szCs w:val="21"/>
        </w:rPr>
      </w:pPr>
    </w:p>
    <w:p w14:paraId="3B1197C1" w14:textId="77777777" w:rsidR="00FF479E" w:rsidRPr="00920D0E" w:rsidRDefault="00FF479E" w:rsidP="004C7F14">
      <w:pPr>
        <w:spacing w:line="340" w:lineRule="exact"/>
        <w:contextualSpacing/>
        <w:jc w:val="center"/>
        <w:rPr>
          <w:rFonts w:asciiTheme="minorEastAsia" w:hAnsiTheme="minorEastAsia"/>
          <w:b/>
          <w:szCs w:val="21"/>
        </w:rPr>
      </w:pPr>
    </w:p>
    <w:p w14:paraId="2CF797AA" w14:textId="77777777" w:rsidR="00FF479E" w:rsidRPr="00920D0E" w:rsidRDefault="00FF479E" w:rsidP="004C7F14">
      <w:pPr>
        <w:spacing w:line="340" w:lineRule="exact"/>
        <w:contextualSpacing/>
        <w:jc w:val="center"/>
        <w:rPr>
          <w:rFonts w:asciiTheme="minorEastAsia" w:hAnsiTheme="minorEastAsia"/>
          <w:b/>
          <w:szCs w:val="21"/>
        </w:rPr>
      </w:pPr>
    </w:p>
    <w:p w14:paraId="3182125A" w14:textId="77777777" w:rsidR="00FF479E" w:rsidRPr="00920D0E" w:rsidRDefault="00FF479E" w:rsidP="004C7F14">
      <w:pPr>
        <w:spacing w:line="340" w:lineRule="exact"/>
        <w:contextualSpacing/>
        <w:jc w:val="center"/>
        <w:rPr>
          <w:rFonts w:asciiTheme="minorEastAsia" w:hAnsiTheme="minorEastAsia"/>
          <w:b/>
          <w:szCs w:val="21"/>
        </w:rPr>
      </w:pPr>
    </w:p>
    <w:p w14:paraId="6606C602" w14:textId="77777777" w:rsidR="00FF479E" w:rsidRPr="00920D0E" w:rsidRDefault="00FF479E" w:rsidP="004C7F14">
      <w:pPr>
        <w:spacing w:line="340" w:lineRule="exact"/>
        <w:contextualSpacing/>
        <w:jc w:val="center"/>
        <w:rPr>
          <w:rFonts w:asciiTheme="minorEastAsia" w:hAnsiTheme="minorEastAsia"/>
          <w:b/>
          <w:szCs w:val="21"/>
        </w:rPr>
      </w:pPr>
    </w:p>
    <w:p w14:paraId="2CE72739" w14:textId="77777777" w:rsidR="00A12F39" w:rsidRPr="00920D0E" w:rsidRDefault="00A12F39" w:rsidP="00D6161D">
      <w:pPr>
        <w:spacing w:line="340" w:lineRule="exact"/>
        <w:contextualSpacing/>
        <w:rPr>
          <w:rFonts w:asciiTheme="minorEastAsia" w:hAnsiTheme="minorEastAsia"/>
          <w:b/>
          <w:szCs w:val="21"/>
        </w:rPr>
      </w:pPr>
    </w:p>
    <w:p w14:paraId="3AD89025" w14:textId="77777777" w:rsidR="00D20757" w:rsidRPr="00920D0E" w:rsidRDefault="00D20757" w:rsidP="00D6161D">
      <w:pPr>
        <w:spacing w:line="340" w:lineRule="exact"/>
        <w:contextualSpacing/>
        <w:rPr>
          <w:rFonts w:asciiTheme="minorEastAsia" w:hAnsiTheme="minorEastAsia"/>
          <w:b/>
          <w:szCs w:val="21"/>
        </w:rPr>
      </w:pPr>
    </w:p>
    <w:p w14:paraId="211EBE80" w14:textId="77777777" w:rsidR="00D20757" w:rsidRPr="00920D0E" w:rsidRDefault="00D20757" w:rsidP="00D6161D">
      <w:pPr>
        <w:spacing w:line="340" w:lineRule="exact"/>
        <w:contextualSpacing/>
        <w:rPr>
          <w:rFonts w:asciiTheme="minorEastAsia" w:hAnsiTheme="minorEastAsia"/>
          <w:b/>
          <w:szCs w:val="21"/>
        </w:rPr>
      </w:pPr>
    </w:p>
    <w:p w14:paraId="337EECEC" w14:textId="77777777" w:rsidR="00D20757" w:rsidRPr="00920D0E" w:rsidRDefault="00D20757" w:rsidP="00D6161D">
      <w:pPr>
        <w:spacing w:line="340" w:lineRule="exact"/>
        <w:contextualSpacing/>
        <w:rPr>
          <w:rFonts w:asciiTheme="minorEastAsia" w:hAnsiTheme="minorEastAsia"/>
          <w:b/>
          <w:szCs w:val="21"/>
        </w:rPr>
      </w:pPr>
    </w:p>
    <w:p w14:paraId="2753EAF5" w14:textId="77777777" w:rsidR="00D20757" w:rsidRPr="00920D0E" w:rsidRDefault="00D20757" w:rsidP="00D6161D">
      <w:pPr>
        <w:spacing w:line="340" w:lineRule="exact"/>
        <w:contextualSpacing/>
        <w:rPr>
          <w:rFonts w:asciiTheme="minorEastAsia" w:hAnsiTheme="minorEastAsia"/>
          <w:b/>
          <w:szCs w:val="21"/>
        </w:rPr>
      </w:pPr>
    </w:p>
    <w:p w14:paraId="59698EF2"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（三）自基金合同生效以来基金每年的净值增长率与同期业绩比较基准的比较图</w:t>
      </w:r>
    </w:p>
    <w:p w14:paraId="419DC0DE" w14:textId="77777777" w:rsidR="004C7F14" w:rsidRPr="00920D0E" w:rsidRDefault="001B3FDC" w:rsidP="004C7F14">
      <w:pPr>
        <w:spacing w:line="340" w:lineRule="exact"/>
        <w:contextualSpacing/>
        <w:jc w:val="center"/>
        <w:rPr>
          <w:rFonts w:asciiTheme="minorEastAsia" w:hAnsiTheme="minorEastAsia"/>
          <w:b/>
          <w:szCs w:val="21"/>
        </w:rPr>
      </w:pPr>
      <w:bookmarkStart w:id="0" w:name="_GoBack"/>
      <w:r>
        <w:rPr>
          <w:noProof/>
        </w:rPr>
        <w:drawing>
          <wp:anchor distT="0" distB="0" distL="114300" distR="114300" simplePos="0" relativeHeight="251663360" behindDoc="0" locked="0" layoutInCell="1" allowOverlap="1" wp14:anchorId="3ACAB649" wp14:editId="297D7C21">
            <wp:simplePos x="0" y="0"/>
            <wp:positionH relativeFrom="column">
              <wp:posOffset>40434</wp:posOffset>
            </wp:positionH>
            <wp:positionV relativeFrom="paragraph">
              <wp:posOffset>8684</wp:posOffset>
            </wp:positionV>
            <wp:extent cx="5640779" cy="293979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7348" cy="2958857"/>
                    </a:xfrm>
                    <a:prstGeom prst="rect">
                      <a:avLst/>
                    </a:prstGeom>
                  </pic:spPr>
                </pic:pic>
              </a:graphicData>
            </a:graphic>
            <wp14:sizeRelH relativeFrom="margin">
              <wp14:pctWidth>0</wp14:pctWidth>
            </wp14:sizeRelH>
            <wp14:sizeRelV relativeFrom="margin">
              <wp14:pctHeight>0</wp14:pctHeight>
            </wp14:sizeRelV>
          </wp:anchor>
        </w:drawing>
      </w:r>
      <w:bookmarkEnd w:id="0"/>
    </w:p>
    <w:p w14:paraId="5BFCCE27" w14:textId="77777777" w:rsidR="00FF479E" w:rsidRPr="00920D0E" w:rsidRDefault="00FF479E" w:rsidP="004C7F14">
      <w:pPr>
        <w:spacing w:line="340" w:lineRule="exact"/>
        <w:contextualSpacing/>
        <w:jc w:val="center"/>
        <w:rPr>
          <w:rFonts w:asciiTheme="minorEastAsia" w:hAnsiTheme="minorEastAsia"/>
          <w:b/>
          <w:szCs w:val="21"/>
        </w:rPr>
      </w:pPr>
    </w:p>
    <w:p w14:paraId="0C7D8F47" w14:textId="77777777" w:rsidR="00FF479E" w:rsidRPr="00920D0E" w:rsidRDefault="00FF479E" w:rsidP="004C7F14">
      <w:pPr>
        <w:spacing w:line="340" w:lineRule="exact"/>
        <w:contextualSpacing/>
        <w:jc w:val="center"/>
        <w:rPr>
          <w:rFonts w:asciiTheme="minorEastAsia" w:hAnsiTheme="minorEastAsia"/>
          <w:b/>
          <w:szCs w:val="21"/>
        </w:rPr>
      </w:pPr>
    </w:p>
    <w:p w14:paraId="47EE59DB" w14:textId="77777777" w:rsidR="00FF479E" w:rsidRPr="00920D0E" w:rsidRDefault="00FF479E" w:rsidP="004C7F14">
      <w:pPr>
        <w:spacing w:line="340" w:lineRule="exact"/>
        <w:contextualSpacing/>
        <w:jc w:val="center"/>
        <w:rPr>
          <w:rFonts w:asciiTheme="minorEastAsia" w:hAnsiTheme="minorEastAsia"/>
          <w:b/>
          <w:szCs w:val="21"/>
        </w:rPr>
      </w:pPr>
    </w:p>
    <w:p w14:paraId="1DF9EFD7" w14:textId="77777777" w:rsidR="00FF479E" w:rsidRPr="00920D0E" w:rsidRDefault="00FF479E" w:rsidP="004C7F14">
      <w:pPr>
        <w:spacing w:line="340" w:lineRule="exact"/>
        <w:contextualSpacing/>
        <w:jc w:val="center"/>
        <w:rPr>
          <w:rFonts w:asciiTheme="minorEastAsia" w:hAnsiTheme="minorEastAsia"/>
          <w:b/>
          <w:szCs w:val="21"/>
        </w:rPr>
      </w:pPr>
    </w:p>
    <w:p w14:paraId="1872D74F" w14:textId="77777777" w:rsidR="00FF479E" w:rsidRPr="00920D0E" w:rsidRDefault="00FF479E" w:rsidP="004C7F14">
      <w:pPr>
        <w:spacing w:line="340" w:lineRule="exact"/>
        <w:contextualSpacing/>
        <w:jc w:val="center"/>
        <w:rPr>
          <w:rFonts w:asciiTheme="minorEastAsia" w:hAnsiTheme="minorEastAsia"/>
          <w:b/>
          <w:szCs w:val="21"/>
        </w:rPr>
      </w:pPr>
    </w:p>
    <w:p w14:paraId="08BAC120" w14:textId="77777777" w:rsidR="00FF479E" w:rsidRPr="00920D0E" w:rsidRDefault="00FF479E" w:rsidP="004C7F14">
      <w:pPr>
        <w:spacing w:line="340" w:lineRule="exact"/>
        <w:contextualSpacing/>
        <w:jc w:val="center"/>
        <w:rPr>
          <w:rFonts w:asciiTheme="minorEastAsia" w:hAnsiTheme="minorEastAsia"/>
          <w:b/>
          <w:szCs w:val="21"/>
        </w:rPr>
      </w:pPr>
    </w:p>
    <w:p w14:paraId="7F8FB0C7" w14:textId="77777777" w:rsidR="00FF479E" w:rsidRPr="00920D0E" w:rsidRDefault="00FF479E" w:rsidP="004C7F14">
      <w:pPr>
        <w:spacing w:line="340" w:lineRule="exact"/>
        <w:contextualSpacing/>
        <w:jc w:val="center"/>
        <w:rPr>
          <w:rFonts w:asciiTheme="minorEastAsia" w:hAnsiTheme="minorEastAsia"/>
          <w:b/>
          <w:szCs w:val="21"/>
        </w:rPr>
      </w:pPr>
    </w:p>
    <w:p w14:paraId="467DBF6C" w14:textId="77777777" w:rsidR="00FF479E" w:rsidRPr="00920D0E" w:rsidRDefault="00FF479E" w:rsidP="004C7F14">
      <w:pPr>
        <w:spacing w:line="340" w:lineRule="exact"/>
        <w:contextualSpacing/>
        <w:jc w:val="center"/>
        <w:rPr>
          <w:rFonts w:asciiTheme="minorEastAsia" w:hAnsiTheme="minorEastAsia"/>
          <w:b/>
          <w:szCs w:val="21"/>
        </w:rPr>
      </w:pPr>
    </w:p>
    <w:p w14:paraId="61257942" w14:textId="77777777" w:rsidR="00FF479E" w:rsidRPr="00920D0E" w:rsidRDefault="00FF479E" w:rsidP="004C7F14">
      <w:pPr>
        <w:spacing w:line="340" w:lineRule="exact"/>
        <w:contextualSpacing/>
        <w:jc w:val="center"/>
        <w:rPr>
          <w:rFonts w:asciiTheme="minorEastAsia" w:hAnsiTheme="minorEastAsia"/>
          <w:b/>
          <w:szCs w:val="21"/>
        </w:rPr>
      </w:pPr>
    </w:p>
    <w:p w14:paraId="75A9CFCF" w14:textId="77777777" w:rsidR="00FF479E" w:rsidRPr="00920D0E" w:rsidRDefault="00FF479E" w:rsidP="004C7F14">
      <w:pPr>
        <w:spacing w:line="340" w:lineRule="exact"/>
        <w:contextualSpacing/>
        <w:jc w:val="center"/>
        <w:rPr>
          <w:rFonts w:asciiTheme="minorEastAsia" w:hAnsiTheme="minorEastAsia"/>
          <w:b/>
          <w:szCs w:val="21"/>
        </w:rPr>
      </w:pPr>
    </w:p>
    <w:p w14:paraId="0E963B8D" w14:textId="77777777" w:rsidR="00FF479E" w:rsidRPr="00920D0E" w:rsidRDefault="00FF479E" w:rsidP="004C7F14">
      <w:pPr>
        <w:spacing w:line="340" w:lineRule="exact"/>
        <w:contextualSpacing/>
        <w:jc w:val="center"/>
        <w:rPr>
          <w:rFonts w:asciiTheme="minorEastAsia" w:hAnsiTheme="minorEastAsia"/>
          <w:b/>
          <w:szCs w:val="21"/>
        </w:rPr>
      </w:pPr>
    </w:p>
    <w:p w14:paraId="347753BC" w14:textId="77777777" w:rsidR="00D6161D" w:rsidRPr="00920D0E" w:rsidRDefault="00D6161D" w:rsidP="00D6161D">
      <w:pPr>
        <w:spacing w:line="340" w:lineRule="exact"/>
        <w:contextualSpacing/>
        <w:rPr>
          <w:rFonts w:asciiTheme="minorEastAsia" w:hAnsiTheme="minorEastAsia"/>
          <w:b/>
          <w:szCs w:val="21"/>
        </w:rPr>
      </w:pPr>
    </w:p>
    <w:p w14:paraId="60D42006" w14:textId="77777777" w:rsidR="00D20757" w:rsidRPr="00920D0E" w:rsidRDefault="00D20757" w:rsidP="00D6161D">
      <w:pPr>
        <w:spacing w:line="340" w:lineRule="exact"/>
        <w:contextualSpacing/>
        <w:rPr>
          <w:rFonts w:asciiTheme="minorEastAsia" w:hAnsiTheme="minorEastAsia"/>
          <w:b/>
          <w:szCs w:val="21"/>
        </w:rPr>
      </w:pPr>
    </w:p>
    <w:p w14:paraId="44DD6005"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b/>
          <w:szCs w:val="21"/>
        </w:rPr>
        <w:t>三</w:t>
      </w:r>
      <w:r w:rsidRPr="00920D0E">
        <w:rPr>
          <w:rFonts w:asciiTheme="minorEastAsia" w:hAnsiTheme="minorEastAsia" w:hint="eastAsia"/>
          <w:b/>
          <w:szCs w:val="21"/>
        </w:rPr>
        <w:t>、</w:t>
      </w:r>
      <w:r w:rsidRPr="00920D0E">
        <w:rPr>
          <w:rFonts w:asciiTheme="minorEastAsia" w:hAnsiTheme="minorEastAsia"/>
          <w:b/>
          <w:szCs w:val="21"/>
        </w:rPr>
        <w:t>投资本基金涉及的费用</w:t>
      </w:r>
    </w:p>
    <w:p w14:paraId="7BB9717C"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（一）基金销售相关费用</w:t>
      </w:r>
    </w:p>
    <w:p w14:paraId="1443A1CD" w14:textId="77777777" w:rsidR="00D6161D" w:rsidRPr="00920D0E" w:rsidRDefault="00D6161D"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以下费用在申购/赎回基金过程中收取</w:t>
      </w:r>
      <w:r w:rsidR="004C7F14" w:rsidRPr="00920D0E">
        <w:rPr>
          <w:rFonts w:asciiTheme="minorEastAsia" w:hAnsiTheme="minorEastAsia" w:hint="eastAsia"/>
          <w:szCs w:val="21"/>
        </w:rPr>
        <w:t>：</w:t>
      </w:r>
    </w:p>
    <w:p w14:paraId="01A303C7" w14:textId="77777777" w:rsidR="00DF2E19" w:rsidRPr="00920D0E" w:rsidRDefault="00DF2E19"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东方阿尔法精选混合C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DB42CA" w:rsidRPr="00920D0E" w14:paraId="73E0DE4B" w14:textId="77777777" w:rsidTr="00D248D0">
        <w:tc>
          <w:tcPr>
            <w:tcW w:w="2552" w:type="dxa"/>
          </w:tcPr>
          <w:p w14:paraId="65D495A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2835" w:type="dxa"/>
          </w:tcPr>
          <w:p w14:paraId="277DEF8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金额（</w:t>
            </w:r>
            <w:r w:rsidRPr="00920D0E">
              <w:rPr>
                <w:rFonts w:asciiTheme="minorEastAsia" w:hAnsiTheme="minorEastAsia"/>
                <w:b/>
                <w:szCs w:val="21"/>
              </w:rPr>
              <w:t>M）/</w:t>
            </w:r>
          </w:p>
          <w:p w14:paraId="255AD46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持有期间（</w:t>
            </w:r>
            <w:r w:rsidRPr="00920D0E">
              <w:rPr>
                <w:rFonts w:asciiTheme="minorEastAsia" w:hAnsiTheme="minorEastAsia"/>
                <w:b/>
                <w:szCs w:val="21"/>
              </w:rPr>
              <w:t>N）</w:t>
            </w:r>
          </w:p>
        </w:tc>
        <w:tc>
          <w:tcPr>
            <w:tcW w:w="1843" w:type="dxa"/>
          </w:tcPr>
          <w:p w14:paraId="28933C6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/费率</w:t>
            </w:r>
          </w:p>
        </w:tc>
        <w:tc>
          <w:tcPr>
            <w:tcW w:w="1984" w:type="dxa"/>
          </w:tcPr>
          <w:p w14:paraId="3380EBBF"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备注</w:t>
            </w:r>
          </w:p>
        </w:tc>
      </w:tr>
      <w:tr w:rsidR="00DB42CA" w:rsidRPr="00920D0E" w14:paraId="60623653" w14:textId="77777777" w:rsidTr="00D248D0">
        <w:tc>
          <w:tcPr>
            <w:tcW w:w="2552" w:type="dxa"/>
          </w:tcPr>
          <w:p w14:paraId="14BCD045" w14:textId="77777777" w:rsidR="00D6161D" w:rsidRPr="00920D0E" w:rsidRDefault="00095BBF"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申购费（前收费）</w:t>
            </w:r>
          </w:p>
        </w:tc>
        <w:tc>
          <w:tcPr>
            <w:tcW w:w="2835" w:type="dxa"/>
          </w:tcPr>
          <w:p w14:paraId="2A8EA5A2" w14:textId="77777777" w:rsidR="00D6161D" w:rsidRPr="00920D0E" w:rsidRDefault="009F1E42" w:rsidP="009B5CE5">
            <w:pPr>
              <w:spacing w:line="340" w:lineRule="exact"/>
              <w:contextualSpacing/>
              <w:rPr>
                <w:rFonts w:asciiTheme="minorEastAsia" w:hAnsiTheme="minorEastAsia"/>
                <w:szCs w:val="21"/>
              </w:rPr>
            </w:pPr>
            <w:r w:rsidRPr="00920D0E">
              <w:rPr>
                <w:rFonts w:asciiTheme="minorEastAsia" w:hAnsiTheme="minorEastAsia"/>
                <w:szCs w:val="21"/>
              </w:rPr>
              <w:t>-</w:t>
            </w:r>
          </w:p>
        </w:tc>
        <w:tc>
          <w:tcPr>
            <w:tcW w:w="1843" w:type="dxa"/>
          </w:tcPr>
          <w:p w14:paraId="3D750507" w14:textId="77777777" w:rsidR="00D6161D" w:rsidRPr="00920D0E" w:rsidRDefault="009F1E42" w:rsidP="00D6161D">
            <w:pPr>
              <w:spacing w:line="340" w:lineRule="exact"/>
              <w:contextualSpacing/>
              <w:rPr>
                <w:rFonts w:asciiTheme="minorEastAsia" w:hAnsiTheme="minorEastAsia"/>
                <w:szCs w:val="21"/>
              </w:rPr>
            </w:pPr>
            <w:r w:rsidRPr="00920D0E">
              <w:rPr>
                <w:rFonts w:asciiTheme="minorEastAsia" w:hAnsiTheme="minorEastAsia"/>
                <w:szCs w:val="21"/>
              </w:rPr>
              <w:t>-</w:t>
            </w:r>
          </w:p>
        </w:tc>
        <w:tc>
          <w:tcPr>
            <w:tcW w:w="1984" w:type="dxa"/>
          </w:tcPr>
          <w:p w14:paraId="4D4EBAD4" w14:textId="77777777" w:rsidR="00D6161D" w:rsidRPr="00920D0E" w:rsidRDefault="009F1E42" w:rsidP="009F1E42">
            <w:pPr>
              <w:contextualSpacing/>
              <w:rPr>
                <w:rFonts w:asciiTheme="minorEastAsia" w:hAnsiTheme="minorEastAsia"/>
                <w:szCs w:val="21"/>
              </w:rPr>
            </w:pPr>
            <w:r w:rsidRPr="00920D0E">
              <w:rPr>
                <w:rFonts w:asciiTheme="minorEastAsia" w:hAnsiTheme="minorEastAsia"/>
                <w:szCs w:val="21"/>
              </w:rPr>
              <w:t>C类份额无申购费</w:t>
            </w:r>
          </w:p>
        </w:tc>
      </w:tr>
      <w:tr w:rsidR="00DB42CA" w:rsidRPr="00920D0E" w14:paraId="292717EC" w14:textId="77777777" w:rsidTr="00D248D0">
        <w:tc>
          <w:tcPr>
            <w:tcW w:w="2552" w:type="dxa"/>
            <w:vMerge w:val="restart"/>
          </w:tcPr>
          <w:p w14:paraId="32CAE9CA" w14:textId="77777777" w:rsidR="00F86B88" w:rsidRPr="00920D0E" w:rsidRDefault="00F86B88"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赎回费</w:t>
            </w:r>
          </w:p>
        </w:tc>
        <w:tc>
          <w:tcPr>
            <w:tcW w:w="2835" w:type="dxa"/>
          </w:tcPr>
          <w:p w14:paraId="2D77C9D8"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0＜N＜7天</w:t>
            </w:r>
          </w:p>
        </w:tc>
        <w:tc>
          <w:tcPr>
            <w:tcW w:w="1843" w:type="dxa"/>
          </w:tcPr>
          <w:p w14:paraId="678726AD"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1.50%</w:t>
            </w:r>
          </w:p>
        </w:tc>
        <w:tc>
          <w:tcPr>
            <w:tcW w:w="1984" w:type="dxa"/>
          </w:tcPr>
          <w:p w14:paraId="46E3B86D" w14:textId="77777777" w:rsidR="00F86B88" w:rsidRPr="00920D0E" w:rsidRDefault="00F86B88" w:rsidP="00F86B88">
            <w:pPr>
              <w:contextualSpacing/>
              <w:rPr>
                <w:rFonts w:asciiTheme="minorEastAsia" w:hAnsiTheme="minorEastAsia"/>
                <w:szCs w:val="21"/>
              </w:rPr>
            </w:pPr>
          </w:p>
        </w:tc>
      </w:tr>
      <w:tr w:rsidR="00DB42CA" w:rsidRPr="00920D0E" w14:paraId="55F5971C" w14:textId="77777777" w:rsidTr="00D248D0">
        <w:tc>
          <w:tcPr>
            <w:tcW w:w="2552" w:type="dxa"/>
            <w:vMerge/>
          </w:tcPr>
          <w:p w14:paraId="5BCD88E8"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770A13C1"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7天≤N＜30天</w:t>
            </w:r>
          </w:p>
        </w:tc>
        <w:tc>
          <w:tcPr>
            <w:tcW w:w="1843" w:type="dxa"/>
          </w:tcPr>
          <w:p w14:paraId="58A4CD65" w14:textId="77777777" w:rsidR="00F86B88" w:rsidRPr="00920D0E" w:rsidRDefault="0041343D" w:rsidP="00D6161D">
            <w:pPr>
              <w:spacing w:line="340" w:lineRule="exact"/>
              <w:contextualSpacing/>
              <w:rPr>
                <w:rFonts w:asciiTheme="minorEastAsia" w:hAnsiTheme="minorEastAsia"/>
                <w:szCs w:val="21"/>
              </w:rPr>
            </w:pPr>
            <w:r w:rsidRPr="00920D0E">
              <w:rPr>
                <w:rFonts w:asciiTheme="minorEastAsia" w:hAnsiTheme="minorEastAsia"/>
                <w:szCs w:val="21"/>
              </w:rPr>
              <w:t>0.50</w:t>
            </w:r>
            <w:r w:rsidR="00F86B88" w:rsidRPr="00920D0E">
              <w:rPr>
                <w:rFonts w:asciiTheme="minorEastAsia" w:hAnsiTheme="minorEastAsia"/>
                <w:szCs w:val="21"/>
              </w:rPr>
              <w:t>%</w:t>
            </w:r>
          </w:p>
        </w:tc>
        <w:tc>
          <w:tcPr>
            <w:tcW w:w="1984" w:type="dxa"/>
          </w:tcPr>
          <w:p w14:paraId="45688650" w14:textId="77777777" w:rsidR="00F86B88" w:rsidRPr="00920D0E" w:rsidRDefault="00F86B88" w:rsidP="00F86B88">
            <w:pPr>
              <w:contextualSpacing/>
              <w:rPr>
                <w:rFonts w:asciiTheme="minorEastAsia" w:hAnsiTheme="minorEastAsia"/>
                <w:szCs w:val="21"/>
              </w:rPr>
            </w:pPr>
          </w:p>
        </w:tc>
      </w:tr>
      <w:tr w:rsidR="00DB42CA" w:rsidRPr="00920D0E" w14:paraId="745804FE" w14:textId="77777777" w:rsidTr="00D248D0">
        <w:trPr>
          <w:trHeight w:val="258"/>
        </w:trPr>
        <w:tc>
          <w:tcPr>
            <w:tcW w:w="2552" w:type="dxa"/>
            <w:vMerge/>
          </w:tcPr>
          <w:p w14:paraId="49B2E42A"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6EE7F4AC" w14:textId="77777777" w:rsidR="00F86B88" w:rsidRPr="00920D0E" w:rsidRDefault="00F86B88" w:rsidP="00B06AF1">
            <w:pPr>
              <w:spacing w:line="340" w:lineRule="exact"/>
              <w:contextualSpacing/>
              <w:rPr>
                <w:rFonts w:asciiTheme="minorEastAsia" w:hAnsiTheme="minorEastAsia"/>
                <w:szCs w:val="21"/>
              </w:rPr>
            </w:pPr>
            <w:r w:rsidRPr="00920D0E">
              <w:rPr>
                <w:rFonts w:asciiTheme="minorEastAsia" w:hAnsiTheme="minorEastAsia"/>
                <w:szCs w:val="21"/>
              </w:rPr>
              <w:t>30天≤N</w:t>
            </w:r>
            <w:r w:rsidR="00B06AF1" w:rsidRPr="00920D0E">
              <w:rPr>
                <w:rFonts w:asciiTheme="minorEastAsia" w:hAnsiTheme="minorEastAsia"/>
                <w:szCs w:val="21"/>
              </w:rPr>
              <w:t xml:space="preserve"> </w:t>
            </w:r>
          </w:p>
        </w:tc>
        <w:tc>
          <w:tcPr>
            <w:tcW w:w="1843" w:type="dxa"/>
          </w:tcPr>
          <w:p w14:paraId="53A26D62"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w:t>
            </w:r>
          </w:p>
        </w:tc>
        <w:tc>
          <w:tcPr>
            <w:tcW w:w="1984" w:type="dxa"/>
          </w:tcPr>
          <w:p w14:paraId="194B2F08" w14:textId="77777777" w:rsidR="00F86B88" w:rsidRPr="00920D0E" w:rsidRDefault="00F86B88" w:rsidP="00F86B88">
            <w:pPr>
              <w:contextualSpacing/>
              <w:rPr>
                <w:rFonts w:asciiTheme="minorEastAsia" w:hAnsiTheme="minorEastAsia"/>
                <w:szCs w:val="21"/>
              </w:rPr>
            </w:pPr>
          </w:p>
        </w:tc>
      </w:tr>
    </w:tbl>
    <w:p w14:paraId="6FC4823A" w14:textId="77777777" w:rsidR="00BE5320" w:rsidRPr="00920D0E" w:rsidRDefault="00BE5320"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（二）基金运作相关费用</w:t>
      </w:r>
    </w:p>
    <w:p w14:paraId="60C4D1F2" w14:textId="77777777" w:rsidR="00BE5320" w:rsidRPr="00920D0E" w:rsidRDefault="00BE5320" w:rsidP="00BE5320">
      <w:pPr>
        <w:spacing w:line="340" w:lineRule="exact"/>
        <w:ind w:firstLineChars="200" w:firstLine="422"/>
        <w:contextualSpacing/>
        <w:rPr>
          <w:rFonts w:asciiTheme="minorEastAsia" w:hAnsiTheme="minorEastAsia"/>
          <w:b/>
          <w:szCs w:val="21"/>
        </w:rPr>
      </w:pPr>
      <w:r w:rsidRPr="00920D0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B42CA" w:rsidRPr="00920D0E" w14:paraId="580B0952" w14:textId="77777777" w:rsidTr="00975C1D">
        <w:tc>
          <w:tcPr>
            <w:tcW w:w="2268" w:type="dxa"/>
          </w:tcPr>
          <w:p w14:paraId="79B719E3"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6946" w:type="dxa"/>
          </w:tcPr>
          <w:p w14:paraId="006905AA"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/年费率</w:t>
            </w:r>
          </w:p>
        </w:tc>
      </w:tr>
      <w:tr w:rsidR="00DB42CA" w:rsidRPr="00920D0E" w14:paraId="6ABD57F3" w14:textId="77777777" w:rsidTr="00975C1D">
        <w:tc>
          <w:tcPr>
            <w:tcW w:w="2268" w:type="dxa"/>
          </w:tcPr>
          <w:p w14:paraId="3A718255"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管理费</w:t>
            </w:r>
          </w:p>
        </w:tc>
        <w:tc>
          <w:tcPr>
            <w:tcW w:w="6946" w:type="dxa"/>
          </w:tcPr>
          <w:p w14:paraId="2FA1BC30"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8D155B" w:rsidRPr="00920D0E">
              <w:rPr>
                <w:rFonts w:asciiTheme="minorEastAsia" w:hAnsiTheme="minorEastAsia"/>
                <w:szCs w:val="21"/>
              </w:rPr>
              <w:t>1.50%</w:t>
            </w:r>
          </w:p>
        </w:tc>
      </w:tr>
      <w:tr w:rsidR="00DB42CA" w:rsidRPr="00920D0E" w14:paraId="394339F6" w14:textId="77777777" w:rsidTr="00975C1D">
        <w:tc>
          <w:tcPr>
            <w:tcW w:w="2268" w:type="dxa"/>
          </w:tcPr>
          <w:p w14:paraId="7CE3EF4C"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托管费</w:t>
            </w:r>
          </w:p>
        </w:tc>
        <w:tc>
          <w:tcPr>
            <w:tcW w:w="6946" w:type="dxa"/>
          </w:tcPr>
          <w:p w14:paraId="4F6037A3"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F214CE" w:rsidRPr="00920D0E">
              <w:rPr>
                <w:rFonts w:asciiTheme="minorEastAsia" w:hAnsiTheme="minorEastAsia"/>
                <w:szCs w:val="21"/>
              </w:rPr>
              <w:t>0.25%</w:t>
            </w:r>
          </w:p>
        </w:tc>
      </w:tr>
      <w:tr w:rsidR="00DB42CA" w:rsidRPr="00920D0E" w14:paraId="35709FFA" w14:textId="77777777" w:rsidTr="00975C1D">
        <w:tc>
          <w:tcPr>
            <w:tcW w:w="2268" w:type="dxa"/>
          </w:tcPr>
          <w:p w14:paraId="631372B9" w14:textId="77777777" w:rsidR="00BE5320"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销售服务费</w:t>
            </w:r>
          </w:p>
        </w:tc>
        <w:tc>
          <w:tcPr>
            <w:tcW w:w="6946" w:type="dxa"/>
          </w:tcPr>
          <w:p w14:paraId="7C2513AC" w14:textId="77777777" w:rsidR="00BE5320" w:rsidRPr="00920D0E" w:rsidRDefault="00975C1D" w:rsidP="009F1E42">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9F1E42" w:rsidRPr="00920D0E">
              <w:rPr>
                <w:rFonts w:asciiTheme="minorEastAsia" w:hAnsiTheme="minorEastAsia"/>
                <w:szCs w:val="21"/>
              </w:rPr>
              <w:t>0.50%</w:t>
            </w:r>
          </w:p>
        </w:tc>
      </w:tr>
      <w:tr w:rsidR="00DB42CA" w:rsidRPr="00920D0E" w14:paraId="7594CAEE" w14:textId="77777777" w:rsidTr="00975C1D">
        <w:tc>
          <w:tcPr>
            <w:tcW w:w="2268" w:type="dxa"/>
          </w:tcPr>
          <w:p w14:paraId="3CB60247" w14:textId="77777777" w:rsidR="008D155B"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其他费用</w:t>
            </w:r>
          </w:p>
        </w:tc>
        <w:tc>
          <w:tcPr>
            <w:tcW w:w="6946" w:type="dxa"/>
          </w:tcPr>
          <w:p w14:paraId="2D822A12" w14:textId="77777777" w:rsidR="008D155B" w:rsidRPr="00920D0E" w:rsidRDefault="00B414B9" w:rsidP="00975C1D">
            <w:pPr>
              <w:spacing w:line="340" w:lineRule="exact"/>
              <w:contextualSpacing/>
              <w:rPr>
                <w:rFonts w:asciiTheme="minorEastAsia" w:hAnsiTheme="minorEastAsia"/>
                <w:bCs/>
                <w:szCs w:val="21"/>
              </w:rPr>
            </w:pPr>
            <w:r w:rsidRPr="00920D0E">
              <w:rPr>
                <w:rFonts w:asciiTheme="minorEastAsia" w:hAnsiTheme="minorEastAsia" w:hint="eastAsia"/>
                <w:szCs w:val="21"/>
              </w:rPr>
              <w:t>《基金合同》生效后与基金相关的信息披露费用、会计师费、律师费、诉讼费；基金份额持有人大会费用；</w:t>
            </w:r>
            <w:r w:rsidRPr="00920D0E">
              <w:rPr>
                <w:rFonts w:asciiTheme="minorEastAsia" w:hAnsiTheme="minorEastAsia" w:hint="eastAsia"/>
                <w:bCs/>
                <w:szCs w:val="21"/>
              </w:rPr>
              <w:t>证券账户的开户费、账户维护费用；</w:t>
            </w:r>
            <w:r w:rsidRPr="00920D0E">
              <w:rPr>
                <w:rFonts w:asciiTheme="minorEastAsia" w:hAnsiTheme="minorEastAsia"/>
                <w:bCs/>
                <w:szCs w:val="21"/>
              </w:rPr>
              <w:t>基金的证券</w:t>
            </w:r>
            <w:r w:rsidRPr="00920D0E">
              <w:rPr>
                <w:rFonts w:asciiTheme="minorEastAsia" w:hAnsiTheme="minorEastAsia" w:hint="eastAsia"/>
                <w:bCs/>
                <w:szCs w:val="21"/>
              </w:rPr>
              <w:t>、</w:t>
            </w:r>
            <w:r w:rsidRPr="00920D0E">
              <w:rPr>
                <w:rFonts w:asciiTheme="minorEastAsia" w:hAnsiTheme="minorEastAsia"/>
                <w:bCs/>
                <w:szCs w:val="21"/>
              </w:rPr>
              <w:t>期货交易费用；基金的银行汇划费用；</w:t>
            </w:r>
            <w:r w:rsidRPr="00920D0E">
              <w:rPr>
                <w:rFonts w:asciiTheme="minorEastAsia" w:hAnsiTheme="minorEastAsia" w:hint="eastAsia"/>
                <w:bCs/>
                <w:szCs w:val="21"/>
              </w:rPr>
              <w:t>基金的开户费用、账户维护费用；基金投资港股通标的股票的合理费用</w:t>
            </w:r>
            <w:r w:rsidRPr="00920D0E">
              <w:rPr>
                <w:rFonts w:asciiTheme="minorEastAsia" w:hAnsiTheme="minorEastAsia" w:hint="eastAsia"/>
                <w:szCs w:val="21"/>
              </w:rPr>
              <w:t>；证券账户的开户费、账户维护费用；</w:t>
            </w:r>
            <w:r w:rsidRPr="00920D0E">
              <w:rPr>
                <w:rFonts w:asciiTheme="minorEastAsia" w:hAnsiTheme="minorEastAsia" w:hint="eastAsia"/>
                <w:bCs/>
                <w:szCs w:val="21"/>
              </w:rPr>
              <w:t>基金投资港股通标的股票的合理费用；</w:t>
            </w:r>
            <w:r w:rsidRPr="00920D0E">
              <w:rPr>
                <w:rFonts w:asciiTheme="minorEastAsia" w:hAnsiTheme="minorEastAsia"/>
                <w:bCs/>
                <w:szCs w:val="21"/>
              </w:rPr>
              <w:t>按照国家有关规定和《基金合同》约定，可以在基金财产中列支的其他费用</w:t>
            </w:r>
            <w:r w:rsidRPr="00920D0E">
              <w:rPr>
                <w:rFonts w:asciiTheme="minorEastAsia" w:hAnsiTheme="minorEastAsia" w:hint="eastAsia"/>
                <w:bCs/>
                <w:szCs w:val="21"/>
              </w:rPr>
              <w:t>。</w:t>
            </w:r>
          </w:p>
        </w:tc>
      </w:tr>
    </w:tbl>
    <w:p w14:paraId="6839F6DB" w14:textId="77777777" w:rsidR="008D155B" w:rsidRPr="00920D0E" w:rsidRDefault="00C04FCF" w:rsidP="00C04FCF">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：本基金交易证券、基金等产生的费用和税负，按实际发生额从基金资产扣除。</w:t>
      </w:r>
    </w:p>
    <w:p w14:paraId="12C02D11" w14:textId="77777777" w:rsidR="00497FFB" w:rsidRPr="00920D0E" w:rsidRDefault="00497FFB" w:rsidP="00C04FCF">
      <w:pPr>
        <w:spacing w:line="340" w:lineRule="exact"/>
        <w:ind w:firstLineChars="200" w:firstLine="420"/>
        <w:contextualSpacing/>
        <w:rPr>
          <w:rFonts w:asciiTheme="minorEastAsia" w:hAnsiTheme="minorEastAsia"/>
          <w:szCs w:val="21"/>
        </w:rPr>
      </w:pPr>
    </w:p>
    <w:p w14:paraId="718DA22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四</w:t>
      </w:r>
      <w:r w:rsidRPr="00920D0E">
        <w:rPr>
          <w:rFonts w:asciiTheme="minorEastAsia" w:hAnsiTheme="minorEastAsia" w:hint="eastAsia"/>
          <w:b/>
          <w:szCs w:val="21"/>
        </w:rPr>
        <w:t>、</w:t>
      </w:r>
      <w:r w:rsidRPr="00920D0E">
        <w:rPr>
          <w:rFonts w:asciiTheme="minorEastAsia" w:hAnsiTheme="minorEastAsia"/>
          <w:b/>
          <w:szCs w:val="21"/>
        </w:rPr>
        <w:t>风险揭示与重要提示</w:t>
      </w:r>
    </w:p>
    <w:p w14:paraId="61931FE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hint="eastAsia"/>
          <w:b/>
          <w:szCs w:val="21"/>
        </w:rPr>
        <w:t>（一）风险揭示</w:t>
      </w:r>
    </w:p>
    <w:p w14:paraId="643C3B2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本基金不提供任何保证。投资者可能损失本金。投资有风险，投资者购买基金时应认真阅读本基金的《招募说明书》等文件。</w:t>
      </w:r>
    </w:p>
    <w:p w14:paraId="75B7587B"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1、本基金特有风险</w:t>
      </w:r>
    </w:p>
    <w:p w14:paraId="15CA61CB"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10166D0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2</w:t>
      </w:r>
      <w:r w:rsidRPr="0004273C">
        <w:rPr>
          <w:rFonts w:asciiTheme="minorEastAsia" w:hAnsiTheme="minorEastAsia"/>
          <w:szCs w:val="21"/>
        </w:rPr>
        <w:t>）本基金为发起式基金。基金合同生效日起满3年后，发起资金提供方将根据自身情况决定是否继续</w:t>
      </w:r>
      <w:r w:rsidRPr="0004273C">
        <w:rPr>
          <w:rFonts w:asciiTheme="minorEastAsia" w:hAnsiTheme="minorEastAsia" w:hint="eastAsia"/>
          <w:szCs w:val="21"/>
        </w:rPr>
        <w:t>持有发起资金持有的份额。基金合同生效之日起3年后的对应日，若基金资产净值低于</w:t>
      </w:r>
      <w:r w:rsidRPr="0004273C">
        <w:rPr>
          <w:rFonts w:asciiTheme="minorEastAsia" w:hAnsiTheme="minorEastAsia"/>
          <w:szCs w:val="21"/>
        </w:rPr>
        <w:t>2亿元，基金合同自动终止。</w:t>
      </w:r>
      <w:r w:rsidR="00BD08B1" w:rsidRPr="00BD08B1">
        <w:rPr>
          <w:rFonts w:asciiTheme="minorEastAsia" w:hAnsiTheme="minorEastAsia" w:hint="eastAsia"/>
          <w:szCs w:val="21"/>
        </w:rPr>
        <w:t>因此，投资人将面对基金合同终止的不确定风险。</w:t>
      </w:r>
    </w:p>
    <w:p w14:paraId="4760AB69"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3</w:t>
      </w:r>
      <w:r w:rsidRPr="0004273C">
        <w:rPr>
          <w:rFonts w:asciiTheme="minorEastAsia" w:hAnsiTheme="minorEastAsia"/>
          <w:szCs w:val="21"/>
        </w:rPr>
        <w:t>）</w:t>
      </w:r>
      <w:r w:rsidR="00BD08B1" w:rsidRPr="00BD08B1">
        <w:rPr>
          <w:rFonts w:asciiTheme="minorEastAsia" w:hAnsiTheme="minorEastAsia" w:hint="eastAsia"/>
          <w:szCs w:val="21"/>
        </w:rPr>
        <w:t>本基金可投资股指期货，可能会出现的风险包括基差风险、合约品种差异造成的风险、标的物风险、衍生品模型风险等。</w:t>
      </w:r>
    </w:p>
    <w:p w14:paraId="629CB2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4</w:t>
      </w:r>
      <w:r w:rsidRPr="0004273C">
        <w:rPr>
          <w:rFonts w:asciiTheme="minorEastAsia" w:hAnsiTheme="minor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主要包含市场风险、流动性风险、信用风险、合规性风险以及国债期货实物交割风险等。</w:t>
      </w:r>
    </w:p>
    <w:p w14:paraId="306ABE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Pr="0004273C">
        <w:rPr>
          <w:rFonts w:asciiTheme="minorEastAsia" w:hAnsiTheme="minorEastAsia" w:hint="eastAsia"/>
          <w:szCs w:val="21"/>
        </w:rPr>
        <w:t>上市中小企业采用非公开发行的方式发行的债券。由于不能公开交易，当发债主体信用质量恶化时，受市场流动性所限，本基金可能无法卖出所持有的中小企业私募债，由此可能给基金净值带来更大的负面影响和损失。</w:t>
      </w:r>
    </w:p>
    <w:p w14:paraId="0A0CFAE4"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6</w:t>
      </w:r>
      <w:r w:rsidRPr="0004273C">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2F01BCD1" w14:textId="77777777" w:rsidR="000D0263" w:rsidRPr="008D7FED"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w:t>
      </w:r>
      <w:r w:rsidRPr="0004273C">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70B57C68"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04273C">
        <w:rPr>
          <w:rFonts w:asciiTheme="minorEastAsia" w:hAnsiTheme="minorEastAsia"/>
          <w:szCs w:val="21"/>
        </w:rPr>
        <w:t>本基金可投资科创板上市交易股票，将承担因上市条件、交易规则、退市制度等差异带来的特有风险，包括流动性风险、退市风险、投资集中风险等。</w:t>
      </w:r>
    </w:p>
    <w:p w14:paraId="7D72A3DA"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9</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3204EEFD" w14:textId="4713D8CE" w:rsidR="004D419D" w:rsidRPr="004D419D" w:rsidRDefault="004D419D" w:rsidP="004D419D">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Pr="004D419D">
        <w:rPr>
          <w:rFonts w:asciiTheme="minorEastAsia" w:hAnsiTheme="minorEastAsia" w:hint="eastAsia"/>
          <w:szCs w:val="21"/>
        </w:rPr>
        <w:t>本基金可投资存托凭证，将</w:t>
      </w:r>
      <w:r w:rsidRPr="004D419D">
        <w:rPr>
          <w:rFonts w:asciiTheme="minorEastAsia" w:hAnsiTheme="minorEastAsia"/>
          <w:szCs w:val="21"/>
        </w:rPr>
        <w:t>面临中国存托凭证价格大幅波动甚至出现较大亏损的风险，以及与中国存托凭证发行机制相关的风险。</w:t>
      </w:r>
    </w:p>
    <w:p w14:paraId="02511F14" w14:textId="124BA178"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4D419D">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7D21FA75" w14:textId="77777777" w:rsidR="0021250B" w:rsidRPr="00920D0E" w:rsidRDefault="0021250B" w:rsidP="0021250B">
      <w:pPr>
        <w:spacing w:line="340" w:lineRule="exact"/>
        <w:ind w:firstLine="420"/>
        <w:contextualSpacing/>
        <w:rPr>
          <w:rFonts w:asciiTheme="minorEastAsia" w:hAnsiTheme="minorEastAsia"/>
          <w:szCs w:val="21"/>
        </w:rPr>
      </w:pPr>
      <w:r w:rsidRPr="00920D0E">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14:paraId="1B92638D" w14:textId="77777777" w:rsidR="00663768" w:rsidRPr="00920D0E" w:rsidRDefault="008D155B" w:rsidP="00663768">
      <w:pPr>
        <w:spacing w:line="340" w:lineRule="exact"/>
        <w:contextualSpacing/>
        <w:rPr>
          <w:rFonts w:asciiTheme="minorEastAsia" w:hAnsiTheme="minorEastAsia"/>
          <w:b/>
          <w:szCs w:val="21"/>
        </w:rPr>
      </w:pPr>
      <w:r w:rsidRPr="00920D0E">
        <w:rPr>
          <w:rFonts w:asciiTheme="minorEastAsia" w:hAnsiTheme="minorEastAsia" w:hint="eastAsia"/>
          <w:b/>
          <w:szCs w:val="21"/>
        </w:rPr>
        <w:t>（二）重要提示</w:t>
      </w:r>
    </w:p>
    <w:p w14:paraId="5A01EB2B" w14:textId="77777777" w:rsidR="0021250B" w:rsidRPr="00920D0E" w:rsidRDefault="00EC715F"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中国证监会对本基金募集的核准</w:t>
      </w:r>
      <w:r w:rsidR="0021250B" w:rsidRPr="00920D0E">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6A7AD63"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9B35D7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920D0E">
        <w:rPr>
          <w:rFonts w:asciiTheme="minorEastAsia" w:hAnsiTheme="minorEastAsia"/>
          <w:szCs w:val="21"/>
        </w:rPr>
        <w:t>“</w:t>
      </w:r>
      <w:r w:rsidRPr="00920D0E">
        <w:rPr>
          <w:rFonts w:asciiTheme="minorEastAsia" w:hAnsiTheme="minorEastAsia" w:hint="eastAsia"/>
          <w:szCs w:val="21"/>
        </w:rPr>
        <w:t>争议的处理和适用法律</w:t>
      </w:r>
      <w:r w:rsidRPr="00920D0E">
        <w:rPr>
          <w:rFonts w:asciiTheme="minorEastAsia" w:hAnsiTheme="minorEastAsia"/>
          <w:szCs w:val="21"/>
        </w:rPr>
        <w:t>”</w:t>
      </w:r>
      <w:r w:rsidRPr="00920D0E">
        <w:rPr>
          <w:rFonts w:asciiTheme="minorEastAsia" w:hAnsiTheme="minorEastAsia" w:hint="eastAsia"/>
          <w:szCs w:val="21"/>
        </w:rPr>
        <w:t>。</w:t>
      </w:r>
    </w:p>
    <w:p w14:paraId="3116A342" w14:textId="77777777" w:rsidR="00497FFB" w:rsidRPr="00920D0E" w:rsidRDefault="00497FFB" w:rsidP="000028DB">
      <w:pPr>
        <w:spacing w:line="340" w:lineRule="exact"/>
        <w:ind w:firstLineChars="200" w:firstLine="420"/>
        <w:contextualSpacing/>
        <w:rPr>
          <w:rFonts w:asciiTheme="minorEastAsia" w:hAnsiTheme="minorEastAsia"/>
          <w:szCs w:val="21"/>
        </w:rPr>
      </w:pPr>
    </w:p>
    <w:p w14:paraId="4C81F7D0"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五</w:t>
      </w:r>
      <w:r w:rsidRPr="00920D0E">
        <w:rPr>
          <w:rFonts w:asciiTheme="minorEastAsia" w:hAnsiTheme="minorEastAsia" w:hint="eastAsia"/>
          <w:b/>
          <w:szCs w:val="21"/>
        </w:rPr>
        <w:t>、</w:t>
      </w:r>
      <w:r w:rsidRPr="00920D0E">
        <w:rPr>
          <w:rFonts w:asciiTheme="minorEastAsia" w:hAnsiTheme="minorEastAsia"/>
          <w:b/>
          <w:szCs w:val="21"/>
        </w:rPr>
        <w:t>其他资料查询方式</w:t>
      </w:r>
    </w:p>
    <w:p w14:paraId="310CC26D" w14:textId="77777777" w:rsidR="008D155B" w:rsidRPr="00920D0E" w:rsidRDefault="008D155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以下资料详见</w:t>
      </w:r>
      <w:r w:rsidR="00ED549B" w:rsidRPr="00920D0E">
        <w:rPr>
          <w:rFonts w:asciiTheme="minorEastAsia" w:hAnsiTheme="minorEastAsia" w:hint="eastAsia"/>
          <w:szCs w:val="21"/>
        </w:rPr>
        <w:t>东方阿尔法基金官方网站【</w:t>
      </w:r>
      <w:r w:rsidR="00ED549B" w:rsidRPr="00920D0E">
        <w:rPr>
          <w:rFonts w:asciiTheme="minorEastAsia" w:hAnsiTheme="minorEastAsia"/>
          <w:szCs w:val="21"/>
        </w:rPr>
        <w:t>www.dfa66.com】【客服电话：400-930-6677</w:t>
      </w:r>
      <w:r w:rsidR="00ED549B" w:rsidRPr="00920D0E">
        <w:rPr>
          <w:rFonts w:asciiTheme="minorEastAsia" w:hAnsiTheme="minorEastAsia" w:hint="eastAsia"/>
          <w:szCs w:val="21"/>
        </w:rPr>
        <w:t>】</w:t>
      </w:r>
    </w:p>
    <w:p w14:paraId="518B9D99" w14:textId="77777777" w:rsidR="008D155B" w:rsidRPr="00920D0E" w:rsidRDefault="00ED549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1）</w:t>
      </w:r>
      <w:r w:rsidR="008D155B" w:rsidRPr="00920D0E">
        <w:rPr>
          <w:rFonts w:asciiTheme="minorEastAsia" w:hAnsiTheme="minorEastAsia" w:hint="eastAsia"/>
          <w:szCs w:val="21"/>
        </w:rPr>
        <w:t>基金合同、托管协议、招募说明书</w:t>
      </w:r>
    </w:p>
    <w:p w14:paraId="7429D3CA"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2）</w:t>
      </w:r>
      <w:r w:rsidR="008D155B" w:rsidRPr="00920D0E">
        <w:rPr>
          <w:rFonts w:asciiTheme="minorEastAsia" w:hAnsiTheme="minorEastAsia" w:hint="eastAsia"/>
          <w:szCs w:val="21"/>
        </w:rPr>
        <w:t>定期报告，包括基金季度报告、中期报告和年度报告</w:t>
      </w:r>
    </w:p>
    <w:p w14:paraId="03AEEB17"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3）</w:t>
      </w:r>
      <w:r w:rsidR="008D155B" w:rsidRPr="00920D0E">
        <w:rPr>
          <w:rFonts w:asciiTheme="minorEastAsia" w:hAnsiTheme="minorEastAsia" w:hint="eastAsia"/>
          <w:szCs w:val="21"/>
        </w:rPr>
        <w:t>基金份额净值</w:t>
      </w:r>
    </w:p>
    <w:p w14:paraId="687D8AD3"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4）</w:t>
      </w:r>
      <w:r w:rsidR="008D155B" w:rsidRPr="00920D0E">
        <w:rPr>
          <w:rFonts w:asciiTheme="minorEastAsia" w:hAnsiTheme="minorEastAsia" w:hint="eastAsia"/>
          <w:szCs w:val="21"/>
        </w:rPr>
        <w:t>基金销售机构及联系方式</w:t>
      </w:r>
    </w:p>
    <w:p w14:paraId="3343A6B5"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5）</w:t>
      </w:r>
      <w:r w:rsidR="008D155B" w:rsidRPr="00920D0E">
        <w:rPr>
          <w:rFonts w:asciiTheme="minorEastAsia" w:hAnsiTheme="minorEastAsia" w:hint="eastAsia"/>
          <w:szCs w:val="21"/>
        </w:rPr>
        <w:t>其他重要资料</w:t>
      </w:r>
    </w:p>
    <w:p w14:paraId="455F305D" w14:textId="77777777" w:rsidR="00497FFB" w:rsidRPr="00920D0E" w:rsidRDefault="00497FFB" w:rsidP="00ED549B">
      <w:pPr>
        <w:pStyle w:val="a5"/>
        <w:spacing w:line="340" w:lineRule="exact"/>
        <w:ind w:left="420" w:firstLineChars="0" w:firstLine="0"/>
        <w:contextualSpacing/>
        <w:rPr>
          <w:rFonts w:asciiTheme="minorEastAsia" w:hAnsiTheme="minorEastAsia"/>
          <w:szCs w:val="21"/>
        </w:rPr>
      </w:pPr>
    </w:p>
    <w:p w14:paraId="6FCF4BFB" w14:textId="77777777" w:rsidR="00ED549B" w:rsidRPr="00920D0E" w:rsidRDefault="00ED549B" w:rsidP="00ED549B">
      <w:pPr>
        <w:spacing w:line="340" w:lineRule="exact"/>
        <w:contextualSpacing/>
        <w:rPr>
          <w:rFonts w:asciiTheme="minorEastAsia" w:hAnsiTheme="minorEastAsia"/>
          <w:b/>
          <w:szCs w:val="21"/>
        </w:rPr>
      </w:pPr>
      <w:r w:rsidRPr="00920D0E">
        <w:rPr>
          <w:rFonts w:asciiTheme="minorEastAsia" w:hAnsiTheme="minorEastAsia"/>
          <w:b/>
          <w:szCs w:val="21"/>
        </w:rPr>
        <w:t>六</w:t>
      </w:r>
      <w:r w:rsidRPr="00920D0E">
        <w:rPr>
          <w:rFonts w:asciiTheme="minorEastAsia" w:hAnsiTheme="minorEastAsia" w:hint="eastAsia"/>
          <w:b/>
          <w:szCs w:val="21"/>
        </w:rPr>
        <w:t>、</w:t>
      </w:r>
      <w:r w:rsidRPr="00920D0E">
        <w:rPr>
          <w:rFonts w:asciiTheme="minorEastAsia" w:hAnsiTheme="minorEastAsia"/>
          <w:b/>
          <w:szCs w:val="21"/>
        </w:rPr>
        <w:t>其他情况说明</w:t>
      </w:r>
    </w:p>
    <w:p w14:paraId="7EA2C11C" w14:textId="77777777" w:rsidR="00ED549B" w:rsidRPr="00DB42CA" w:rsidRDefault="00497FFB" w:rsidP="00ED549B">
      <w:pPr>
        <w:spacing w:line="340" w:lineRule="exact"/>
        <w:ind w:firstLineChars="200" w:firstLine="420"/>
        <w:contextualSpacing/>
        <w:rPr>
          <w:rFonts w:asciiTheme="minorEastAsia" w:hAnsiTheme="minorEastAsia"/>
          <w:bCs/>
          <w:szCs w:val="21"/>
        </w:rPr>
      </w:pPr>
      <w:r w:rsidRPr="00920D0E">
        <w:rPr>
          <w:rFonts w:asciiTheme="minorEastAsia" w:hAnsiTheme="minorEastAsia" w:hint="eastAsia"/>
          <w:szCs w:val="21"/>
        </w:rPr>
        <w:t>无</w:t>
      </w:r>
    </w:p>
    <w:sectPr w:rsidR="00ED549B" w:rsidRPr="00DB42CA" w:rsidSect="009E6A0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0AEFE" w14:textId="77777777" w:rsidR="00A22E65" w:rsidRDefault="00A22E65" w:rsidP="00322DFB">
      <w:r>
        <w:separator/>
      </w:r>
    </w:p>
  </w:endnote>
  <w:endnote w:type="continuationSeparator" w:id="0">
    <w:p w14:paraId="31A90261" w14:textId="77777777" w:rsidR="00A22E65" w:rsidRDefault="00A22E65"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4BD78143" w14:textId="77777777" w:rsidR="00461049" w:rsidRDefault="00461049">
        <w:pPr>
          <w:pStyle w:val="a4"/>
          <w:jc w:val="center"/>
        </w:pPr>
        <w:r>
          <w:fldChar w:fldCharType="begin"/>
        </w:r>
        <w:r>
          <w:instrText>PAGE   \* MERGEFORMAT</w:instrText>
        </w:r>
        <w:r>
          <w:fldChar w:fldCharType="separate"/>
        </w:r>
        <w:r w:rsidR="00DD106B" w:rsidRPr="00DD106B">
          <w:rPr>
            <w:noProof/>
            <w:lang w:val="zh-CN"/>
          </w:rPr>
          <w:t>4</w:t>
        </w:r>
        <w:r>
          <w:fldChar w:fldCharType="end"/>
        </w:r>
      </w:p>
    </w:sdtContent>
  </w:sdt>
  <w:p w14:paraId="2586BB5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AE8E7" w14:textId="77777777" w:rsidR="00A22E65" w:rsidRDefault="00A22E65" w:rsidP="00322DFB">
      <w:r>
        <w:separator/>
      </w:r>
    </w:p>
  </w:footnote>
  <w:footnote w:type="continuationSeparator" w:id="0">
    <w:p w14:paraId="06F9AB91" w14:textId="77777777" w:rsidR="00A22E65" w:rsidRDefault="00A22E65"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38E"/>
    <w:rsid w:val="00002635"/>
    <w:rsid w:val="000028DB"/>
    <w:rsid w:val="00005780"/>
    <w:rsid w:val="00074340"/>
    <w:rsid w:val="0008244C"/>
    <w:rsid w:val="00095BBF"/>
    <w:rsid w:val="000C07A8"/>
    <w:rsid w:val="000D0263"/>
    <w:rsid w:val="000D7E21"/>
    <w:rsid w:val="000F41FE"/>
    <w:rsid w:val="001343EF"/>
    <w:rsid w:val="00135183"/>
    <w:rsid w:val="0018376C"/>
    <w:rsid w:val="001A6B72"/>
    <w:rsid w:val="001A7C67"/>
    <w:rsid w:val="001B284E"/>
    <w:rsid w:val="001B3FDC"/>
    <w:rsid w:val="0021250B"/>
    <w:rsid w:val="0021693F"/>
    <w:rsid w:val="00255E66"/>
    <w:rsid w:val="00277AFB"/>
    <w:rsid w:val="002876C1"/>
    <w:rsid w:val="002918DB"/>
    <w:rsid w:val="002F33D7"/>
    <w:rsid w:val="00322DFB"/>
    <w:rsid w:val="00330D17"/>
    <w:rsid w:val="00335CDB"/>
    <w:rsid w:val="00386B96"/>
    <w:rsid w:val="00393690"/>
    <w:rsid w:val="003E6D43"/>
    <w:rsid w:val="0041343D"/>
    <w:rsid w:val="00461049"/>
    <w:rsid w:val="00480195"/>
    <w:rsid w:val="004929BF"/>
    <w:rsid w:val="00497FFB"/>
    <w:rsid w:val="004C7F14"/>
    <w:rsid w:val="004D419D"/>
    <w:rsid w:val="00514EF3"/>
    <w:rsid w:val="0053329A"/>
    <w:rsid w:val="005456C6"/>
    <w:rsid w:val="0058312A"/>
    <w:rsid w:val="00586A70"/>
    <w:rsid w:val="005B0FEE"/>
    <w:rsid w:val="005E25CC"/>
    <w:rsid w:val="00663768"/>
    <w:rsid w:val="006643F3"/>
    <w:rsid w:val="00667DFB"/>
    <w:rsid w:val="00671504"/>
    <w:rsid w:val="00673808"/>
    <w:rsid w:val="006778AD"/>
    <w:rsid w:val="006C3084"/>
    <w:rsid w:val="006F7DC8"/>
    <w:rsid w:val="00701050"/>
    <w:rsid w:val="00733ED9"/>
    <w:rsid w:val="00735306"/>
    <w:rsid w:val="0074088E"/>
    <w:rsid w:val="00752159"/>
    <w:rsid w:val="00796F91"/>
    <w:rsid w:val="007D640D"/>
    <w:rsid w:val="007E53B8"/>
    <w:rsid w:val="008154FF"/>
    <w:rsid w:val="008436C9"/>
    <w:rsid w:val="008B70D9"/>
    <w:rsid w:val="008D155B"/>
    <w:rsid w:val="008D39EF"/>
    <w:rsid w:val="00920D0E"/>
    <w:rsid w:val="009238BA"/>
    <w:rsid w:val="00934ED3"/>
    <w:rsid w:val="00937FF3"/>
    <w:rsid w:val="00951ECA"/>
    <w:rsid w:val="00971779"/>
    <w:rsid w:val="00975C1D"/>
    <w:rsid w:val="00976C18"/>
    <w:rsid w:val="00981CBC"/>
    <w:rsid w:val="009B5CE5"/>
    <w:rsid w:val="009C6ABD"/>
    <w:rsid w:val="009D6774"/>
    <w:rsid w:val="009E6A0A"/>
    <w:rsid w:val="009E7105"/>
    <w:rsid w:val="009F1E42"/>
    <w:rsid w:val="00A12F39"/>
    <w:rsid w:val="00A22E65"/>
    <w:rsid w:val="00A4204A"/>
    <w:rsid w:val="00A670BE"/>
    <w:rsid w:val="00A70807"/>
    <w:rsid w:val="00A85F79"/>
    <w:rsid w:val="00AE7632"/>
    <w:rsid w:val="00AF0BAC"/>
    <w:rsid w:val="00AF4C00"/>
    <w:rsid w:val="00B004A9"/>
    <w:rsid w:val="00B02901"/>
    <w:rsid w:val="00B0443E"/>
    <w:rsid w:val="00B06AF1"/>
    <w:rsid w:val="00B13C49"/>
    <w:rsid w:val="00B1573C"/>
    <w:rsid w:val="00B27CCD"/>
    <w:rsid w:val="00B34F28"/>
    <w:rsid w:val="00B414B9"/>
    <w:rsid w:val="00BA4E5C"/>
    <w:rsid w:val="00BD08B1"/>
    <w:rsid w:val="00BE5320"/>
    <w:rsid w:val="00BF0199"/>
    <w:rsid w:val="00BF19E2"/>
    <w:rsid w:val="00C04FCF"/>
    <w:rsid w:val="00C11C11"/>
    <w:rsid w:val="00C23099"/>
    <w:rsid w:val="00C67227"/>
    <w:rsid w:val="00C87C45"/>
    <w:rsid w:val="00C9276B"/>
    <w:rsid w:val="00CD53C6"/>
    <w:rsid w:val="00D20757"/>
    <w:rsid w:val="00D248D0"/>
    <w:rsid w:val="00D31834"/>
    <w:rsid w:val="00D4452C"/>
    <w:rsid w:val="00D6161D"/>
    <w:rsid w:val="00DB42CA"/>
    <w:rsid w:val="00DD106B"/>
    <w:rsid w:val="00DF2E19"/>
    <w:rsid w:val="00E0755E"/>
    <w:rsid w:val="00E427AF"/>
    <w:rsid w:val="00E53881"/>
    <w:rsid w:val="00E53ABF"/>
    <w:rsid w:val="00E844CD"/>
    <w:rsid w:val="00E860FF"/>
    <w:rsid w:val="00E8679F"/>
    <w:rsid w:val="00E8779C"/>
    <w:rsid w:val="00EB271C"/>
    <w:rsid w:val="00EC715F"/>
    <w:rsid w:val="00ED549B"/>
    <w:rsid w:val="00EF1EB4"/>
    <w:rsid w:val="00F13169"/>
    <w:rsid w:val="00F13F63"/>
    <w:rsid w:val="00F214CE"/>
    <w:rsid w:val="00F34626"/>
    <w:rsid w:val="00F37ED9"/>
    <w:rsid w:val="00F86B88"/>
    <w:rsid w:val="00FA0CFC"/>
    <w:rsid w:val="00FE117F"/>
    <w:rsid w:val="00FE1995"/>
    <w:rsid w:val="00FF1673"/>
    <w:rsid w:val="00FF479E"/>
    <w:rsid w:val="00FF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B86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248D0"/>
    <w:rPr>
      <w:sz w:val="18"/>
      <w:szCs w:val="18"/>
    </w:rPr>
  </w:style>
  <w:style w:type="character" w:customStyle="1" w:styleId="Char2">
    <w:name w:val="批注框文本 Char"/>
    <w:basedOn w:val="a0"/>
    <w:link w:val="ab"/>
    <w:uiPriority w:val="99"/>
    <w:semiHidden/>
    <w:rsid w:val="00D248D0"/>
    <w:rPr>
      <w:sz w:val="18"/>
      <w:szCs w:val="18"/>
    </w:rPr>
  </w:style>
  <w:style w:type="character" w:styleId="ac">
    <w:name w:val="annotation reference"/>
    <w:basedOn w:val="a0"/>
    <w:uiPriority w:val="99"/>
    <w:semiHidden/>
    <w:unhideWhenUsed/>
    <w:rsid w:val="00586A70"/>
    <w:rPr>
      <w:sz w:val="21"/>
      <w:szCs w:val="21"/>
    </w:rPr>
  </w:style>
  <w:style w:type="paragraph" w:styleId="ad">
    <w:name w:val="annotation text"/>
    <w:basedOn w:val="a"/>
    <w:link w:val="Char3"/>
    <w:uiPriority w:val="99"/>
    <w:semiHidden/>
    <w:unhideWhenUsed/>
    <w:rsid w:val="00586A70"/>
    <w:pPr>
      <w:jc w:val="left"/>
    </w:pPr>
  </w:style>
  <w:style w:type="character" w:customStyle="1" w:styleId="Char3">
    <w:name w:val="批注文字 Char"/>
    <w:basedOn w:val="a0"/>
    <w:link w:val="ad"/>
    <w:uiPriority w:val="99"/>
    <w:semiHidden/>
    <w:rsid w:val="00586A70"/>
  </w:style>
  <w:style w:type="paragraph" w:styleId="ae">
    <w:name w:val="annotation subject"/>
    <w:basedOn w:val="ad"/>
    <w:next w:val="ad"/>
    <w:link w:val="Char4"/>
    <w:uiPriority w:val="99"/>
    <w:semiHidden/>
    <w:unhideWhenUsed/>
    <w:rsid w:val="00586A70"/>
    <w:rPr>
      <w:b/>
      <w:bCs/>
    </w:rPr>
  </w:style>
  <w:style w:type="character" w:customStyle="1" w:styleId="Char4">
    <w:name w:val="批注主题 Char"/>
    <w:basedOn w:val="Char3"/>
    <w:link w:val="ae"/>
    <w:uiPriority w:val="99"/>
    <w:semiHidden/>
    <w:rsid w:val="0058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4319-BD87-460E-99EE-6D0F2D50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86</cp:revision>
  <cp:lastPrinted>2020-08-25T10:35:00Z</cp:lastPrinted>
  <dcterms:created xsi:type="dcterms:W3CDTF">2020-06-18T02:43:00Z</dcterms:created>
  <dcterms:modified xsi:type="dcterms:W3CDTF">2020-12-23T01:57:00Z</dcterms:modified>
</cp:coreProperties>
</file>