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2DEA0" w14:textId="77777777" w:rsidR="008D39EF" w:rsidRPr="0004273C" w:rsidRDefault="00A85F79" w:rsidP="008D39EF">
      <w:pPr>
        <w:jc w:val="center"/>
        <w:rPr>
          <w:rFonts w:ascii="黑体" w:eastAsia="黑体" w:hAnsi="黑体" w:cs="Times New Roman"/>
          <w:sz w:val="32"/>
          <w:szCs w:val="44"/>
        </w:rPr>
      </w:pPr>
      <w:r w:rsidRPr="0004273C">
        <w:rPr>
          <w:rFonts w:ascii="黑体" w:eastAsia="黑体" w:hAnsi="黑体" w:cs="Times New Roman" w:hint="eastAsia"/>
          <w:sz w:val="32"/>
          <w:szCs w:val="44"/>
        </w:rPr>
        <w:t>东方</w:t>
      </w:r>
      <w:r w:rsidRPr="0004273C">
        <w:rPr>
          <w:rFonts w:ascii="黑体" w:eastAsia="黑体" w:hAnsi="黑体" w:cs="Times New Roman"/>
          <w:sz w:val="32"/>
          <w:szCs w:val="44"/>
        </w:rPr>
        <w:t>阿尔法精选灵活配置混合型发起式证券投资</w:t>
      </w:r>
      <w:r w:rsidR="00322DFB" w:rsidRPr="0004273C">
        <w:rPr>
          <w:rFonts w:ascii="黑体" w:eastAsia="黑体" w:hAnsi="黑体" w:cs="Times New Roman"/>
          <w:sz w:val="32"/>
          <w:szCs w:val="44"/>
        </w:rPr>
        <w:t>基金（</w:t>
      </w:r>
      <w:r w:rsidR="00AF4C00" w:rsidRPr="0004273C">
        <w:rPr>
          <w:rFonts w:ascii="黑体" w:eastAsia="黑体" w:hAnsi="黑体" w:cs="Times New Roman"/>
          <w:sz w:val="32"/>
          <w:szCs w:val="44"/>
        </w:rPr>
        <w:t>A类</w:t>
      </w:r>
      <w:r w:rsidR="00322DFB" w:rsidRPr="0004273C">
        <w:rPr>
          <w:rFonts w:ascii="黑体" w:eastAsia="黑体" w:hAnsi="黑体" w:cs="Times New Roman"/>
          <w:sz w:val="32"/>
          <w:szCs w:val="44"/>
        </w:rPr>
        <w:t>份额）</w:t>
      </w:r>
    </w:p>
    <w:p w14:paraId="1F738AAD" w14:textId="633871A2" w:rsidR="009C6ABD" w:rsidRPr="0004273C" w:rsidRDefault="00322DFB" w:rsidP="008D39EF">
      <w:pPr>
        <w:jc w:val="center"/>
        <w:rPr>
          <w:rFonts w:ascii="黑体" w:eastAsia="黑体" w:hAnsi="黑体" w:cs="Times New Roman"/>
          <w:sz w:val="32"/>
          <w:szCs w:val="44"/>
        </w:rPr>
      </w:pPr>
      <w:r w:rsidRPr="0004273C">
        <w:rPr>
          <w:rFonts w:ascii="黑体" w:eastAsia="黑体" w:hAnsi="黑体" w:cs="Times New Roman"/>
          <w:sz w:val="32"/>
          <w:szCs w:val="44"/>
        </w:rPr>
        <w:t>基金产品资料概要</w:t>
      </w:r>
      <w:r w:rsidR="00FD1D90" w:rsidRPr="00FD1D90">
        <w:rPr>
          <w:rFonts w:ascii="黑体" w:eastAsia="黑体" w:hAnsi="黑体" w:cs="Times New Roman" w:hint="eastAsia"/>
          <w:sz w:val="32"/>
          <w:szCs w:val="44"/>
        </w:rPr>
        <w:t>更新</w:t>
      </w:r>
    </w:p>
    <w:p w14:paraId="2E9BCD90" w14:textId="2C90A97A" w:rsidR="001A6B72" w:rsidRPr="0004273C" w:rsidRDefault="00322DFB" w:rsidP="009C6ABD">
      <w:pPr>
        <w:spacing w:afterLines="50" w:after="156"/>
        <w:jc w:val="right"/>
        <w:rPr>
          <w:rFonts w:asciiTheme="minorEastAsia" w:hAnsiTheme="minorEastAsia"/>
        </w:rPr>
      </w:pPr>
      <w:r w:rsidRPr="0004273C">
        <w:rPr>
          <w:rFonts w:asciiTheme="minorEastAsia" w:hAnsiTheme="minorEastAsia" w:hint="eastAsia"/>
        </w:rPr>
        <w:t>编制日期：</w:t>
      </w:r>
      <w:r w:rsidR="007B28BF">
        <w:rPr>
          <w:rFonts w:asciiTheme="minorEastAsia" w:hAnsiTheme="minorEastAsia" w:hint="eastAsia"/>
        </w:rPr>
        <w:t>2</w:t>
      </w:r>
      <w:r w:rsidR="007B28BF">
        <w:rPr>
          <w:rFonts w:asciiTheme="minorEastAsia" w:hAnsiTheme="minorEastAsia"/>
        </w:rPr>
        <w:t>021</w:t>
      </w:r>
      <w:r w:rsidR="00641DF8" w:rsidRPr="0004273C">
        <w:rPr>
          <w:rFonts w:asciiTheme="minorEastAsia" w:hAnsiTheme="minorEastAsia" w:hint="eastAsia"/>
        </w:rPr>
        <w:t>年</w:t>
      </w:r>
      <w:r w:rsidR="00126062">
        <w:rPr>
          <w:rFonts w:asciiTheme="minorEastAsia" w:hAnsiTheme="minorEastAsia"/>
        </w:rPr>
        <w:t>8</w:t>
      </w:r>
      <w:r w:rsidRPr="0004273C">
        <w:rPr>
          <w:rFonts w:asciiTheme="minorEastAsia" w:hAnsiTheme="minorEastAsia" w:hint="eastAsia"/>
        </w:rPr>
        <w:t>月</w:t>
      </w:r>
      <w:r w:rsidR="00126062">
        <w:rPr>
          <w:rFonts w:asciiTheme="minorEastAsia" w:hAnsiTheme="minorEastAsia"/>
        </w:rPr>
        <w:t>2</w:t>
      </w:r>
      <w:r w:rsidRPr="0004273C">
        <w:rPr>
          <w:rFonts w:asciiTheme="minorEastAsia" w:hAnsiTheme="minorEastAsia"/>
        </w:rPr>
        <w:t>日</w:t>
      </w:r>
    </w:p>
    <w:p w14:paraId="2A29E86D" w14:textId="7588C469" w:rsidR="008D39EF" w:rsidRPr="0004273C" w:rsidRDefault="008D39EF" w:rsidP="008D39EF">
      <w:pPr>
        <w:spacing w:afterLines="50" w:after="156"/>
        <w:ind w:right="420"/>
        <w:jc w:val="center"/>
        <w:rPr>
          <w:rFonts w:asciiTheme="minorEastAsia" w:hAnsiTheme="minorEastAsia"/>
        </w:rPr>
      </w:pPr>
      <w:r w:rsidRPr="0004273C">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3EEE88C" wp14:editId="2F5C453C">
                <wp:simplePos x="0" y="0"/>
                <wp:positionH relativeFrom="margin">
                  <wp:posOffset>237047</wp:posOffset>
                </wp:positionH>
                <wp:positionV relativeFrom="paragraph">
                  <wp:posOffset>254473</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73EEE88C" id="_x0000_t202" coordsize="21600,21600" o:spt="202" path="m,l,21600r21600,l21600,xe">
                <v:stroke joinstyle="miter"/>
                <v:path gradientshapeok="t" o:connecttype="rect"/>
              </v:shapetype>
              <v:shape id="文本框 2" o:spid="_x0000_s1026" type="#_x0000_t202" style="position:absolute;left:0;text-align:left;margin-left:18.65pt;margin-top:20.05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" stroked="f">
                <v:textbox style="mso-fit-shape-to-text:t">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4273C">
        <w:rPr>
          <w:rFonts w:asciiTheme="minorEastAsia" w:hAnsiTheme="minorEastAsia"/>
        </w:rPr>
        <w:t>送出日期</w:t>
      </w:r>
      <w:r w:rsidRPr="0004273C">
        <w:rPr>
          <w:rFonts w:asciiTheme="minorEastAsia" w:hAnsiTheme="minorEastAsia" w:hint="eastAsia"/>
        </w:rPr>
        <w:t>：</w:t>
      </w:r>
      <w:r w:rsidR="007B28BF">
        <w:rPr>
          <w:rFonts w:asciiTheme="minorEastAsia" w:hAnsiTheme="minorEastAsia"/>
        </w:rPr>
        <w:t>2021</w:t>
      </w:r>
      <w:r w:rsidRPr="0004273C">
        <w:rPr>
          <w:rFonts w:asciiTheme="minorEastAsia" w:hAnsiTheme="minorEastAsia"/>
        </w:rPr>
        <w:t>年</w:t>
      </w:r>
      <w:r w:rsidR="002206D4">
        <w:rPr>
          <w:rFonts w:asciiTheme="minorEastAsia" w:hAnsiTheme="minorEastAsia"/>
        </w:rPr>
        <w:t>8</w:t>
      </w:r>
      <w:r w:rsidRPr="0004273C">
        <w:rPr>
          <w:rFonts w:asciiTheme="minorEastAsia" w:hAnsiTheme="minorEastAsia"/>
        </w:rPr>
        <w:t>月</w:t>
      </w:r>
      <w:r w:rsidR="00126062">
        <w:rPr>
          <w:rFonts w:asciiTheme="minorEastAsia" w:hAnsiTheme="minorEastAsia"/>
        </w:rPr>
        <w:t>3</w:t>
      </w:r>
      <w:bookmarkStart w:id="0" w:name="_GoBack"/>
      <w:bookmarkEnd w:id="0"/>
      <w:r w:rsidRPr="0004273C">
        <w:rPr>
          <w:rFonts w:asciiTheme="minorEastAsia" w:hAnsiTheme="minorEastAsia"/>
        </w:rPr>
        <w:t>日</w:t>
      </w:r>
    </w:p>
    <w:p w14:paraId="24C672A5" w14:textId="77777777" w:rsidR="008D39EF" w:rsidRPr="0004273C" w:rsidRDefault="008D39EF" w:rsidP="009C6ABD">
      <w:pPr>
        <w:spacing w:afterLines="50" w:after="156"/>
        <w:jc w:val="right"/>
        <w:rPr>
          <w:rFonts w:ascii="华文仿宋" w:eastAsia="华文仿宋" w:hAnsi="华文仿宋"/>
        </w:rPr>
      </w:pPr>
    </w:p>
    <w:p w14:paraId="6C28DDA2" w14:textId="77777777" w:rsidR="008D39EF" w:rsidRPr="0004273C" w:rsidRDefault="008D39EF" w:rsidP="008D39EF">
      <w:pPr>
        <w:spacing w:afterLines="50" w:after="156"/>
        <w:ind w:right="840"/>
      </w:pPr>
    </w:p>
    <w:p w14:paraId="76CB8ACE" w14:textId="77777777" w:rsidR="00322DFB" w:rsidRPr="0004273C" w:rsidRDefault="00074340" w:rsidP="00074340">
      <w:pPr>
        <w:rPr>
          <w:rStyle w:val="a7"/>
          <w:rFonts w:asciiTheme="minorEastAsia" w:hAnsiTheme="minorEastAsia"/>
          <w:b/>
          <w:i w:val="0"/>
          <w:color w:val="auto"/>
          <w:szCs w:val="21"/>
        </w:rPr>
      </w:pPr>
      <w:r w:rsidRPr="0004273C">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9F56BF" w:rsidRPr="0004273C" w14:paraId="795EBFD8" w14:textId="77777777" w:rsidTr="009B118C">
        <w:trPr>
          <w:trHeight w:val="20"/>
        </w:trPr>
        <w:tc>
          <w:tcPr>
            <w:tcW w:w="1985" w:type="dxa"/>
          </w:tcPr>
          <w:p w14:paraId="799903E2" w14:textId="77777777" w:rsidR="00AF4C00" w:rsidRPr="0004273C" w:rsidRDefault="00AF4C00" w:rsidP="00074340">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基金简称</w:t>
            </w:r>
          </w:p>
        </w:tc>
        <w:tc>
          <w:tcPr>
            <w:tcW w:w="2977" w:type="dxa"/>
          </w:tcPr>
          <w:p w14:paraId="7E36E976" w14:textId="7C085E58" w:rsidR="00AF4C00" w:rsidRPr="0004273C" w:rsidRDefault="00AF4C00" w:rsidP="00AF4C00">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东方阿尔法精选混合</w:t>
            </w:r>
          </w:p>
        </w:tc>
        <w:tc>
          <w:tcPr>
            <w:tcW w:w="2551" w:type="dxa"/>
          </w:tcPr>
          <w:p w14:paraId="1BA75785" w14:textId="484452C9" w:rsidR="00AF4C00" w:rsidRPr="0004273C" w:rsidRDefault="00AF4C00" w:rsidP="00074340">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w:t>
            </w:r>
            <w:r w:rsidR="00700278" w:rsidRPr="0004273C">
              <w:rPr>
                <w:rFonts w:asciiTheme="minorEastAsia" w:hAnsiTheme="minorEastAsia" w:hint="eastAsia"/>
                <w:b/>
                <w:szCs w:val="21"/>
              </w:rPr>
              <w:t>主</w:t>
            </w:r>
            <w:r w:rsidRPr="0004273C">
              <w:rPr>
                <w:rFonts w:asciiTheme="minorEastAsia" w:hAnsiTheme="minorEastAsia" w:hint="eastAsia"/>
                <w:b/>
                <w:szCs w:val="21"/>
              </w:rPr>
              <w:t>代码</w:t>
            </w:r>
          </w:p>
        </w:tc>
        <w:tc>
          <w:tcPr>
            <w:tcW w:w="2410" w:type="dxa"/>
            <w:gridSpan w:val="2"/>
          </w:tcPr>
          <w:p w14:paraId="7DD54255" w14:textId="77777777" w:rsidR="00AF4C00" w:rsidRPr="0004273C" w:rsidRDefault="00AF4C00" w:rsidP="00AF4C00">
            <w:pPr>
              <w:pStyle w:val="a5"/>
              <w:spacing w:line="360" w:lineRule="exact"/>
              <w:ind w:firstLineChars="0" w:firstLine="0"/>
              <w:rPr>
                <w:rFonts w:asciiTheme="minorEastAsia" w:hAnsiTheme="minorEastAsia"/>
                <w:szCs w:val="21"/>
              </w:rPr>
            </w:pPr>
            <w:r w:rsidRPr="0004273C">
              <w:rPr>
                <w:rFonts w:asciiTheme="minorEastAsia" w:hAnsiTheme="minorEastAsia"/>
                <w:szCs w:val="21"/>
              </w:rPr>
              <w:t>005358</w:t>
            </w:r>
          </w:p>
        </w:tc>
      </w:tr>
      <w:tr w:rsidR="009F56BF" w:rsidRPr="0004273C" w14:paraId="11C47F77" w14:textId="77777777" w:rsidTr="009B118C">
        <w:trPr>
          <w:trHeight w:val="20"/>
        </w:trPr>
        <w:tc>
          <w:tcPr>
            <w:tcW w:w="1985" w:type="dxa"/>
          </w:tcPr>
          <w:p w14:paraId="3365DBC1" w14:textId="41FAFF41" w:rsidR="00D32D99" w:rsidRPr="0004273C" w:rsidRDefault="000633E1"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下属</w:t>
            </w:r>
            <w:r w:rsidR="00D32D99" w:rsidRPr="0004273C">
              <w:rPr>
                <w:rFonts w:asciiTheme="minorEastAsia" w:hAnsiTheme="minorEastAsia" w:hint="eastAsia"/>
                <w:b/>
                <w:szCs w:val="21"/>
              </w:rPr>
              <w:t>基金简称</w:t>
            </w:r>
          </w:p>
        </w:tc>
        <w:tc>
          <w:tcPr>
            <w:tcW w:w="2977" w:type="dxa"/>
          </w:tcPr>
          <w:p w14:paraId="65AC4750" w14:textId="5637DD31"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东方阿尔法精选混合A</w:t>
            </w:r>
          </w:p>
        </w:tc>
        <w:tc>
          <w:tcPr>
            <w:tcW w:w="2551" w:type="dxa"/>
          </w:tcPr>
          <w:p w14:paraId="1D38BDDA" w14:textId="2821A236" w:rsidR="00D32D99" w:rsidRPr="0004273C" w:rsidRDefault="000633E1"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下属</w:t>
            </w:r>
            <w:r w:rsidR="00D32D99" w:rsidRPr="0004273C">
              <w:rPr>
                <w:rFonts w:asciiTheme="minorEastAsia" w:hAnsiTheme="minorEastAsia" w:hint="eastAsia"/>
                <w:b/>
                <w:szCs w:val="21"/>
              </w:rPr>
              <w:t>基金的基金代码</w:t>
            </w:r>
          </w:p>
        </w:tc>
        <w:tc>
          <w:tcPr>
            <w:tcW w:w="2410" w:type="dxa"/>
            <w:gridSpan w:val="2"/>
          </w:tcPr>
          <w:p w14:paraId="24D81C5A" w14:textId="4287A59B"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005358</w:t>
            </w:r>
          </w:p>
        </w:tc>
      </w:tr>
      <w:tr w:rsidR="009F56BF" w:rsidRPr="0004273C" w14:paraId="27D38372" w14:textId="77777777" w:rsidTr="009B118C">
        <w:trPr>
          <w:trHeight w:val="20"/>
        </w:trPr>
        <w:tc>
          <w:tcPr>
            <w:tcW w:w="1985" w:type="dxa"/>
          </w:tcPr>
          <w:p w14:paraId="42F2C32B"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基金管理人</w:t>
            </w:r>
          </w:p>
        </w:tc>
        <w:tc>
          <w:tcPr>
            <w:tcW w:w="2977" w:type="dxa"/>
            <w:tcBorders>
              <w:bottom w:val="single" w:sz="4" w:space="0" w:color="auto"/>
            </w:tcBorders>
          </w:tcPr>
          <w:p w14:paraId="763632A4"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东方阿尔法基金管理有限公司</w:t>
            </w:r>
          </w:p>
        </w:tc>
        <w:tc>
          <w:tcPr>
            <w:tcW w:w="2551" w:type="dxa"/>
            <w:tcBorders>
              <w:bottom w:val="single" w:sz="4" w:space="0" w:color="auto"/>
            </w:tcBorders>
          </w:tcPr>
          <w:p w14:paraId="1841BE9B"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基金托管人</w:t>
            </w:r>
          </w:p>
        </w:tc>
        <w:tc>
          <w:tcPr>
            <w:tcW w:w="2410" w:type="dxa"/>
            <w:gridSpan w:val="2"/>
            <w:tcBorders>
              <w:bottom w:val="single" w:sz="4" w:space="0" w:color="auto"/>
            </w:tcBorders>
          </w:tcPr>
          <w:p w14:paraId="2D3A120F"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招商银行股份有限公司</w:t>
            </w:r>
          </w:p>
        </w:tc>
      </w:tr>
      <w:tr w:rsidR="009F56BF" w:rsidRPr="0004273C" w14:paraId="3CBB6547" w14:textId="0DB4EBF4" w:rsidTr="009B118C">
        <w:trPr>
          <w:trHeight w:val="20"/>
        </w:trPr>
        <w:tc>
          <w:tcPr>
            <w:tcW w:w="1985" w:type="dxa"/>
          </w:tcPr>
          <w:p w14:paraId="78667684" w14:textId="77777777" w:rsidR="009B118C" w:rsidRPr="0004273C" w:rsidRDefault="009B118C"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基金合同生效日</w:t>
            </w:r>
          </w:p>
        </w:tc>
        <w:tc>
          <w:tcPr>
            <w:tcW w:w="2977" w:type="dxa"/>
            <w:tcBorders>
              <w:right w:val="nil"/>
            </w:tcBorders>
          </w:tcPr>
          <w:p w14:paraId="4809D84A" w14:textId="44D60B87" w:rsidR="009B118C" w:rsidRPr="0004273C" w:rsidRDefault="009B118C"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2018年2月8日</w:t>
            </w:r>
          </w:p>
        </w:tc>
        <w:tc>
          <w:tcPr>
            <w:tcW w:w="2558" w:type="dxa"/>
            <w:gridSpan w:val="2"/>
            <w:tcBorders>
              <w:left w:val="nil"/>
              <w:right w:val="nil"/>
            </w:tcBorders>
          </w:tcPr>
          <w:p w14:paraId="0AB3764C" w14:textId="2B441650" w:rsidR="009B118C" w:rsidRPr="0004273C" w:rsidRDefault="009B118C" w:rsidP="009B118C">
            <w:pPr>
              <w:pStyle w:val="a5"/>
              <w:spacing w:line="360" w:lineRule="exact"/>
              <w:ind w:firstLineChars="0" w:firstLine="0"/>
              <w:rPr>
                <w:rFonts w:asciiTheme="minorEastAsia" w:hAnsiTheme="minorEastAsia"/>
                <w:b/>
                <w:szCs w:val="21"/>
              </w:rPr>
            </w:pPr>
            <w:r w:rsidRPr="0004273C">
              <w:rPr>
                <w:rFonts w:asciiTheme="minorEastAsia" w:hAnsiTheme="minorEastAsia"/>
                <w:b/>
                <w:szCs w:val="21"/>
              </w:rPr>
              <w:t>上市交易所及上市日期</w:t>
            </w:r>
          </w:p>
        </w:tc>
        <w:tc>
          <w:tcPr>
            <w:tcW w:w="2403" w:type="dxa"/>
            <w:tcBorders>
              <w:left w:val="nil"/>
            </w:tcBorders>
          </w:tcPr>
          <w:p w14:paraId="70CC9879" w14:textId="48988001" w:rsidR="009B118C" w:rsidRPr="0004273C" w:rsidRDefault="009B118C" w:rsidP="009B118C">
            <w:pPr>
              <w:pStyle w:val="a5"/>
              <w:spacing w:line="360" w:lineRule="exact"/>
              <w:ind w:firstLineChars="0" w:firstLine="0"/>
              <w:rPr>
                <w:rFonts w:asciiTheme="minorEastAsia" w:hAnsiTheme="minorEastAsia"/>
                <w:szCs w:val="21"/>
              </w:rPr>
            </w:pPr>
            <w:r w:rsidRPr="0004273C">
              <w:rPr>
                <w:rFonts w:asciiTheme="minorEastAsia" w:hAnsiTheme="minorEastAsia"/>
                <w:szCs w:val="21"/>
              </w:rPr>
              <w:t>暂未上市</w:t>
            </w:r>
          </w:p>
        </w:tc>
      </w:tr>
      <w:tr w:rsidR="009F56BF" w:rsidRPr="0004273C" w14:paraId="4A682878" w14:textId="77777777" w:rsidTr="009B118C">
        <w:trPr>
          <w:trHeight w:val="20"/>
        </w:trPr>
        <w:tc>
          <w:tcPr>
            <w:tcW w:w="1985" w:type="dxa"/>
          </w:tcPr>
          <w:p w14:paraId="7C2918D3"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基金类型</w:t>
            </w:r>
          </w:p>
        </w:tc>
        <w:tc>
          <w:tcPr>
            <w:tcW w:w="2977" w:type="dxa"/>
            <w:tcBorders>
              <w:right w:val="nil"/>
            </w:tcBorders>
          </w:tcPr>
          <w:p w14:paraId="4FAA5428"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混合型</w:t>
            </w:r>
          </w:p>
        </w:tc>
        <w:tc>
          <w:tcPr>
            <w:tcW w:w="2551" w:type="dxa"/>
            <w:tcBorders>
              <w:left w:val="nil"/>
              <w:right w:val="nil"/>
            </w:tcBorders>
          </w:tcPr>
          <w:p w14:paraId="546B65F6"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交易币种</w:t>
            </w:r>
          </w:p>
        </w:tc>
        <w:tc>
          <w:tcPr>
            <w:tcW w:w="2410" w:type="dxa"/>
            <w:gridSpan w:val="2"/>
            <w:tcBorders>
              <w:left w:val="nil"/>
            </w:tcBorders>
          </w:tcPr>
          <w:p w14:paraId="373369A1"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人民币</w:t>
            </w:r>
          </w:p>
        </w:tc>
      </w:tr>
      <w:tr w:rsidR="009F56BF" w:rsidRPr="0004273C" w14:paraId="5696886E" w14:textId="77777777" w:rsidTr="009B118C">
        <w:trPr>
          <w:trHeight w:val="20"/>
        </w:trPr>
        <w:tc>
          <w:tcPr>
            <w:tcW w:w="1985" w:type="dxa"/>
          </w:tcPr>
          <w:p w14:paraId="18E55B6A"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运作方式</w:t>
            </w:r>
          </w:p>
        </w:tc>
        <w:tc>
          <w:tcPr>
            <w:tcW w:w="2977" w:type="dxa"/>
          </w:tcPr>
          <w:p w14:paraId="31F0A07D" w14:textId="0953E8ED"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普通开放式</w:t>
            </w:r>
          </w:p>
        </w:tc>
        <w:tc>
          <w:tcPr>
            <w:tcW w:w="2551" w:type="dxa"/>
          </w:tcPr>
          <w:p w14:paraId="7749B0FA"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开放频率</w:t>
            </w:r>
          </w:p>
        </w:tc>
        <w:tc>
          <w:tcPr>
            <w:tcW w:w="2410" w:type="dxa"/>
            <w:gridSpan w:val="2"/>
          </w:tcPr>
          <w:p w14:paraId="6117514B"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每个开放日</w:t>
            </w:r>
          </w:p>
        </w:tc>
      </w:tr>
      <w:tr w:rsidR="009F56BF" w:rsidRPr="0004273C" w14:paraId="62CB0B12" w14:textId="77777777" w:rsidTr="009B118C">
        <w:trPr>
          <w:trHeight w:val="20"/>
        </w:trPr>
        <w:tc>
          <w:tcPr>
            <w:tcW w:w="1985" w:type="dxa"/>
            <w:vMerge w:val="restart"/>
          </w:tcPr>
          <w:p w14:paraId="2A771BBC" w14:textId="4209328F"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基金经理</w:t>
            </w:r>
          </w:p>
        </w:tc>
        <w:tc>
          <w:tcPr>
            <w:tcW w:w="2977" w:type="dxa"/>
            <w:vMerge w:val="restart"/>
          </w:tcPr>
          <w:p w14:paraId="366FC28E" w14:textId="7D129972"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刘明</w:t>
            </w:r>
          </w:p>
        </w:tc>
        <w:tc>
          <w:tcPr>
            <w:tcW w:w="2551" w:type="dxa"/>
          </w:tcPr>
          <w:p w14:paraId="78879175" w14:textId="2B259A03"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开始担任本</w:t>
            </w:r>
            <w:proofErr w:type="gramStart"/>
            <w:r w:rsidRPr="0004273C">
              <w:rPr>
                <w:rFonts w:asciiTheme="minorEastAsia" w:hAnsiTheme="minorEastAsia" w:hint="eastAsia"/>
                <w:b/>
                <w:szCs w:val="21"/>
              </w:rPr>
              <w:t>基金基金</w:t>
            </w:r>
            <w:proofErr w:type="gramEnd"/>
            <w:r w:rsidRPr="0004273C">
              <w:rPr>
                <w:rFonts w:asciiTheme="minorEastAsia" w:hAnsiTheme="minorEastAsia" w:hint="eastAsia"/>
                <w:b/>
                <w:szCs w:val="21"/>
              </w:rPr>
              <w:t>经理的日期</w:t>
            </w:r>
          </w:p>
        </w:tc>
        <w:tc>
          <w:tcPr>
            <w:tcW w:w="2410" w:type="dxa"/>
            <w:gridSpan w:val="2"/>
          </w:tcPr>
          <w:p w14:paraId="03E42779" w14:textId="5C921F75"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2018-02-08</w:t>
            </w:r>
          </w:p>
        </w:tc>
      </w:tr>
      <w:tr w:rsidR="009F56BF" w:rsidRPr="0004273C" w14:paraId="28CBDDAE" w14:textId="77777777" w:rsidTr="009B118C">
        <w:trPr>
          <w:trHeight w:val="20"/>
        </w:trPr>
        <w:tc>
          <w:tcPr>
            <w:tcW w:w="1985" w:type="dxa"/>
            <w:vMerge/>
          </w:tcPr>
          <w:p w14:paraId="724064F2" w14:textId="77777777" w:rsidR="00D32D99" w:rsidRPr="0004273C" w:rsidRDefault="00D32D99" w:rsidP="00D32D99">
            <w:pPr>
              <w:pStyle w:val="a5"/>
              <w:spacing w:line="360" w:lineRule="exact"/>
              <w:ind w:firstLineChars="0" w:firstLine="0"/>
              <w:rPr>
                <w:rFonts w:asciiTheme="minorEastAsia" w:hAnsiTheme="minorEastAsia"/>
                <w:b/>
                <w:szCs w:val="21"/>
              </w:rPr>
            </w:pPr>
          </w:p>
        </w:tc>
        <w:tc>
          <w:tcPr>
            <w:tcW w:w="2977" w:type="dxa"/>
            <w:vMerge/>
          </w:tcPr>
          <w:p w14:paraId="2B6D8FCD" w14:textId="77777777" w:rsidR="00D32D99" w:rsidRPr="0004273C" w:rsidRDefault="00D32D99" w:rsidP="00D32D99">
            <w:pPr>
              <w:pStyle w:val="a5"/>
              <w:spacing w:line="360" w:lineRule="exact"/>
              <w:ind w:firstLineChars="0" w:firstLine="0"/>
              <w:rPr>
                <w:rFonts w:asciiTheme="minorEastAsia" w:hAnsiTheme="minorEastAsia"/>
                <w:szCs w:val="21"/>
              </w:rPr>
            </w:pPr>
          </w:p>
        </w:tc>
        <w:tc>
          <w:tcPr>
            <w:tcW w:w="2551" w:type="dxa"/>
          </w:tcPr>
          <w:p w14:paraId="253276ED" w14:textId="6CCDB872"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证券从业日期</w:t>
            </w:r>
          </w:p>
        </w:tc>
        <w:tc>
          <w:tcPr>
            <w:tcW w:w="2410" w:type="dxa"/>
            <w:gridSpan w:val="2"/>
          </w:tcPr>
          <w:p w14:paraId="1C093891" w14:textId="2B29F1AA"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1992-10-19</w:t>
            </w:r>
          </w:p>
        </w:tc>
      </w:tr>
    </w:tbl>
    <w:p w14:paraId="61290319" w14:textId="4F986074" w:rsidR="00B30C63" w:rsidRPr="0004273C" w:rsidRDefault="00B30C63" w:rsidP="00B30C63">
      <w:pPr>
        <w:spacing w:line="340" w:lineRule="exact"/>
        <w:rPr>
          <w:rFonts w:asciiTheme="minorEastAsia" w:hAnsiTheme="minorEastAsia"/>
          <w:szCs w:val="21"/>
        </w:rPr>
      </w:pPr>
      <w:r w:rsidRPr="0004273C">
        <w:rPr>
          <w:rFonts w:asciiTheme="minorEastAsia" w:hAnsiTheme="minorEastAsia"/>
          <w:szCs w:val="21"/>
        </w:rPr>
        <w:t>注</w:t>
      </w:r>
      <w:r w:rsidRPr="0004273C">
        <w:rPr>
          <w:rFonts w:asciiTheme="minorEastAsia" w:hAnsiTheme="minorEastAsia" w:hint="eastAsia"/>
          <w:szCs w:val="21"/>
        </w:rPr>
        <w:t>：证券从业日期指基金经理首次从事证券行业的时间。本</w:t>
      </w:r>
      <w:proofErr w:type="gramStart"/>
      <w:r w:rsidRPr="0004273C">
        <w:rPr>
          <w:rFonts w:asciiTheme="minorEastAsia" w:hAnsiTheme="minorEastAsia" w:hint="eastAsia"/>
          <w:szCs w:val="21"/>
        </w:rPr>
        <w:t>基金基金</w:t>
      </w:r>
      <w:proofErr w:type="gramEnd"/>
      <w:r w:rsidRPr="0004273C">
        <w:rPr>
          <w:rFonts w:asciiTheme="minorEastAsia" w:hAnsiTheme="minorEastAsia" w:hint="eastAsia"/>
          <w:szCs w:val="21"/>
        </w:rPr>
        <w:t>经理</w:t>
      </w:r>
      <w:r w:rsidRPr="0004273C">
        <w:rPr>
          <w:rFonts w:asciiTheme="minorEastAsia" w:hAnsiTheme="minorEastAsia"/>
          <w:szCs w:val="21"/>
        </w:rPr>
        <w:t>1996年1月至2004年2月曾就职于厦门产权交易中心，该</w:t>
      </w:r>
      <w:r w:rsidR="000633E1" w:rsidRPr="0004273C">
        <w:rPr>
          <w:rFonts w:asciiTheme="minorEastAsia" w:hAnsiTheme="minorEastAsia"/>
          <w:szCs w:val="21"/>
        </w:rPr>
        <w:t>段</w:t>
      </w:r>
      <w:r w:rsidR="00772FFD" w:rsidRPr="0004273C">
        <w:rPr>
          <w:rFonts w:asciiTheme="minorEastAsia" w:hAnsiTheme="minorEastAsia"/>
          <w:szCs w:val="21"/>
        </w:rPr>
        <w:t>从业经历未</w:t>
      </w:r>
      <w:r w:rsidRPr="0004273C">
        <w:rPr>
          <w:rFonts w:asciiTheme="minorEastAsia" w:hAnsiTheme="minorEastAsia"/>
          <w:szCs w:val="21"/>
        </w:rPr>
        <w:t>计入基金定期报告证券从业年限。</w:t>
      </w:r>
    </w:p>
    <w:p w14:paraId="7D68BB28" w14:textId="77777777" w:rsidR="00A42958" w:rsidRPr="0004273C" w:rsidRDefault="00A42958" w:rsidP="00B30C63">
      <w:pPr>
        <w:spacing w:line="340" w:lineRule="exact"/>
        <w:rPr>
          <w:rFonts w:asciiTheme="minorEastAsia" w:hAnsiTheme="minorEastAsia"/>
          <w:szCs w:val="21"/>
        </w:rPr>
      </w:pPr>
    </w:p>
    <w:p w14:paraId="35E0EF02" w14:textId="77777777" w:rsidR="00322DFB" w:rsidRPr="0004273C" w:rsidRDefault="00514EF3" w:rsidP="00514EF3">
      <w:pPr>
        <w:spacing w:line="340" w:lineRule="exact"/>
        <w:rPr>
          <w:rFonts w:asciiTheme="minorEastAsia" w:hAnsiTheme="minorEastAsia"/>
          <w:b/>
          <w:szCs w:val="21"/>
        </w:rPr>
      </w:pPr>
      <w:r w:rsidRPr="0004273C">
        <w:rPr>
          <w:rFonts w:asciiTheme="minorEastAsia" w:hAnsiTheme="minorEastAsia"/>
          <w:b/>
          <w:szCs w:val="21"/>
        </w:rPr>
        <w:t>二</w:t>
      </w:r>
      <w:r w:rsidRPr="0004273C">
        <w:rPr>
          <w:rFonts w:asciiTheme="minorEastAsia" w:hAnsiTheme="minorEastAsia" w:hint="eastAsia"/>
          <w:b/>
          <w:szCs w:val="21"/>
        </w:rPr>
        <w:t>、</w:t>
      </w:r>
      <w:r w:rsidR="002F33D7" w:rsidRPr="0004273C">
        <w:rPr>
          <w:rFonts w:asciiTheme="minorEastAsia" w:hAnsiTheme="minorEastAsia" w:hint="eastAsia"/>
          <w:b/>
          <w:szCs w:val="21"/>
        </w:rPr>
        <w:t>基金投资与净值表现</w:t>
      </w:r>
    </w:p>
    <w:p w14:paraId="10E409A1" w14:textId="09D9AC2D" w:rsidR="002F33D7" w:rsidRPr="0004273C" w:rsidRDefault="00D6161D" w:rsidP="00074340">
      <w:pPr>
        <w:spacing w:line="340" w:lineRule="exact"/>
        <w:rPr>
          <w:rFonts w:asciiTheme="minorEastAsia" w:hAnsiTheme="minorEastAsia"/>
          <w:b/>
          <w:szCs w:val="21"/>
        </w:rPr>
      </w:pPr>
      <w:r w:rsidRPr="0004273C">
        <w:rPr>
          <w:rFonts w:asciiTheme="minorEastAsia" w:hAnsiTheme="minorEastAsia" w:hint="eastAsia"/>
          <w:b/>
          <w:szCs w:val="21"/>
        </w:rPr>
        <w:t>（一）</w:t>
      </w:r>
      <w:r w:rsidR="002F33D7" w:rsidRPr="0004273C">
        <w:rPr>
          <w:rFonts w:asciiTheme="minorEastAsia" w:hAnsiTheme="minorEastAsia" w:hint="eastAsia"/>
          <w:b/>
          <w:szCs w:val="21"/>
        </w:rPr>
        <w:t>投资目标与投资策略</w:t>
      </w:r>
    </w:p>
    <w:p w14:paraId="73ADF48E" w14:textId="738BD874" w:rsidR="00A86233" w:rsidRPr="0004273C" w:rsidRDefault="00A86233" w:rsidP="00074340">
      <w:pPr>
        <w:spacing w:line="340" w:lineRule="exact"/>
        <w:rPr>
          <w:rFonts w:asciiTheme="minorEastAsia" w:hAnsiTheme="minorEastAsia"/>
          <w:szCs w:val="21"/>
        </w:rPr>
      </w:pPr>
      <w:r w:rsidRPr="0004273C">
        <w:rPr>
          <w:rFonts w:asciiTheme="minorEastAsia" w:hAnsiTheme="minorEastAsia"/>
          <w:szCs w:val="21"/>
        </w:rPr>
        <w:t>详见</w:t>
      </w:r>
      <w:r w:rsidRPr="0004273C">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9F56BF" w:rsidRPr="0004273C" w14:paraId="0DC08D77" w14:textId="77777777" w:rsidTr="00E31794">
        <w:tc>
          <w:tcPr>
            <w:tcW w:w="1940" w:type="dxa"/>
          </w:tcPr>
          <w:p w14:paraId="175213B9"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投资目标</w:t>
            </w:r>
          </w:p>
        </w:tc>
        <w:tc>
          <w:tcPr>
            <w:tcW w:w="7924" w:type="dxa"/>
          </w:tcPr>
          <w:p w14:paraId="42CB5675" w14:textId="77777777" w:rsidR="00514EF3"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在严格控制风险的基础之上，通过灵活、主动的投资管理方式力求实现组合资产的稳健增值。</w:t>
            </w:r>
          </w:p>
        </w:tc>
      </w:tr>
      <w:tr w:rsidR="009F56BF" w:rsidRPr="0004273C" w14:paraId="1D972A0E" w14:textId="77777777" w:rsidTr="00E31794">
        <w:tc>
          <w:tcPr>
            <w:tcW w:w="1940" w:type="dxa"/>
          </w:tcPr>
          <w:p w14:paraId="2EFFC23B" w14:textId="77777777" w:rsidR="00514EF3" w:rsidRPr="0004273C" w:rsidRDefault="00514EF3" w:rsidP="00514EF3">
            <w:pPr>
              <w:spacing w:line="360" w:lineRule="exact"/>
              <w:rPr>
                <w:rFonts w:asciiTheme="minorEastAsia" w:hAnsiTheme="minorEastAsia"/>
                <w:b/>
                <w:szCs w:val="21"/>
              </w:rPr>
            </w:pPr>
            <w:r w:rsidRPr="0004273C">
              <w:rPr>
                <w:rFonts w:asciiTheme="minorEastAsia" w:hAnsiTheme="minorEastAsia" w:hint="eastAsia"/>
                <w:b/>
                <w:szCs w:val="21"/>
              </w:rPr>
              <w:t>投资范围</w:t>
            </w:r>
          </w:p>
        </w:tc>
        <w:tc>
          <w:tcPr>
            <w:tcW w:w="7924" w:type="dxa"/>
          </w:tcPr>
          <w:p w14:paraId="219E2A39" w14:textId="5AC2323F" w:rsidR="00E0755E"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本基金的投资范围为具有良好流动性的金融工具，包括国内依法发行上市的股票（包括主板、中小板、创业板及其他中国证监会</w:t>
            </w:r>
            <w:r w:rsidR="00641DF8">
              <w:rPr>
                <w:rFonts w:asciiTheme="minorEastAsia" w:hAnsiTheme="minorEastAsia" w:hint="eastAsia"/>
                <w:bCs/>
                <w:szCs w:val="21"/>
              </w:rPr>
              <w:t>允许基金投资</w:t>
            </w:r>
            <w:r w:rsidRPr="0004273C">
              <w:rPr>
                <w:rFonts w:asciiTheme="minorEastAsia" w:hAnsiTheme="minorEastAsia" w:hint="eastAsia"/>
                <w:bCs/>
                <w:szCs w:val="21"/>
              </w:rPr>
              <w:t>的股票</w:t>
            </w:r>
            <w:r w:rsidR="00641DF8">
              <w:rPr>
                <w:rFonts w:asciiTheme="minorEastAsia" w:hAnsiTheme="minorEastAsia" w:hint="eastAsia"/>
                <w:bCs/>
                <w:szCs w:val="21"/>
              </w:rPr>
              <w:t>、存托凭证</w:t>
            </w:r>
            <w:r w:rsidRPr="0004273C">
              <w:rPr>
                <w:rFonts w:asciiTheme="minorEastAsia" w:hAnsiTheme="minorEastAsia" w:hint="eastAsia"/>
                <w:bCs/>
                <w:szCs w:val="21"/>
              </w:rPr>
              <w:t>）、港股通标的股票（包括沪港</w:t>
            </w:r>
            <w:proofErr w:type="gramStart"/>
            <w:r w:rsidRPr="0004273C">
              <w:rPr>
                <w:rFonts w:asciiTheme="minorEastAsia" w:hAnsiTheme="minorEastAsia" w:hint="eastAsia"/>
                <w:bCs/>
                <w:szCs w:val="21"/>
              </w:rPr>
              <w:t>通股票</w:t>
            </w:r>
            <w:proofErr w:type="gramEnd"/>
            <w:r w:rsidRPr="0004273C">
              <w:rPr>
                <w:rFonts w:asciiTheme="minorEastAsia" w:hAnsiTheme="minorEastAsia" w:hint="eastAsia"/>
                <w:bCs/>
                <w:szCs w:val="21"/>
              </w:rPr>
              <w:t>及深港通股票）、债券（国债、金融债、企业债、公司债、公开发行的次级债、地方政府债券、可转换债券、分离交易可转债</w:t>
            </w:r>
            <w:proofErr w:type="gramStart"/>
            <w:r w:rsidRPr="0004273C">
              <w:rPr>
                <w:rFonts w:asciiTheme="minorEastAsia" w:hAnsiTheme="minorEastAsia" w:hint="eastAsia"/>
                <w:bCs/>
                <w:szCs w:val="21"/>
              </w:rPr>
              <w:t>的纯债部分</w:t>
            </w:r>
            <w:proofErr w:type="gramEnd"/>
            <w:r w:rsidRPr="0004273C">
              <w:rPr>
                <w:rFonts w:asciiTheme="minorEastAsia" w:hAnsiTheme="minorEastAsia" w:hint="eastAsia"/>
                <w:bCs/>
                <w:szCs w:val="21"/>
              </w:rPr>
              <w:t>、可交换债、央行票据、中期票据、中小企业私募债、证券公司短期融资</w:t>
            </w:r>
            <w:proofErr w:type="gramStart"/>
            <w:r w:rsidRPr="0004273C">
              <w:rPr>
                <w:rFonts w:asciiTheme="minorEastAsia" w:hAnsiTheme="minorEastAsia" w:hint="eastAsia"/>
                <w:bCs/>
                <w:szCs w:val="21"/>
              </w:rPr>
              <w:t>券</w:t>
            </w:r>
            <w:proofErr w:type="gramEnd"/>
            <w:r w:rsidRPr="0004273C">
              <w:rPr>
                <w:rFonts w:asciiTheme="minorEastAsia" w:hAnsiTheme="minorEastAsia" w:hint="eastAsia"/>
                <w:bCs/>
                <w:szCs w:val="21"/>
              </w:rPr>
              <w:t>、短期融资</w:t>
            </w:r>
            <w:proofErr w:type="gramStart"/>
            <w:r w:rsidRPr="0004273C">
              <w:rPr>
                <w:rFonts w:asciiTheme="minorEastAsia" w:hAnsiTheme="minorEastAsia" w:hint="eastAsia"/>
                <w:bCs/>
                <w:szCs w:val="21"/>
              </w:rPr>
              <w:t>券</w:t>
            </w:r>
            <w:proofErr w:type="gramEnd"/>
            <w:r w:rsidRPr="0004273C">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4BC69D8E" w14:textId="77777777" w:rsidR="00514EF3"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基金的投资组合比例为：本基金投资组合中股票资产投资比例为基金资产的</w:t>
            </w:r>
            <w:r w:rsidRPr="0004273C">
              <w:rPr>
                <w:rFonts w:asciiTheme="minorEastAsia" w:hAnsiTheme="minorEastAsia"/>
                <w:bCs/>
                <w:szCs w:val="21"/>
              </w:rPr>
              <w:t>0%—95%；其中对港股通标的股票（包括沪港</w:t>
            </w:r>
            <w:proofErr w:type="gramStart"/>
            <w:r w:rsidRPr="0004273C">
              <w:rPr>
                <w:rFonts w:asciiTheme="minorEastAsia" w:hAnsiTheme="minorEastAsia"/>
                <w:bCs/>
                <w:szCs w:val="21"/>
              </w:rPr>
              <w:t>通股票</w:t>
            </w:r>
            <w:proofErr w:type="gramEnd"/>
            <w:r w:rsidRPr="0004273C">
              <w:rPr>
                <w:rFonts w:asciiTheme="minorEastAsia" w:hAnsiTheme="minorEastAsia"/>
                <w:bCs/>
                <w:szCs w:val="21"/>
              </w:rPr>
              <w:t>及深港通股票）的投资比例不超过股票资产的50%。本基金在任何交易日日终持有的融资买入股票与其他有价证券市值之</w:t>
            </w:r>
            <w:r w:rsidRPr="0004273C">
              <w:rPr>
                <w:rFonts w:asciiTheme="minorEastAsia" w:hAnsiTheme="minorEastAsia"/>
                <w:bCs/>
                <w:szCs w:val="21"/>
              </w:rPr>
              <w:lastRenderedPageBreak/>
              <w:t>和，不得超过基金资产净值的95%；本基金每个交易日日终在扣除股指期货及国债期货合约</w:t>
            </w:r>
            <w:r w:rsidRPr="0004273C">
              <w:rPr>
                <w:rFonts w:asciiTheme="minorEastAsia" w:hAnsiTheme="minorEastAsia" w:hint="eastAsia"/>
                <w:bCs/>
                <w:szCs w:val="21"/>
              </w:rPr>
              <w:t>需缴纳的交易保证金后，保持现金或者到期日在一年以内的政府债券投资比例合计不低于基金资产净值的</w:t>
            </w:r>
            <w:r w:rsidRPr="0004273C">
              <w:rPr>
                <w:rFonts w:asciiTheme="minorEastAsia" w:hAnsiTheme="minorEastAsia"/>
                <w:bCs/>
                <w:szCs w:val="21"/>
              </w:rPr>
              <w:t>5%，其中现金不包括结算备付金、存出保证金、应收申购款等。</w:t>
            </w:r>
          </w:p>
        </w:tc>
      </w:tr>
      <w:tr w:rsidR="009F56BF" w:rsidRPr="0004273C" w14:paraId="069FA6B8" w14:textId="77777777" w:rsidTr="00E31794">
        <w:tc>
          <w:tcPr>
            <w:tcW w:w="1940" w:type="dxa"/>
          </w:tcPr>
          <w:p w14:paraId="4B3509EA" w14:textId="77777777" w:rsidR="00514EF3" w:rsidRPr="0004273C" w:rsidRDefault="00514EF3" w:rsidP="00514EF3">
            <w:pPr>
              <w:spacing w:line="360" w:lineRule="exact"/>
              <w:rPr>
                <w:rFonts w:asciiTheme="minorEastAsia" w:hAnsiTheme="minorEastAsia"/>
                <w:b/>
                <w:szCs w:val="21"/>
              </w:rPr>
            </w:pPr>
            <w:r w:rsidRPr="0004273C">
              <w:rPr>
                <w:rFonts w:asciiTheme="minorEastAsia" w:hAnsiTheme="minorEastAsia" w:hint="eastAsia"/>
                <w:b/>
                <w:szCs w:val="21"/>
              </w:rPr>
              <w:lastRenderedPageBreak/>
              <w:t>主要投资策略</w:t>
            </w:r>
          </w:p>
        </w:tc>
        <w:tc>
          <w:tcPr>
            <w:tcW w:w="7924" w:type="dxa"/>
          </w:tcPr>
          <w:p w14:paraId="4CCA4401" w14:textId="3DFA5E24" w:rsidR="00514EF3" w:rsidRPr="0004273C" w:rsidRDefault="002876C1"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E03F6" w:rsidRPr="0004273C">
              <w:rPr>
                <w:rFonts w:asciiTheme="minorEastAsia" w:hAnsiTheme="minorEastAsia"/>
                <w:bCs/>
                <w:szCs w:val="21"/>
              </w:rPr>
              <w:t>恢复</w:t>
            </w:r>
            <w:r w:rsidRPr="0004273C">
              <w:rPr>
                <w:rFonts w:asciiTheme="minorEastAsia" w:hAnsiTheme="minorEastAsia" w:hint="eastAsia"/>
                <w:bCs/>
                <w:szCs w:val="21"/>
              </w:rPr>
              <w:t>到合理价值的过程中，分享股价提升带来的超额收益。</w:t>
            </w:r>
          </w:p>
        </w:tc>
      </w:tr>
      <w:tr w:rsidR="009F56BF" w:rsidRPr="0004273C" w14:paraId="6147FC1E" w14:textId="77777777" w:rsidTr="00E31794">
        <w:tc>
          <w:tcPr>
            <w:tcW w:w="1940" w:type="dxa"/>
          </w:tcPr>
          <w:p w14:paraId="35CB97D8"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业绩比较基准</w:t>
            </w:r>
          </w:p>
        </w:tc>
        <w:tc>
          <w:tcPr>
            <w:tcW w:w="7924" w:type="dxa"/>
          </w:tcPr>
          <w:p w14:paraId="5E8CF962" w14:textId="77777777" w:rsidR="00514EF3" w:rsidRPr="0004273C" w:rsidRDefault="002876C1" w:rsidP="00514EF3">
            <w:pPr>
              <w:spacing w:line="360" w:lineRule="exact"/>
              <w:rPr>
                <w:rFonts w:asciiTheme="minorEastAsia" w:hAnsiTheme="minorEastAsia"/>
                <w:szCs w:val="21"/>
              </w:rPr>
            </w:pPr>
            <w:r w:rsidRPr="0004273C">
              <w:rPr>
                <w:rFonts w:asciiTheme="minorEastAsia" w:hAnsiTheme="minorEastAsia" w:hint="eastAsia"/>
                <w:szCs w:val="21"/>
              </w:rPr>
              <w:t>沪深</w:t>
            </w:r>
            <w:r w:rsidRPr="0004273C">
              <w:rPr>
                <w:rFonts w:asciiTheme="minorEastAsia" w:hAnsiTheme="minorEastAsia"/>
                <w:szCs w:val="21"/>
              </w:rPr>
              <w:t>300指数收益率×40%+中证综合债券指数收益率×40%+恒生指数收益率×20%</w:t>
            </w:r>
          </w:p>
        </w:tc>
      </w:tr>
      <w:tr w:rsidR="009F56BF" w:rsidRPr="0004273C" w14:paraId="1842C586" w14:textId="77777777" w:rsidTr="00E31794">
        <w:tc>
          <w:tcPr>
            <w:tcW w:w="1940" w:type="dxa"/>
          </w:tcPr>
          <w:p w14:paraId="219FEABC"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风险收益特征</w:t>
            </w:r>
          </w:p>
        </w:tc>
        <w:tc>
          <w:tcPr>
            <w:tcW w:w="7924" w:type="dxa"/>
          </w:tcPr>
          <w:p w14:paraId="0EFCEDFD" w14:textId="1D0097D9" w:rsidR="00514EF3" w:rsidRPr="0004273C" w:rsidRDefault="002876C1" w:rsidP="009B4751">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本基金为混合型基金，其预期收益和风险高于货币型基金、债券型基金。</w:t>
            </w:r>
            <w:r w:rsidR="004C7F14" w:rsidRPr="0004273C">
              <w:rPr>
                <w:rFonts w:asciiTheme="minorEastAsia" w:hAnsiTheme="minorEastAsia" w:hint="eastAsia"/>
                <w:bCs/>
                <w:szCs w:val="21"/>
              </w:rPr>
              <w:t>本基金如果投资港股通标的股票，需承担汇率风险以及境外市场的风险。</w:t>
            </w:r>
          </w:p>
        </w:tc>
      </w:tr>
    </w:tbl>
    <w:p w14:paraId="54A06B83" w14:textId="09CC1617" w:rsidR="004C7F14"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（二）投资组合资产配置图表</w:t>
      </w:r>
      <w:r w:rsidRPr="0004273C">
        <w:rPr>
          <w:rFonts w:asciiTheme="minorEastAsia" w:hAnsiTheme="minorEastAsia"/>
          <w:b/>
          <w:szCs w:val="21"/>
        </w:rPr>
        <w:t>/区域配置图表</w:t>
      </w:r>
    </w:p>
    <w:p w14:paraId="29496585" w14:textId="7726F272" w:rsidR="00587521" w:rsidRPr="0004273C" w:rsidRDefault="004C7F14"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投资组合资产配置图表</w:t>
      </w:r>
    </w:p>
    <w:p w14:paraId="7FC86C7D" w14:textId="260817CE" w:rsidR="00587521" w:rsidRPr="0004273C" w:rsidRDefault="009C4DF6" w:rsidP="00D6161D">
      <w:pPr>
        <w:spacing w:line="340" w:lineRule="exact"/>
        <w:contextualSpacing/>
        <w:rPr>
          <w:rFonts w:asciiTheme="minorEastAsia" w:hAnsiTheme="minorEastAsia"/>
          <w:b/>
          <w:szCs w:val="21"/>
        </w:rPr>
      </w:pPr>
      <w:r w:rsidRPr="009C4DF6">
        <w:rPr>
          <w:rFonts w:asciiTheme="minorEastAsia" w:hAnsiTheme="minorEastAsia"/>
          <w:b/>
          <w:noProof/>
          <w:szCs w:val="21"/>
        </w:rPr>
        <w:drawing>
          <wp:anchor distT="0" distB="0" distL="114300" distR="114300" simplePos="0" relativeHeight="251660288" behindDoc="0" locked="0" layoutInCell="1" allowOverlap="1" wp14:anchorId="0405676D" wp14:editId="75012D47">
            <wp:simplePos x="0" y="0"/>
            <wp:positionH relativeFrom="margin">
              <wp:posOffset>-946</wp:posOffset>
            </wp:positionH>
            <wp:positionV relativeFrom="paragraph">
              <wp:posOffset>48212</wp:posOffset>
            </wp:positionV>
            <wp:extent cx="5720080" cy="2854325"/>
            <wp:effectExtent l="0" t="0" r="0" b="3175"/>
            <wp:wrapNone/>
            <wp:docPr id="1" name="图片 1" descr="C:\Users\daicz\AppData\Local\Temp\Rar$DIa0.345\CN_51520000_005358_FA010080_2021000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Rar$DIa0.345\CN_51520000_005358_FA010080_20210002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080" cy="285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6FB0F" w14:textId="7253CE3C" w:rsidR="00587521" w:rsidRPr="0004273C" w:rsidRDefault="00587521" w:rsidP="00D6161D">
      <w:pPr>
        <w:spacing w:line="340" w:lineRule="exact"/>
        <w:contextualSpacing/>
        <w:rPr>
          <w:rFonts w:asciiTheme="minorEastAsia" w:hAnsiTheme="minorEastAsia"/>
          <w:b/>
          <w:szCs w:val="21"/>
        </w:rPr>
      </w:pPr>
    </w:p>
    <w:p w14:paraId="0C0A4DD6" w14:textId="4C086594" w:rsidR="00587521" w:rsidRPr="009C4DF6" w:rsidRDefault="00587521" w:rsidP="00D6161D">
      <w:pPr>
        <w:spacing w:line="340" w:lineRule="exact"/>
        <w:contextualSpacing/>
        <w:rPr>
          <w:rFonts w:asciiTheme="minorEastAsia" w:hAnsiTheme="minorEastAsia"/>
          <w:b/>
          <w:szCs w:val="21"/>
        </w:rPr>
      </w:pPr>
    </w:p>
    <w:p w14:paraId="0258C6FD" w14:textId="215E4FBA" w:rsidR="00587521" w:rsidRPr="0004273C" w:rsidRDefault="00587521" w:rsidP="00D6161D">
      <w:pPr>
        <w:spacing w:line="340" w:lineRule="exact"/>
        <w:contextualSpacing/>
        <w:rPr>
          <w:rFonts w:asciiTheme="minorEastAsia" w:hAnsiTheme="minorEastAsia"/>
          <w:b/>
          <w:szCs w:val="21"/>
        </w:rPr>
      </w:pPr>
    </w:p>
    <w:p w14:paraId="22D68CE3" w14:textId="69D610E8" w:rsidR="00587521" w:rsidRPr="0004273C" w:rsidRDefault="00587521" w:rsidP="00D6161D">
      <w:pPr>
        <w:spacing w:line="340" w:lineRule="exact"/>
        <w:contextualSpacing/>
        <w:rPr>
          <w:rFonts w:asciiTheme="minorEastAsia" w:hAnsiTheme="minorEastAsia"/>
          <w:b/>
          <w:szCs w:val="21"/>
        </w:rPr>
      </w:pPr>
    </w:p>
    <w:p w14:paraId="1BE7A40E" w14:textId="10950F9B" w:rsidR="00587521" w:rsidRPr="0004273C" w:rsidRDefault="00587521" w:rsidP="00D6161D">
      <w:pPr>
        <w:spacing w:line="340" w:lineRule="exact"/>
        <w:contextualSpacing/>
        <w:rPr>
          <w:rFonts w:asciiTheme="minorEastAsia" w:hAnsiTheme="minorEastAsia"/>
          <w:b/>
          <w:szCs w:val="21"/>
        </w:rPr>
      </w:pPr>
    </w:p>
    <w:p w14:paraId="208D716C" w14:textId="17314D35" w:rsidR="00587521" w:rsidRPr="0004273C" w:rsidRDefault="00587521" w:rsidP="00D6161D">
      <w:pPr>
        <w:spacing w:line="340" w:lineRule="exact"/>
        <w:contextualSpacing/>
        <w:rPr>
          <w:rFonts w:asciiTheme="minorEastAsia" w:hAnsiTheme="minorEastAsia"/>
          <w:b/>
          <w:szCs w:val="21"/>
        </w:rPr>
      </w:pPr>
    </w:p>
    <w:p w14:paraId="6D4508E2" w14:textId="76B9BE83" w:rsidR="00587521" w:rsidRPr="0004273C" w:rsidRDefault="00587521" w:rsidP="00D6161D">
      <w:pPr>
        <w:spacing w:line="340" w:lineRule="exact"/>
        <w:contextualSpacing/>
        <w:rPr>
          <w:rFonts w:asciiTheme="minorEastAsia" w:hAnsiTheme="minorEastAsia"/>
          <w:b/>
          <w:szCs w:val="21"/>
        </w:rPr>
      </w:pPr>
    </w:p>
    <w:p w14:paraId="0C72BF57" w14:textId="4A74D42D" w:rsidR="00587521" w:rsidRPr="0004273C" w:rsidRDefault="00587521" w:rsidP="00D6161D">
      <w:pPr>
        <w:spacing w:line="340" w:lineRule="exact"/>
        <w:contextualSpacing/>
        <w:rPr>
          <w:rFonts w:asciiTheme="minorEastAsia" w:hAnsiTheme="minorEastAsia"/>
          <w:b/>
          <w:szCs w:val="21"/>
        </w:rPr>
      </w:pPr>
    </w:p>
    <w:p w14:paraId="29231C30" w14:textId="7E5B1C8C" w:rsidR="00587521" w:rsidRPr="0004273C" w:rsidRDefault="00587521" w:rsidP="00D6161D">
      <w:pPr>
        <w:spacing w:line="340" w:lineRule="exact"/>
        <w:contextualSpacing/>
        <w:rPr>
          <w:rFonts w:asciiTheme="minorEastAsia" w:hAnsiTheme="minorEastAsia"/>
          <w:b/>
          <w:szCs w:val="21"/>
        </w:rPr>
      </w:pPr>
    </w:p>
    <w:p w14:paraId="42FD1E07" w14:textId="411206FC" w:rsidR="00587521" w:rsidRPr="0004273C" w:rsidRDefault="00587521" w:rsidP="00D6161D">
      <w:pPr>
        <w:spacing w:line="340" w:lineRule="exact"/>
        <w:contextualSpacing/>
        <w:rPr>
          <w:rFonts w:asciiTheme="minorEastAsia" w:hAnsiTheme="minorEastAsia"/>
          <w:b/>
          <w:szCs w:val="21"/>
        </w:rPr>
      </w:pPr>
    </w:p>
    <w:p w14:paraId="0375BC0D" w14:textId="3F241DAF" w:rsidR="00587521" w:rsidRPr="0004273C" w:rsidRDefault="00587521" w:rsidP="00D6161D">
      <w:pPr>
        <w:spacing w:line="340" w:lineRule="exact"/>
        <w:contextualSpacing/>
        <w:rPr>
          <w:rFonts w:asciiTheme="minorEastAsia" w:hAnsiTheme="minorEastAsia"/>
          <w:b/>
          <w:szCs w:val="21"/>
        </w:rPr>
      </w:pPr>
    </w:p>
    <w:p w14:paraId="045E33A9" w14:textId="77777777" w:rsidR="00196008" w:rsidRDefault="00196008" w:rsidP="00D6161D">
      <w:pPr>
        <w:spacing w:line="340" w:lineRule="exact"/>
        <w:contextualSpacing/>
        <w:rPr>
          <w:rFonts w:asciiTheme="minorEastAsia" w:hAnsiTheme="minorEastAsia"/>
          <w:b/>
          <w:szCs w:val="21"/>
        </w:rPr>
      </w:pPr>
    </w:p>
    <w:p w14:paraId="3734AF5B" w14:textId="53206933" w:rsidR="00A90EB1" w:rsidRPr="0004273C" w:rsidRDefault="00A90EB1" w:rsidP="00D6161D">
      <w:pPr>
        <w:spacing w:line="340" w:lineRule="exact"/>
        <w:contextualSpacing/>
        <w:rPr>
          <w:rFonts w:asciiTheme="minorEastAsia" w:hAnsiTheme="minorEastAsia"/>
          <w:b/>
          <w:szCs w:val="21"/>
        </w:rPr>
      </w:pPr>
    </w:p>
    <w:p w14:paraId="2CF07D50" w14:textId="67A6DF88" w:rsidR="00587521"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（三）自基金合同生效以来基金每年的净值增长率与同期业绩比较基准的比较图</w:t>
      </w:r>
    </w:p>
    <w:p w14:paraId="21043244" w14:textId="07DA4032" w:rsidR="00587521" w:rsidRPr="0004273C" w:rsidRDefault="009C4DF6" w:rsidP="00D6161D">
      <w:pPr>
        <w:spacing w:line="340" w:lineRule="exact"/>
        <w:contextualSpacing/>
        <w:rPr>
          <w:rFonts w:asciiTheme="minorEastAsia" w:hAnsiTheme="minorEastAsia"/>
          <w:b/>
          <w:szCs w:val="21"/>
        </w:rPr>
      </w:pPr>
      <w:r w:rsidRPr="009C4DF6">
        <w:rPr>
          <w:rFonts w:asciiTheme="minorEastAsia" w:hAnsiTheme="minorEastAsia"/>
          <w:b/>
          <w:noProof/>
          <w:szCs w:val="21"/>
        </w:rPr>
        <w:drawing>
          <wp:anchor distT="0" distB="0" distL="114300" distR="114300" simplePos="0" relativeHeight="251661312" behindDoc="0" locked="0" layoutInCell="1" allowOverlap="1" wp14:anchorId="6B73A1D1" wp14:editId="49EB6151">
            <wp:simplePos x="0" y="0"/>
            <wp:positionH relativeFrom="column">
              <wp:posOffset>33056</wp:posOffset>
            </wp:positionH>
            <wp:positionV relativeFrom="paragraph">
              <wp:posOffset>116373</wp:posOffset>
            </wp:positionV>
            <wp:extent cx="5106969" cy="3404835"/>
            <wp:effectExtent l="0" t="0" r="0" b="5715"/>
            <wp:wrapNone/>
            <wp:docPr id="2" name="图片 2" descr="C:\Users\daicz\AppData\Local\Temp\Rar$DIa0.303\CN_51520000_005358_FA010080_2021000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AppData\Local\Temp\Rar$DIa0.303\CN_51520000_005358_FA010080_20210002_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6969" cy="3404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92A21" w14:textId="43EA80F3" w:rsidR="00587521" w:rsidRPr="00A90EB1" w:rsidRDefault="00587521" w:rsidP="00D6161D">
      <w:pPr>
        <w:spacing w:line="340" w:lineRule="exact"/>
        <w:contextualSpacing/>
        <w:rPr>
          <w:rFonts w:asciiTheme="minorEastAsia" w:hAnsiTheme="minorEastAsia"/>
          <w:b/>
          <w:szCs w:val="21"/>
        </w:rPr>
      </w:pPr>
    </w:p>
    <w:p w14:paraId="2FA1FC25" w14:textId="77777777" w:rsidR="00587521" w:rsidRPr="0004273C" w:rsidRDefault="00587521" w:rsidP="00D6161D">
      <w:pPr>
        <w:spacing w:line="340" w:lineRule="exact"/>
        <w:contextualSpacing/>
        <w:rPr>
          <w:rFonts w:asciiTheme="minorEastAsia" w:hAnsiTheme="minorEastAsia"/>
          <w:b/>
          <w:szCs w:val="21"/>
        </w:rPr>
      </w:pPr>
    </w:p>
    <w:p w14:paraId="7452EE35" w14:textId="77777777" w:rsidR="00587521" w:rsidRPr="0004273C" w:rsidRDefault="00587521" w:rsidP="00D6161D">
      <w:pPr>
        <w:spacing w:line="340" w:lineRule="exact"/>
        <w:contextualSpacing/>
        <w:rPr>
          <w:rFonts w:asciiTheme="minorEastAsia" w:hAnsiTheme="minorEastAsia"/>
          <w:b/>
          <w:szCs w:val="21"/>
        </w:rPr>
      </w:pPr>
    </w:p>
    <w:p w14:paraId="2A8730F7" w14:textId="77777777" w:rsidR="00587521" w:rsidRPr="0004273C" w:rsidRDefault="00587521" w:rsidP="00D6161D">
      <w:pPr>
        <w:spacing w:line="340" w:lineRule="exact"/>
        <w:contextualSpacing/>
        <w:rPr>
          <w:rFonts w:asciiTheme="minorEastAsia" w:hAnsiTheme="minorEastAsia"/>
          <w:b/>
          <w:szCs w:val="21"/>
        </w:rPr>
      </w:pPr>
    </w:p>
    <w:p w14:paraId="1F6E3991" w14:textId="77777777" w:rsidR="00587521" w:rsidRPr="0004273C" w:rsidRDefault="00587521" w:rsidP="00D6161D">
      <w:pPr>
        <w:spacing w:line="340" w:lineRule="exact"/>
        <w:contextualSpacing/>
        <w:rPr>
          <w:rFonts w:asciiTheme="minorEastAsia" w:hAnsiTheme="minorEastAsia"/>
          <w:b/>
          <w:szCs w:val="21"/>
        </w:rPr>
      </w:pPr>
    </w:p>
    <w:p w14:paraId="62A32E3D" w14:textId="77777777" w:rsidR="00587521" w:rsidRPr="0004273C" w:rsidRDefault="00587521" w:rsidP="00D6161D">
      <w:pPr>
        <w:spacing w:line="340" w:lineRule="exact"/>
        <w:contextualSpacing/>
        <w:rPr>
          <w:rFonts w:asciiTheme="minorEastAsia" w:hAnsiTheme="minorEastAsia"/>
          <w:b/>
          <w:szCs w:val="21"/>
        </w:rPr>
      </w:pPr>
    </w:p>
    <w:p w14:paraId="2931CDB4" w14:textId="77777777" w:rsidR="00587521" w:rsidRPr="0004273C" w:rsidRDefault="00587521" w:rsidP="00D6161D">
      <w:pPr>
        <w:spacing w:line="340" w:lineRule="exact"/>
        <w:contextualSpacing/>
        <w:rPr>
          <w:rFonts w:asciiTheme="minorEastAsia" w:hAnsiTheme="minorEastAsia"/>
          <w:b/>
          <w:szCs w:val="21"/>
        </w:rPr>
      </w:pPr>
    </w:p>
    <w:p w14:paraId="76AD294F" w14:textId="77777777" w:rsidR="00587521" w:rsidRPr="0004273C" w:rsidRDefault="00587521" w:rsidP="00D6161D">
      <w:pPr>
        <w:spacing w:line="340" w:lineRule="exact"/>
        <w:contextualSpacing/>
        <w:rPr>
          <w:rFonts w:asciiTheme="minorEastAsia" w:hAnsiTheme="minorEastAsia"/>
          <w:b/>
          <w:szCs w:val="21"/>
        </w:rPr>
      </w:pPr>
    </w:p>
    <w:p w14:paraId="6C16C15E" w14:textId="77777777" w:rsidR="00587521" w:rsidRPr="0004273C" w:rsidRDefault="00587521" w:rsidP="00D6161D">
      <w:pPr>
        <w:spacing w:line="340" w:lineRule="exact"/>
        <w:contextualSpacing/>
        <w:rPr>
          <w:rFonts w:asciiTheme="minorEastAsia" w:hAnsiTheme="minorEastAsia"/>
          <w:b/>
          <w:szCs w:val="21"/>
        </w:rPr>
      </w:pPr>
    </w:p>
    <w:p w14:paraId="40053526" w14:textId="77777777" w:rsidR="00587521" w:rsidRPr="0004273C" w:rsidRDefault="00587521" w:rsidP="00D6161D">
      <w:pPr>
        <w:spacing w:line="340" w:lineRule="exact"/>
        <w:contextualSpacing/>
        <w:rPr>
          <w:rFonts w:asciiTheme="minorEastAsia" w:hAnsiTheme="minorEastAsia"/>
          <w:b/>
          <w:szCs w:val="21"/>
        </w:rPr>
      </w:pPr>
    </w:p>
    <w:p w14:paraId="36650435" w14:textId="77777777" w:rsidR="004D6E48" w:rsidRDefault="004D6E48" w:rsidP="00D6161D">
      <w:pPr>
        <w:spacing w:line="340" w:lineRule="exact"/>
        <w:contextualSpacing/>
        <w:rPr>
          <w:rFonts w:asciiTheme="minorEastAsia" w:hAnsiTheme="minorEastAsia"/>
          <w:szCs w:val="21"/>
        </w:rPr>
      </w:pPr>
    </w:p>
    <w:p w14:paraId="5F003968" w14:textId="77777777" w:rsidR="00120E5C" w:rsidRPr="00120E5C" w:rsidRDefault="00120E5C" w:rsidP="00D6161D">
      <w:pPr>
        <w:spacing w:line="340" w:lineRule="exact"/>
        <w:contextualSpacing/>
        <w:rPr>
          <w:rFonts w:asciiTheme="minorEastAsia" w:hAnsiTheme="minorEastAsia"/>
          <w:szCs w:val="21"/>
        </w:rPr>
      </w:pPr>
    </w:p>
    <w:p w14:paraId="6F017B1D" w14:textId="77777777" w:rsidR="00D6161D"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b/>
          <w:szCs w:val="21"/>
        </w:rPr>
        <w:lastRenderedPageBreak/>
        <w:t>三</w:t>
      </w:r>
      <w:r w:rsidRPr="0004273C">
        <w:rPr>
          <w:rFonts w:asciiTheme="minorEastAsia" w:hAnsiTheme="minorEastAsia" w:hint="eastAsia"/>
          <w:b/>
          <w:szCs w:val="21"/>
        </w:rPr>
        <w:t>、</w:t>
      </w:r>
      <w:r w:rsidRPr="0004273C">
        <w:rPr>
          <w:rFonts w:asciiTheme="minorEastAsia" w:hAnsiTheme="minorEastAsia"/>
          <w:b/>
          <w:szCs w:val="21"/>
        </w:rPr>
        <w:t>投资本基金涉及的费用</w:t>
      </w:r>
    </w:p>
    <w:p w14:paraId="26DCF23C" w14:textId="77777777" w:rsidR="00D6161D"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（一）基金销售相关费用</w:t>
      </w:r>
    </w:p>
    <w:p w14:paraId="0545B474" w14:textId="77777777" w:rsidR="00D6161D" w:rsidRPr="0004273C" w:rsidRDefault="00D6161D" w:rsidP="00BE5320">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以下费用在申购/赎回基金过程中收取</w:t>
      </w:r>
      <w:r w:rsidR="004C7F14" w:rsidRPr="0004273C">
        <w:rPr>
          <w:rFonts w:asciiTheme="minorEastAsia" w:hAnsiTheme="minorEastAsia" w:hint="eastAsia"/>
          <w:szCs w:val="21"/>
        </w:rPr>
        <w:t>：</w:t>
      </w:r>
    </w:p>
    <w:p w14:paraId="5E2872A6" w14:textId="77777777" w:rsidR="00075E30" w:rsidRPr="0004273C" w:rsidRDefault="00075E30" w:rsidP="00BE5320">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东方阿尔法精选混合</w:t>
      </w:r>
      <w:r w:rsidRPr="0004273C">
        <w:rPr>
          <w:rFonts w:asciiTheme="minorEastAsia" w:hAnsiTheme="minor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9F56BF" w:rsidRPr="0004273C" w14:paraId="21237A50" w14:textId="77777777" w:rsidTr="00C86689">
        <w:tc>
          <w:tcPr>
            <w:tcW w:w="2552" w:type="dxa"/>
          </w:tcPr>
          <w:p w14:paraId="50C32019"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费用类型</w:t>
            </w:r>
          </w:p>
        </w:tc>
        <w:tc>
          <w:tcPr>
            <w:tcW w:w="2835" w:type="dxa"/>
          </w:tcPr>
          <w:p w14:paraId="68B33818"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金额（</w:t>
            </w:r>
            <w:r w:rsidRPr="0004273C">
              <w:rPr>
                <w:rFonts w:asciiTheme="minorEastAsia" w:hAnsiTheme="minorEastAsia"/>
                <w:b/>
                <w:szCs w:val="21"/>
              </w:rPr>
              <w:t>M）/</w:t>
            </w:r>
          </w:p>
          <w:p w14:paraId="3E7BE8D4"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持有期间（</w:t>
            </w:r>
            <w:r w:rsidRPr="0004273C">
              <w:rPr>
                <w:rFonts w:asciiTheme="minorEastAsia" w:hAnsiTheme="minorEastAsia"/>
                <w:b/>
                <w:szCs w:val="21"/>
              </w:rPr>
              <w:t>N）</w:t>
            </w:r>
          </w:p>
        </w:tc>
        <w:tc>
          <w:tcPr>
            <w:tcW w:w="1843" w:type="dxa"/>
          </w:tcPr>
          <w:p w14:paraId="329FED60"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收费方式</w:t>
            </w:r>
            <w:r w:rsidRPr="0004273C">
              <w:rPr>
                <w:rFonts w:asciiTheme="minorEastAsia" w:hAnsiTheme="minorEastAsia"/>
                <w:b/>
                <w:szCs w:val="21"/>
              </w:rPr>
              <w:t>/费率</w:t>
            </w:r>
          </w:p>
        </w:tc>
        <w:tc>
          <w:tcPr>
            <w:tcW w:w="1984" w:type="dxa"/>
          </w:tcPr>
          <w:p w14:paraId="3C6245FB"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备注</w:t>
            </w:r>
          </w:p>
        </w:tc>
      </w:tr>
      <w:tr w:rsidR="009F56BF" w:rsidRPr="0004273C" w14:paraId="3E18D491" w14:textId="77777777" w:rsidTr="00C86689">
        <w:tc>
          <w:tcPr>
            <w:tcW w:w="2552" w:type="dxa"/>
            <w:vMerge w:val="restart"/>
          </w:tcPr>
          <w:p w14:paraId="69181784" w14:textId="77777777" w:rsidR="00D350F7" w:rsidRPr="0004273C" w:rsidRDefault="00D350F7"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申购费（前收费）</w:t>
            </w:r>
          </w:p>
          <w:p w14:paraId="5C4B1598" w14:textId="77777777" w:rsidR="00D350F7" w:rsidRPr="0004273C" w:rsidRDefault="00D350F7" w:rsidP="00587521">
            <w:pPr>
              <w:spacing w:line="340" w:lineRule="exact"/>
              <w:contextualSpacing/>
              <w:rPr>
                <w:rFonts w:asciiTheme="minorEastAsia" w:hAnsiTheme="minorEastAsia"/>
                <w:b/>
                <w:szCs w:val="21"/>
              </w:rPr>
            </w:pPr>
          </w:p>
        </w:tc>
        <w:tc>
          <w:tcPr>
            <w:tcW w:w="2835" w:type="dxa"/>
          </w:tcPr>
          <w:p w14:paraId="47883E9C"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M＜50</w:t>
            </w:r>
            <w:r w:rsidRPr="0004273C">
              <w:rPr>
                <w:rFonts w:asciiTheme="minorEastAsia" w:hAnsiTheme="minorEastAsia" w:hint="eastAsia"/>
                <w:szCs w:val="21"/>
              </w:rPr>
              <w:t>万</w:t>
            </w:r>
          </w:p>
        </w:tc>
        <w:tc>
          <w:tcPr>
            <w:tcW w:w="1843" w:type="dxa"/>
          </w:tcPr>
          <w:p w14:paraId="50D6D112"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1.50%</w:t>
            </w:r>
          </w:p>
        </w:tc>
        <w:tc>
          <w:tcPr>
            <w:tcW w:w="1984" w:type="dxa"/>
          </w:tcPr>
          <w:p w14:paraId="5C1F76AE" w14:textId="279596CD" w:rsidR="00D350F7" w:rsidRPr="0004273C" w:rsidRDefault="00D350F7" w:rsidP="00D6161D">
            <w:pPr>
              <w:spacing w:line="340" w:lineRule="exact"/>
              <w:contextualSpacing/>
              <w:rPr>
                <w:rFonts w:asciiTheme="minorEastAsia" w:hAnsiTheme="minorEastAsia"/>
                <w:szCs w:val="21"/>
              </w:rPr>
            </w:pPr>
          </w:p>
        </w:tc>
      </w:tr>
      <w:tr w:rsidR="009F56BF" w:rsidRPr="0004273C" w14:paraId="49FEAD28" w14:textId="77777777" w:rsidTr="00C86689">
        <w:tc>
          <w:tcPr>
            <w:tcW w:w="2552" w:type="dxa"/>
            <w:vMerge/>
          </w:tcPr>
          <w:p w14:paraId="599F92F8" w14:textId="77777777" w:rsidR="00D350F7" w:rsidRPr="0004273C" w:rsidRDefault="00D350F7" w:rsidP="00587521">
            <w:pPr>
              <w:spacing w:line="340" w:lineRule="exact"/>
              <w:contextualSpacing/>
              <w:rPr>
                <w:rFonts w:asciiTheme="minorEastAsia" w:hAnsiTheme="minorEastAsia"/>
                <w:b/>
                <w:szCs w:val="21"/>
              </w:rPr>
            </w:pPr>
          </w:p>
        </w:tc>
        <w:tc>
          <w:tcPr>
            <w:tcW w:w="2835" w:type="dxa"/>
          </w:tcPr>
          <w:p w14:paraId="59D61B32"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50</w:t>
            </w:r>
            <w:r w:rsidRPr="0004273C">
              <w:rPr>
                <w:rFonts w:asciiTheme="minorEastAsia" w:hAnsiTheme="minorEastAsia" w:hint="eastAsia"/>
                <w:szCs w:val="21"/>
              </w:rPr>
              <w:t>万≤</w:t>
            </w:r>
            <w:r w:rsidRPr="0004273C">
              <w:rPr>
                <w:rFonts w:asciiTheme="minorEastAsia" w:hAnsiTheme="minorEastAsia"/>
                <w:szCs w:val="21"/>
              </w:rPr>
              <w:t>M＜100</w:t>
            </w:r>
            <w:r w:rsidRPr="0004273C">
              <w:rPr>
                <w:rFonts w:asciiTheme="minorEastAsia" w:hAnsiTheme="minorEastAsia" w:hint="eastAsia"/>
                <w:szCs w:val="21"/>
              </w:rPr>
              <w:t>万</w:t>
            </w:r>
          </w:p>
        </w:tc>
        <w:tc>
          <w:tcPr>
            <w:tcW w:w="1843" w:type="dxa"/>
          </w:tcPr>
          <w:p w14:paraId="05DE249C"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1.00%</w:t>
            </w:r>
          </w:p>
        </w:tc>
        <w:tc>
          <w:tcPr>
            <w:tcW w:w="1984" w:type="dxa"/>
          </w:tcPr>
          <w:p w14:paraId="362F272D" w14:textId="30C70A78" w:rsidR="00D350F7" w:rsidRPr="0004273C" w:rsidRDefault="00D350F7" w:rsidP="00D6161D">
            <w:pPr>
              <w:spacing w:line="340" w:lineRule="exact"/>
              <w:contextualSpacing/>
              <w:rPr>
                <w:rFonts w:asciiTheme="minorEastAsia" w:hAnsiTheme="minorEastAsia"/>
                <w:szCs w:val="21"/>
              </w:rPr>
            </w:pPr>
          </w:p>
        </w:tc>
      </w:tr>
      <w:tr w:rsidR="009F56BF" w:rsidRPr="0004273C" w14:paraId="2AC2D1B1" w14:textId="77777777" w:rsidTr="00C86689">
        <w:tc>
          <w:tcPr>
            <w:tcW w:w="2552" w:type="dxa"/>
            <w:vMerge/>
          </w:tcPr>
          <w:p w14:paraId="4A45C021" w14:textId="77777777" w:rsidR="00D350F7" w:rsidRPr="0004273C" w:rsidRDefault="00D350F7" w:rsidP="00587521">
            <w:pPr>
              <w:spacing w:line="340" w:lineRule="exact"/>
              <w:contextualSpacing/>
              <w:rPr>
                <w:rFonts w:asciiTheme="minorEastAsia" w:hAnsiTheme="minorEastAsia"/>
                <w:b/>
                <w:szCs w:val="21"/>
              </w:rPr>
            </w:pPr>
          </w:p>
        </w:tc>
        <w:tc>
          <w:tcPr>
            <w:tcW w:w="2835" w:type="dxa"/>
            <w:tcBorders>
              <w:bottom w:val="single" w:sz="4" w:space="0" w:color="auto"/>
            </w:tcBorders>
          </w:tcPr>
          <w:p w14:paraId="70E8A1B4"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M≥100</w:t>
            </w:r>
            <w:r w:rsidRPr="0004273C">
              <w:rPr>
                <w:rFonts w:asciiTheme="minorEastAsia" w:hAnsiTheme="minorEastAsia" w:hint="eastAsia"/>
                <w:szCs w:val="21"/>
              </w:rPr>
              <w:t>万</w:t>
            </w:r>
          </w:p>
        </w:tc>
        <w:tc>
          <w:tcPr>
            <w:tcW w:w="1843" w:type="dxa"/>
            <w:tcBorders>
              <w:bottom w:val="single" w:sz="4" w:space="0" w:color="auto"/>
            </w:tcBorders>
          </w:tcPr>
          <w:p w14:paraId="27906FED"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1000元/笔</w:t>
            </w:r>
          </w:p>
        </w:tc>
        <w:tc>
          <w:tcPr>
            <w:tcW w:w="1984" w:type="dxa"/>
            <w:tcBorders>
              <w:bottom w:val="single" w:sz="4" w:space="0" w:color="auto"/>
            </w:tcBorders>
          </w:tcPr>
          <w:p w14:paraId="6B22A28C" w14:textId="5EE968D2" w:rsidR="00D350F7" w:rsidRPr="0004273C" w:rsidRDefault="00D350F7" w:rsidP="00D6161D">
            <w:pPr>
              <w:spacing w:line="340" w:lineRule="exact"/>
              <w:contextualSpacing/>
              <w:rPr>
                <w:rFonts w:asciiTheme="minorEastAsia" w:hAnsiTheme="minorEastAsia"/>
                <w:szCs w:val="21"/>
              </w:rPr>
            </w:pPr>
          </w:p>
        </w:tc>
      </w:tr>
      <w:tr w:rsidR="009F56BF" w:rsidRPr="0004273C" w14:paraId="3B2765FE" w14:textId="77777777" w:rsidTr="00C86689">
        <w:tc>
          <w:tcPr>
            <w:tcW w:w="2552" w:type="dxa"/>
            <w:vMerge w:val="restart"/>
          </w:tcPr>
          <w:p w14:paraId="1D9414F3" w14:textId="77777777" w:rsidR="00587521" w:rsidRPr="0004273C" w:rsidRDefault="00587521" w:rsidP="00587521">
            <w:pPr>
              <w:spacing w:line="340" w:lineRule="exact"/>
              <w:contextualSpacing/>
              <w:rPr>
                <w:rFonts w:asciiTheme="minorEastAsia" w:hAnsiTheme="minorEastAsia"/>
                <w:b/>
                <w:szCs w:val="21"/>
              </w:rPr>
            </w:pPr>
            <w:r w:rsidRPr="0004273C">
              <w:rPr>
                <w:rFonts w:asciiTheme="minorEastAsia" w:hAnsiTheme="minorEastAsia" w:hint="eastAsia"/>
                <w:b/>
                <w:szCs w:val="21"/>
              </w:rPr>
              <w:t>赎回费</w:t>
            </w:r>
          </w:p>
        </w:tc>
        <w:tc>
          <w:tcPr>
            <w:tcW w:w="2835" w:type="dxa"/>
            <w:tcBorders>
              <w:top w:val="single" w:sz="4" w:space="0" w:color="auto"/>
            </w:tcBorders>
          </w:tcPr>
          <w:p w14:paraId="54F482DF"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0＜N＜7天</w:t>
            </w:r>
          </w:p>
        </w:tc>
        <w:tc>
          <w:tcPr>
            <w:tcW w:w="1843" w:type="dxa"/>
            <w:tcBorders>
              <w:top w:val="single" w:sz="4" w:space="0" w:color="auto"/>
            </w:tcBorders>
          </w:tcPr>
          <w:p w14:paraId="434D81A0"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1.50%</w:t>
            </w:r>
          </w:p>
        </w:tc>
        <w:tc>
          <w:tcPr>
            <w:tcW w:w="1984" w:type="dxa"/>
            <w:tcBorders>
              <w:top w:val="single" w:sz="4" w:space="0" w:color="auto"/>
            </w:tcBorders>
          </w:tcPr>
          <w:p w14:paraId="0F729E16" w14:textId="705743C8" w:rsidR="00587521" w:rsidRPr="0004273C" w:rsidRDefault="00587521" w:rsidP="00587521">
            <w:pPr>
              <w:contextualSpacing/>
              <w:rPr>
                <w:rFonts w:asciiTheme="minorEastAsia" w:hAnsiTheme="minorEastAsia"/>
                <w:szCs w:val="21"/>
              </w:rPr>
            </w:pPr>
          </w:p>
        </w:tc>
      </w:tr>
      <w:tr w:rsidR="009F56BF" w:rsidRPr="0004273C" w14:paraId="79B7B950" w14:textId="77777777" w:rsidTr="00C86689">
        <w:tc>
          <w:tcPr>
            <w:tcW w:w="2552" w:type="dxa"/>
            <w:vMerge/>
          </w:tcPr>
          <w:p w14:paraId="71809D5C"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6E21B553"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7天≤N＜30天</w:t>
            </w:r>
          </w:p>
        </w:tc>
        <w:tc>
          <w:tcPr>
            <w:tcW w:w="1843" w:type="dxa"/>
          </w:tcPr>
          <w:p w14:paraId="1E36285E"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0.75%</w:t>
            </w:r>
          </w:p>
        </w:tc>
        <w:tc>
          <w:tcPr>
            <w:tcW w:w="1984" w:type="dxa"/>
          </w:tcPr>
          <w:p w14:paraId="1EB75154" w14:textId="764A170C" w:rsidR="00587521" w:rsidRPr="0004273C" w:rsidRDefault="00587521" w:rsidP="00587521">
            <w:pPr>
              <w:contextualSpacing/>
              <w:rPr>
                <w:rFonts w:asciiTheme="minorEastAsia" w:hAnsiTheme="minorEastAsia"/>
                <w:szCs w:val="21"/>
              </w:rPr>
            </w:pPr>
          </w:p>
        </w:tc>
      </w:tr>
      <w:tr w:rsidR="009F56BF" w:rsidRPr="0004273C" w14:paraId="1D255075" w14:textId="77777777" w:rsidTr="00C86689">
        <w:trPr>
          <w:trHeight w:val="258"/>
        </w:trPr>
        <w:tc>
          <w:tcPr>
            <w:tcW w:w="2552" w:type="dxa"/>
            <w:vMerge/>
          </w:tcPr>
          <w:p w14:paraId="184D1BF0"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613592FD" w14:textId="5E6D2B92"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30天≤N＜</w:t>
            </w:r>
            <w:r w:rsidR="00D52AD0" w:rsidRPr="0004273C">
              <w:rPr>
                <w:rFonts w:asciiTheme="minorEastAsia" w:hAnsiTheme="minorEastAsia" w:hint="eastAsia"/>
                <w:szCs w:val="21"/>
              </w:rPr>
              <w:t>730天</w:t>
            </w:r>
          </w:p>
        </w:tc>
        <w:tc>
          <w:tcPr>
            <w:tcW w:w="1843" w:type="dxa"/>
          </w:tcPr>
          <w:p w14:paraId="5F54D4B7"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0.50%</w:t>
            </w:r>
          </w:p>
        </w:tc>
        <w:tc>
          <w:tcPr>
            <w:tcW w:w="1984" w:type="dxa"/>
          </w:tcPr>
          <w:p w14:paraId="54716465" w14:textId="7413CDE9" w:rsidR="00587521" w:rsidRPr="0004273C" w:rsidRDefault="00587521" w:rsidP="00587521">
            <w:pPr>
              <w:contextualSpacing/>
              <w:rPr>
                <w:rFonts w:asciiTheme="minorEastAsia" w:hAnsiTheme="minorEastAsia"/>
                <w:szCs w:val="21"/>
              </w:rPr>
            </w:pPr>
          </w:p>
        </w:tc>
      </w:tr>
      <w:tr w:rsidR="009F56BF" w:rsidRPr="0004273C" w14:paraId="1A831B34" w14:textId="77777777" w:rsidTr="00C86689">
        <w:trPr>
          <w:trHeight w:val="394"/>
        </w:trPr>
        <w:tc>
          <w:tcPr>
            <w:tcW w:w="2552" w:type="dxa"/>
            <w:vMerge/>
          </w:tcPr>
          <w:p w14:paraId="435BDCEB"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36370351"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730天≤N</w:t>
            </w:r>
          </w:p>
        </w:tc>
        <w:tc>
          <w:tcPr>
            <w:tcW w:w="1843" w:type="dxa"/>
          </w:tcPr>
          <w:p w14:paraId="778717C9"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w:t>
            </w:r>
          </w:p>
        </w:tc>
        <w:tc>
          <w:tcPr>
            <w:tcW w:w="1984" w:type="dxa"/>
          </w:tcPr>
          <w:p w14:paraId="14A8604D" w14:textId="77777777" w:rsidR="00587521" w:rsidRPr="0004273C" w:rsidRDefault="00587521" w:rsidP="00587521">
            <w:pPr>
              <w:spacing w:line="340" w:lineRule="exact"/>
              <w:contextualSpacing/>
              <w:rPr>
                <w:rFonts w:asciiTheme="minorEastAsia" w:hAnsiTheme="minorEastAsia"/>
                <w:b/>
                <w:szCs w:val="21"/>
              </w:rPr>
            </w:pPr>
          </w:p>
        </w:tc>
      </w:tr>
    </w:tbl>
    <w:p w14:paraId="32B75A55" w14:textId="77777777" w:rsidR="00C04FCF" w:rsidRPr="0004273C" w:rsidRDefault="00C04FCF" w:rsidP="00C04FCF">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注</w:t>
      </w:r>
      <w:r w:rsidRPr="0004273C">
        <w:rPr>
          <w:rFonts w:asciiTheme="minorEastAsia" w:hAnsiTheme="minorEastAsia"/>
          <w:szCs w:val="21"/>
        </w:rPr>
        <w:t>:投资人重复申购，须按每次申购所对应的费率档次分别计费。</w:t>
      </w:r>
    </w:p>
    <w:p w14:paraId="3F112A73" w14:textId="77777777" w:rsidR="00BE5320" w:rsidRPr="0004273C" w:rsidRDefault="00BE5320"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（二）基金运作相关费用</w:t>
      </w:r>
    </w:p>
    <w:p w14:paraId="109640C4" w14:textId="77777777" w:rsidR="00BE5320" w:rsidRPr="0004273C" w:rsidRDefault="00BE5320" w:rsidP="00BE5320">
      <w:pPr>
        <w:spacing w:line="340" w:lineRule="exact"/>
        <w:ind w:firstLineChars="200" w:firstLine="422"/>
        <w:contextualSpacing/>
        <w:rPr>
          <w:rFonts w:asciiTheme="minorEastAsia" w:hAnsiTheme="minorEastAsia"/>
          <w:b/>
          <w:szCs w:val="21"/>
        </w:rPr>
      </w:pPr>
      <w:r w:rsidRPr="0004273C">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9F56BF" w:rsidRPr="0004273C" w14:paraId="4EDED3D7" w14:textId="77777777" w:rsidTr="00975C1D">
        <w:tc>
          <w:tcPr>
            <w:tcW w:w="2268" w:type="dxa"/>
          </w:tcPr>
          <w:p w14:paraId="6F3F6183" w14:textId="77777777" w:rsidR="00BE5320" w:rsidRPr="0004273C" w:rsidRDefault="00BE5320" w:rsidP="002D315D">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费用类型</w:t>
            </w:r>
          </w:p>
        </w:tc>
        <w:tc>
          <w:tcPr>
            <w:tcW w:w="6946" w:type="dxa"/>
          </w:tcPr>
          <w:p w14:paraId="6D8CD546" w14:textId="77777777" w:rsidR="00BE5320" w:rsidRPr="0004273C" w:rsidRDefault="00BE5320" w:rsidP="002D315D">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收费方式</w:t>
            </w:r>
            <w:r w:rsidRPr="0004273C">
              <w:rPr>
                <w:rFonts w:asciiTheme="minorEastAsia" w:hAnsiTheme="minorEastAsia"/>
                <w:b/>
                <w:szCs w:val="21"/>
              </w:rPr>
              <w:t>/年费率</w:t>
            </w:r>
          </w:p>
        </w:tc>
      </w:tr>
      <w:tr w:rsidR="009F56BF" w:rsidRPr="0004273C" w14:paraId="29557175" w14:textId="77777777" w:rsidTr="00975C1D">
        <w:tc>
          <w:tcPr>
            <w:tcW w:w="2268" w:type="dxa"/>
          </w:tcPr>
          <w:p w14:paraId="5571D138" w14:textId="77777777" w:rsidR="00BE5320" w:rsidRPr="0004273C" w:rsidRDefault="00BE5320" w:rsidP="002D315D">
            <w:pPr>
              <w:spacing w:line="340" w:lineRule="exact"/>
              <w:contextualSpacing/>
              <w:rPr>
                <w:rFonts w:asciiTheme="minorEastAsia" w:hAnsiTheme="minorEastAsia"/>
                <w:b/>
                <w:szCs w:val="21"/>
              </w:rPr>
            </w:pPr>
            <w:r w:rsidRPr="0004273C">
              <w:rPr>
                <w:rFonts w:asciiTheme="minorEastAsia" w:hAnsiTheme="minorEastAsia" w:hint="eastAsia"/>
                <w:b/>
                <w:szCs w:val="21"/>
              </w:rPr>
              <w:t>管理费</w:t>
            </w:r>
          </w:p>
        </w:tc>
        <w:tc>
          <w:tcPr>
            <w:tcW w:w="6946" w:type="dxa"/>
          </w:tcPr>
          <w:p w14:paraId="0A7443B0" w14:textId="01220AA0" w:rsidR="00BE5320" w:rsidRPr="0004273C" w:rsidRDefault="00975C1D" w:rsidP="002D315D">
            <w:pPr>
              <w:spacing w:line="340" w:lineRule="exact"/>
              <w:contextualSpacing/>
              <w:rPr>
                <w:rFonts w:asciiTheme="minorEastAsia" w:hAnsiTheme="minorEastAsia"/>
                <w:szCs w:val="21"/>
              </w:rPr>
            </w:pPr>
            <w:r w:rsidRPr="0004273C">
              <w:rPr>
                <w:rFonts w:asciiTheme="minorEastAsia" w:hAnsiTheme="minorEastAsia" w:hint="eastAsia"/>
                <w:szCs w:val="21"/>
              </w:rPr>
              <w:t>固定费率</w:t>
            </w:r>
            <w:r w:rsidR="008D155B" w:rsidRPr="0004273C">
              <w:rPr>
                <w:rFonts w:asciiTheme="minorEastAsia" w:hAnsiTheme="minorEastAsia"/>
                <w:szCs w:val="21"/>
              </w:rPr>
              <w:t>1.50%</w:t>
            </w:r>
          </w:p>
        </w:tc>
      </w:tr>
      <w:tr w:rsidR="009F56BF" w:rsidRPr="0004273C" w14:paraId="435E92BB" w14:textId="77777777" w:rsidTr="00975C1D">
        <w:tc>
          <w:tcPr>
            <w:tcW w:w="2268" w:type="dxa"/>
          </w:tcPr>
          <w:p w14:paraId="4DEE6A06" w14:textId="77777777" w:rsidR="00BE5320" w:rsidRPr="0004273C" w:rsidRDefault="00BE5320" w:rsidP="002D315D">
            <w:pPr>
              <w:spacing w:line="340" w:lineRule="exact"/>
              <w:contextualSpacing/>
              <w:rPr>
                <w:rFonts w:asciiTheme="minorEastAsia" w:hAnsiTheme="minorEastAsia"/>
                <w:b/>
                <w:szCs w:val="21"/>
              </w:rPr>
            </w:pPr>
            <w:r w:rsidRPr="0004273C">
              <w:rPr>
                <w:rFonts w:asciiTheme="minorEastAsia" w:hAnsiTheme="minorEastAsia" w:hint="eastAsia"/>
                <w:b/>
                <w:szCs w:val="21"/>
              </w:rPr>
              <w:t>托管费</w:t>
            </w:r>
          </w:p>
        </w:tc>
        <w:tc>
          <w:tcPr>
            <w:tcW w:w="6946" w:type="dxa"/>
          </w:tcPr>
          <w:p w14:paraId="4E663DD2" w14:textId="77777777" w:rsidR="00BE5320" w:rsidRPr="0004273C" w:rsidRDefault="00975C1D" w:rsidP="002D315D">
            <w:pPr>
              <w:spacing w:line="340" w:lineRule="exact"/>
              <w:contextualSpacing/>
              <w:rPr>
                <w:rFonts w:asciiTheme="minorEastAsia" w:hAnsiTheme="minorEastAsia"/>
                <w:szCs w:val="21"/>
              </w:rPr>
            </w:pPr>
            <w:r w:rsidRPr="0004273C">
              <w:rPr>
                <w:rFonts w:asciiTheme="minorEastAsia" w:hAnsiTheme="minorEastAsia" w:hint="eastAsia"/>
                <w:szCs w:val="21"/>
              </w:rPr>
              <w:t>固定费率</w:t>
            </w:r>
            <w:r w:rsidRPr="0004273C">
              <w:rPr>
                <w:rFonts w:asciiTheme="minorEastAsia" w:hAnsiTheme="minorEastAsia"/>
                <w:szCs w:val="21"/>
              </w:rPr>
              <w:t xml:space="preserve"> </w:t>
            </w:r>
            <w:r w:rsidR="00F214CE" w:rsidRPr="0004273C">
              <w:rPr>
                <w:rFonts w:asciiTheme="minorEastAsia" w:hAnsiTheme="minorEastAsia"/>
                <w:szCs w:val="21"/>
              </w:rPr>
              <w:t>0.25%</w:t>
            </w:r>
          </w:p>
        </w:tc>
      </w:tr>
      <w:tr w:rsidR="009F56BF" w:rsidRPr="0004273C" w14:paraId="3AC54F1F" w14:textId="77777777" w:rsidTr="00975C1D">
        <w:tc>
          <w:tcPr>
            <w:tcW w:w="2268" w:type="dxa"/>
          </w:tcPr>
          <w:p w14:paraId="588A1CDF" w14:textId="77777777" w:rsidR="008D155B" w:rsidRPr="0004273C" w:rsidRDefault="008D155B" w:rsidP="002D315D">
            <w:pPr>
              <w:spacing w:line="340" w:lineRule="exact"/>
              <w:contextualSpacing/>
              <w:rPr>
                <w:rFonts w:asciiTheme="minorEastAsia" w:hAnsiTheme="minorEastAsia"/>
                <w:b/>
                <w:szCs w:val="21"/>
              </w:rPr>
            </w:pPr>
            <w:r w:rsidRPr="0004273C">
              <w:rPr>
                <w:rFonts w:asciiTheme="minorEastAsia" w:hAnsiTheme="minorEastAsia"/>
                <w:b/>
                <w:szCs w:val="21"/>
              </w:rPr>
              <w:t>其他费用</w:t>
            </w:r>
          </w:p>
        </w:tc>
        <w:tc>
          <w:tcPr>
            <w:tcW w:w="6946" w:type="dxa"/>
          </w:tcPr>
          <w:p w14:paraId="45828216" w14:textId="50D9EBDE" w:rsidR="008D155B" w:rsidRPr="0004273C" w:rsidRDefault="00975C1D" w:rsidP="00975C1D">
            <w:pPr>
              <w:spacing w:line="340" w:lineRule="exact"/>
              <w:contextualSpacing/>
              <w:rPr>
                <w:rFonts w:asciiTheme="minorEastAsia" w:hAnsiTheme="minorEastAsia"/>
                <w:bCs/>
                <w:szCs w:val="21"/>
              </w:rPr>
            </w:pPr>
            <w:r w:rsidRPr="0004273C">
              <w:rPr>
                <w:rFonts w:asciiTheme="minorEastAsia" w:hAnsiTheme="minorEastAsia" w:hint="eastAsia"/>
                <w:szCs w:val="21"/>
              </w:rPr>
              <w:t>《基金合同》生效后与基金相关的信息披露费用、会计师费、律师费、诉讼费；基金份额持有人大会费用；</w:t>
            </w:r>
            <w:r w:rsidR="00F55E30" w:rsidRPr="0004273C">
              <w:rPr>
                <w:rFonts w:asciiTheme="minorEastAsia" w:hAnsiTheme="minorEastAsia" w:hint="eastAsia"/>
                <w:bCs/>
                <w:szCs w:val="21"/>
              </w:rPr>
              <w:t>证券账户的开户费、账户维护费用；</w:t>
            </w:r>
            <w:r w:rsidR="00F55E30" w:rsidRPr="0004273C">
              <w:rPr>
                <w:rFonts w:asciiTheme="minorEastAsia" w:hAnsiTheme="minorEastAsia"/>
                <w:bCs/>
                <w:szCs w:val="21"/>
              </w:rPr>
              <w:t>基金的证券</w:t>
            </w:r>
            <w:r w:rsidR="00F55E30" w:rsidRPr="0004273C">
              <w:rPr>
                <w:rFonts w:asciiTheme="minorEastAsia" w:hAnsiTheme="minorEastAsia" w:hint="eastAsia"/>
                <w:bCs/>
                <w:szCs w:val="21"/>
              </w:rPr>
              <w:t>、</w:t>
            </w:r>
            <w:r w:rsidR="00F55E30" w:rsidRPr="0004273C">
              <w:rPr>
                <w:rFonts w:asciiTheme="minorEastAsia" w:hAnsiTheme="minorEastAsia"/>
                <w:bCs/>
                <w:szCs w:val="21"/>
              </w:rPr>
              <w:t>期货交易费用；基金的银行汇划费用；</w:t>
            </w:r>
            <w:r w:rsidR="00F55E30" w:rsidRPr="0004273C">
              <w:rPr>
                <w:rFonts w:asciiTheme="minorEastAsia" w:hAnsiTheme="minorEastAsia" w:hint="eastAsia"/>
                <w:bCs/>
                <w:szCs w:val="21"/>
              </w:rPr>
              <w:t>基金的开户费用、账户维护费用；基金投资港股通标的股票的合理费用</w:t>
            </w:r>
            <w:r w:rsidR="003D1DAE" w:rsidRPr="0004273C">
              <w:rPr>
                <w:rFonts w:asciiTheme="minorEastAsia" w:hAnsiTheme="minorEastAsia" w:hint="eastAsia"/>
                <w:szCs w:val="21"/>
              </w:rPr>
              <w:t>；</w:t>
            </w:r>
            <w:r w:rsidRPr="0004273C">
              <w:rPr>
                <w:rFonts w:asciiTheme="minorEastAsia" w:hAnsiTheme="minorEastAsia" w:hint="eastAsia"/>
                <w:szCs w:val="21"/>
              </w:rPr>
              <w:t>证券账户的开户费、账户维护费用；</w:t>
            </w:r>
            <w:r w:rsidRPr="0004273C">
              <w:rPr>
                <w:rFonts w:asciiTheme="minorEastAsia" w:hAnsiTheme="minorEastAsia" w:hint="eastAsia"/>
                <w:bCs/>
                <w:szCs w:val="21"/>
              </w:rPr>
              <w:t>基金投资港股通标的股票的合理费用；</w:t>
            </w:r>
            <w:r w:rsidRPr="0004273C">
              <w:rPr>
                <w:rFonts w:asciiTheme="minorEastAsia" w:hAnsiTheme="minorEastAsia"/>
                <w:bCs/>
                <w:szCs w:val="21"/>
              </w:rPr>
              <w:t>按照国家有关规定和《基金合同》约定，可以在基金财产中列支的其他费用</w:t>
            </w:r>
            <w:r w:rsidRPr="0004273C">
              <w:rPr>
                <w:rFonts w:asciiTheme="minorEastAsia" w:hAnsiTheme="minorEastAsia" w:hint="eastAsia"/>
                <w:bCs/>
                <w:szCs w:val="21"/>
              </w:rPr>
              <w:t>。</w:t>
            </w:r>
          </w:p>
        </w:tc>
      </w:tr>
    </w:tbl>
    <w:p w14:paraId="3E793CE4" w14:textId="4B844108" w:rsidR="00C04FCF" w:rsidRPr="0004273C" w:rsidRDefault="00C04FCF" w:rsidP="00C14DDC">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注</w:t>
      </w:r>
      <w:r w:rsidRPr="0004273C">
        <w:rPr>
          <w:rFonts w:asciiTheme="minorEastAsia" w:hAnsiTheme="minorEastAsia" w:hint="eastAsia"/>
          <w:szCs w:val="21"/>
        </w:rPr>
        <w:t>：本基金交易证券、基金等产生的费用和税负，按实际发生额从基金资产扣除。</w:t>
      </w:r>
    </w:p>
    <w:p w14:paraId="55AE43D5" w14:textId="77777777" w:rsidR="009D5C76" w:rsidRPr="0004273C" w:rsidRDefault="009D5C76" w:rsidP="00C14DDC">
      <w:pPr>
        <w:spacing w:line="340" w:lineRule="exact"/>
        <w:ind w:firstLineChars="200" w:firstLine="420"/>
        <w:contextualSpacing/>
        <w:rPr>
          <w:rFonts w:asciiTheme="minorEastAsia" w:hAnsiTheme="minorEastAsia"/>
          <w:szCs w:val="21"/>
        </w:rPr>
      </w:pPr>
    </w:p>
    <w:p w14:paraId="4C21CE7E"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b/>
          <w:szCs w:val="21"/>
        </w:rPr>
        <w:t>四</w:t>
      </w:r>
      <w:r w:rsidRPr="0004273C">
        <w:rPr>
          <w:rFonts w:asciiTheme="minorEastAsia" w:hAnsiTheme="minorEastAsia" w:hint="eastAsia"/>
          <w:b/>
          <w:szCs w:val="21"/>
        </w:rPr>
        <w:t>、</w:t>
      </w:r>
      <w:r w:rsidRPr="0004273C">
        <w:rPr>
          <w:rFonts w:asciiTheme="minorEastAsia" w:hAnsiTheme="minorEastAsia"/>
          <w:b/>
          <w:szCs w:val="21"/>
        </w:rPr>
        <w:t>风险揭示与重要提示</w:t>
      </w:r>
    </w:p>
    <w:p w14:paraId="47FBA58B"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hint="eastAsia"/>
          <w:b/>
          <w:szCs w:val="21"/>
        </w:rPr>
        <w:t>（一）风险揭示</w:t>
      </w:r>
    </w:p>
    <w:p w14:paraId="47820F12" w14:textId="4FFA9CD6"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本基金不提供任何保证。投资者可能损失本金。投</w:t>
      </w:r>
      <w:r w:rsidR="00194159" w:rsidRPr="0004273C">
        <w:rPr>
          <w:rFonts w:asciiTheme="minorEastAsia" w:hAnsiTheme="minorEastAsia" w:hint="eastAsia"/>
          <w:szCs w:val="21"/>
        </w:rPr>
        <w:t>资有风险，投资者购买基金时应认真阅读本基金的《招募说明书》等</w:t>
      </w:r>
      <w:r w:rsidRPr="0004273C">
        <w:rPr>
          <w:rFonts w:asciiTheme="minorEastAsia" w:hAnsiTheme="minorEastAsia" w:hint="eastAsia"/>
          <w:szCs w:val="21"/>
        </w:rPr>
        <w:t>文件。</w:t>
      </w:r>
    </w:p>
    <w:p w14:paraId="638912DC" w14:textId="4FCB3B69"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1、本基金特有风险</w:t>
      </w:r>
    </w:p>
    <w:p w14:paraId="42B3110D" w14:textId="07FDD38C" w:rsidR="000E78D9" w:rsidRPr="0004273C" w:rsidRDefault="000E78D9">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0ABA3EA7" w14:textId="211C2A4C" w:rsidR="008B3713" w:rsidRPr="008B3713" w:rsidRDefault="00033C15" w:rsidP="008B3713">
      <w:pPr>
        <w:spacing w:line="340" w:lineRule="exact"/>
        <w:ind w:firstLineChars="200" w:firstLine="420"/>
        <w:contextualSpacing/>
        <w:rPr>
          <w:rFonts w:asciiTheme="minorEastAsia" w:hAnsiTheme="minorEastAsia"/>
          <w:bCs/>
          <w:szCs w:val="21"/>
        </w:rPr>
      </w:pPr>
      <w:r w:rsidRPr="0004273C">
        <w:rPr>
          <w:rFonts w:asciiTheme="minorEastAsia" w:hAnsiTheme="minorEastAsia" w:hint="eastAsia"/>
          <w:szCs w:val="21"/>
        </w:rPr>
        <w:t>（</w:t>
      </w:r>
      <w:r w:rsidR="000E78D9">
        <w:rPr>
          <w:rFonts w:asciiTheme="minorEastAsia" w:hAnsiTheme="minorEastAsia"/>
          <w:szCs w:val="21"/>
        </w:rPr>
        <w:t>2</w:t>
      </w:r>
      <w:r w:rsidRPr="0004273C">
        <w:rPr>
          <w:rFonts w:asciiTheme="minorEastAsia" w:hAnsiTheme="minorEastAsia"/>
          <w:szCs w:val="21"/>
        </w:rPr>
        <w:t>）本基金为发起式基金</w:t>
      </w:r>
      <w:r w:rsidR="00AF7DAA">
        <w:rPr>
          <w:rFonts w:asciiTheme="minorEastAsia" w:hAnsiTheme="minorEastAsia" w:hint="eastAsia"/>
          <w:szCs w:val="21"/>
        </w:rPr>
        <w:t>，</w:t>
      </w:r>
      <w:r w:rsidR="008B3713" w:rsidRPr="008B3713">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1CA55C4A" w14:textId="0B850FC2" w:rsidR="00033C15" w:rsidRPr="008B3713" w:rsidRDefault="00033C15" w:rsidP="00033C15">
      <w:pPr>
        <w:spacing w:line="340" w:lineRule="exact"/>
        <w:ind w:firstLineChars="200" w:firstLine="420"/>
        <w:contextualSpacing/>
        <w:rPr>
          <w:rFonts w:asciiTheme="minorEastAsia" w:hAnsiTheme="minorEastAsia"/>
          <w:szCs w:val="21"/>
        </w:rPr>
      </w:pPr>
    </w:p>
    <w:p w14:paraId="548E8465" w14:textId="11EC9AE1" w:rsidR="0092657B" w:rsidRDefault="00033C15" w:rsidP="0092657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3</w:t>
      </w:r>
      <w:r w:rsidRPr="0004273C">
        <w:rPr>
          <w:rFonts w:asciiTheme="minorEastAsia" w:hAnsiTheme="minorEastAsia"/>
          <w:szCs w:val="21"/>
        </w:rPr>
        <w:t>）</w:t>
      </w:r>
      <w:r w:rsidR="00011A97" w:rsidRPr="00011A97">
        <w:rPr>
          <w:rFonts w:asciiTheme="minorEastAsia" w:hAnsiTheme="minorEastAsia" w:hint="eastAsia"/>
          <w:szCs w:val="21"/>
        </w:rPr>
        <w:t>本基金可投资股指期货，可能会出现的风险</w:t>
      </w:r>
      <w:proofErr w:type="gramStart"/>
      <w:r w:rsidR="00011A97" w:rsidRPr="00011A97">
        <w:rPr>
          <w:rFonts w:asciiTheme="minorEastAsia" w:hAnsiTheme="minorEastAsia" w:hint="eastAsia"/>
          <w:szCs w:val="21"/>
        </w:rPr>
        <w:t>包括基差风险</w:t>
      </w:r>
      <w:proofErr w:type="gramEnd"/>
      <w:r w:rsidR="00011A97" w:rsidRPr="00011A97">
        <w:rPr>
          <w:rFonts w:asciiTheme="minorEastAsia" w:hAnsiTheme="minorEastAsia" w:hint="eastAsia"/>
          <w:szCs w:val="21"/>
        </w:rPr>
        <w:t>、合约品种差异造成的风险、标的物风险、衍生品模型风险等。</w:t>
      </w:r>
    </w:p>
    <w:p w14:paraId="31D27537" w14:textId="4A5B1489"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lastRenderedPageBreak/>
        <w:t>（</w:t>
      </w:r>
      <w:r w:rsidR="000E78D9">
        <w:rPr>
          <w:rFonts w:asciiTheme="minorEastAsia" w:hAnsiTheme="minorEastAsia"/>
          <w:szCs w:val="21"/>
        </w:rPr>
        <w:t>4</w:t>
      </w:r>
      <w:r w:rsidRPr="0004273C">
        <w:rPr>
          <w:rFonts w:asciiTheme="minorEastAsia" w:hAnsiTheme="minorEastAsia"/>
          <w:szCs w:val="21"/>
        </w:rPr>
        <w:t>）</w:t>
      </w:r>
      <w:r w:rsidR="0092657B">
        <w:rPr>
          <w:rFonts w:asciiTheme="minorEastAsia" w:hAnsiTheme="minorEastAsia" w:hint="eastAsia"/>
          <w:szCs w:val="21"/>
        </w:rPr>
        <w:t>本基金可</w:t>
      </w:r>
      <w:r w:rsidR="0092657B" w:rsidRPr="00243D3B">
        <w:rPr>
          <w:rFonts w:asciiTheme="minorEastAsia" w:hAnsiTheme="minorEastAsia" w:hint="eastAsia"/>
          <w:szCs w:val="21"/>
        </w:rPr>
        <w:t>投资国债期货</w:t>
      </w:r>
      <w:r w:rsidR="0092657B">
        <w:rPr>
          <w:rFonts w:asciiTheme="minorEastAsia" w:hAnsiTheme="minorEastAsia" w:hint="eastAsia"/>
          <w:szCs w:val="21"/>
        </w:rPr>
        <w:t>，</w:t>
      </w:r>
      <w:r w:rsidR="0092657B" w:rsidRPr="00243D3B">
        <w:rPr>
          <w:rFonts w:asciiTheme="minorEastAsia" w:hAnsiTheme="minorEastAsia" w:hint="eastAsia"/>
          <w:szCs w:val="21"/>
        </w:rPr>
        <w:t>国债期货的风险</w:t>
      </w:r>
      <w:r w:rsidR="0092657B">
        <w:rPr>
          <w:rFonts w:asciiTheme="minorEastAsia" w:hAnsiTheme="minorEastAsia" w:hint="eastAsia"/>
          <w:szCs w:val="21"/>
        </w:rPr>
        <w:t>主要包含市场风险、流动性风险、信用风险、合</w:t>
      </w:r>
      <w:proofErr w:type="gramStart"/>
      <w:r w:rsidR="0092657B">
        <w:rPr>
          <w:rFonts w:asciiTheme="minorEastAsia" w:hAnsiTheme="minorEastAsia" w:hint="eastAsia"/>
          <w:szCs w:val="21"/>
        </w:rPr>
        <w:t>规</w:t>
      </w:r>
      <w:proofErr w:type="gramEnd"/>
      <w:r w:rsidR="0092657B">
        <w:rPr>
          <w:rFonts w:asciiTheme="minorEastAsia" w:hAnsiTheme="minorEastAsia" w:hint="eastAsia"/>
          <w:szCs w:val="21"/>
        </w:rPr>
        <w:t>性风险以及国债期货实物交割风险等。</w:t>
      </w:r>
    </w:p>
    <w:p w14:paraId="71E78FD3" w14:textId="232FA1DD"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006B2E37" w:rsidRPr="0004273C">
        <w:rPr>
          <w:rFonts w:asciiTheme="minorEastAsia" w:hAnsiTheme="minorEastAsia" w:hint="eastAsia"/>
          <w:szCs w:val="21"/>
        </w:rPr>
        <w:t>上市中小企业采用非公开发行的方式发行的债券。由于不能公开交易，</w:t>
      </w:r>
      <w:r w:rsidRPr="0004273C">
        <w:rPr>
          <w:rFonts w:asciiTheme="minorEastAsia" w:hAnsiTheme="minorEastAsia" w:hint="eastAsia"/>
          <w:szCs w:val="21"/>
        </w:rPr>
        <w:t>当发债主体信用质量恶化时，受市场流动性所限，本基金可能无法卖出所持有的中小企业私募债，</w:t>
      </w:r>
      <w:r w:rsidR="00684417" w:rsidRPr="0004273C">
        <w:rPr>
          <w:rFonts w:asciiTheme="minorEastAsia" w:hAnsiTheme="minorEastAsia" w:hint="eastAsia"/>
          <w:szCs w:val="21"/>
        </w:rPr>
        <w:t>由此可能</w:t>
      </w:r>
      <w:r w:rsidRPr="0004273C">
        <w:rPr>
          <w:rFonts w:asciiTheme="minorEastAsia" w:hAnsiTheme="minorEastAsia" w:hint="eastAsia"/>
          <w:szCs w:val="21"/>
        </w:rPr>
        <w:t>给基金净值带来</w:t>
      </w:r>
      <w:r w:rsidR="00C0112A" w:rsidRPr="0004273C">
        <w:rPr>
          <w:rFonts w:asciiTheme="minorEastAsia" w:hAnsiTheme="minorEastAsia" w:hint="eastAsia"/>
          <w:szCs w:val="21"/>
        </w:rPr>
        <w:t>更大的</w:t>
      </w:r>
      <w:r w:rsidRPr="0004273C">
        <w:rPr>
          <w:rFonts w:asciiTheme="minorEastAsia" w:hAnsiTheme="minorEastAsia" w:hint="eastAsia"/>
          <w:szCs w:val="21"/>
        </w:rPr>
        <w:t>负面影响和损失。</w:t>
      </w:r>
    </w:p>
    <w:p w14:paraId="5B85917B" w14:textId="5BF5167A"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6</w:t>
      </w:r>
      <w:r w:rsidR="006B2E37" w:rsidRPr="0004273C">
        <w:rPr>
          <w:rFonts w:asciiTheme="minorEastAsia" w:hAnsiTheme="minorEastAsia" w:hint="eastAsia"/>
          <w:szCs w:val="21"/>
        </w:rPr>
        <w:t>）</w:t>
      </w:r>
      <w:r w:rsidR="0092657B">
        <w:rPr>
          <w:rFonts w:asciiTheme="minorEastAsia" w:hAnsiTheme="minorEastAsia" w:hint="eastAsia"/>
          <w:szCs w:val="21"/>
        </w:rPr>
        <w:t>本基金可</w:t>
      </w:r>
      <w:r w:rsidR="0092657B" w:rsidRPr="00243D3B">
        <w:rPr>
          <w:rFonts w:asciiTheme="minorEastAsia" w:hAnsiTheme="minorEastAsia" w:hint="eastAsia"/>
          <w:szCs w:val="21"/>
        </w:rPr>
        <w:t>投资资产支持类证券</w:t>
      </w:r>
      <w:r w:rsidR="0092657B">
        <w:rPr>
          <w:rFonts w:asciiTheme="minorEastAsia" w:hAnsiTheme="minorEastAsia" w:hint="eastAsia"/>
          <w:szCs w:val="21"/>
        </w:rPr>
        <w:t>，</w:t>
      </w:r>
      <w:r w:rsidR="0092657B" w:rsidRPr="00243D3B">
        <w:rPr>
          <w:rFonts w:asciiTheme="minorEastAsia" w:hAnsiTheme="minorEastAsia" w:hint="eastAsia"/>
          <w:szCs w:val="21"/>
        </w:rPr>
        <w:t>资产支持证券的风险主要包括信用风险、利率风险、流动性风险、提前偿付风险等。</w:t>
      </w:r>
    </w:p>
    <w:p w14:paraId="2BACABAC" w14:textId="646C2EFE" w:rsidR="00243D3B" w:rsidRPr="0092657B" w:rsidRDefault="00243D3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0E78D9">
        <w:rPr>
          <w:rFonts w:asciiTheme="minorEastAsia" w:hAnsiTheme="minorEastAsia"/>
          <w:szCs w:val="21"/>
        </w:rPr>
        <w:t>7</w:t>
      </w:r>
      <w:r>
        <w:rPr>
          <w:rFonts w:asciiTheme="minorEastAsia" w:hAnsiTheme="minorEastAsia" w:hint="eastAsia"/>
          <w:szCs w:val="21"/>
        </w:rPr>
        <w:t>）</w:t>
      </w:r>
      <w:r w:rsidR="0092657B" w:rsidRPr="0004273C">
        <w:rPr>
          <w:rFonts w:asciiTheme="minorEastAsia" w:hAnsiTheme="minorEastAsia"/>
          <w:szCs w:val="21"/>
        </w:rPr>
        <w:t>本基金除了投资于A股市场优质企业外，还可在法律法规规定的范围内投资港股通标的股票，会面临港股</w:t>
      </w:r>
      <w:proofErr w:type="gramStart"/>
      <w:r w:rsidR="0092657B" w:rsidRPr="0004273C">
        <w:rPr>
          <w:rFonts w:asciiTheme="minorEastAsia" w:hAnsiTheme="minorEastAsia"/>
          <w:szCs w:val="21"/>
        </w:rPr>
        <w:t>通机制</w:t>
      </w:r>
      <w:proofErr w:type="gramEnd"/>
      <w:r w:rsidR="0092657B" w:rsidRPr="0004273C">
        <w:rPr>
          <w:rFonts w:asciiTheme="minorEastAsia" w:hAnsiTheme="minorEastAsia"/>
          <w:szCs w:val="21"/>
        </w:rPr>
        <w:t>下因投资环境、投资标的、市场制度以及交易规则等差异带来的特有风险。</w:t>
      </w:r>
    </w:p>
    <w:p w14:paraId="18E077F8" w14:textId="77777777" w:rsidR="0092657B" w:rsidRPr="0004273C" w:rsidRDefault="00243D3B" w:rsidP="0092657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0E78D9">
        <w:rPr>
          <w:rFonts w:asciiTheme="minorEastAsia" w:hAnsiTheme="minorEastAsia"/>
          <w:szCs w:val="21"/>
        </w:rPr>
        <w:t>8</w:t>
      </w:r>
      <w:r>
        <w:rPr>
          <w:rFonts w:asciiTheme="minorEastAsia" w:hAnsiTheme="minorEastAsia" w:hint="eastAsia"/>
          <w:szCs w:val="21"/>
        </w:rPr>
        <w:t>）</w:t>
      </w:r>
      <w:r w:rsidR="0092657B" w:rsidRPr="0004273C">
        <w:rPr>
          <w:rFonts w:asciiTheme="minorEastAsia" w:hAnsiTheme="minorEastAsia"/>
          <w:szCs w:val="21"/>
        </w:rPr>
        <w:t>本基金可投资</w:t>
      </w:r>
      <w:proofErr w:type="gramStart"/>
      <w:r w:rsidR="0092657B" w:rsidRPr="0004273C">
        <w:rPr>
          <w:rFonts w:asciiTheme="minorEastAsia" w:hAnsiTheme="minorEastAsia"/>
          <w:szCs w:val="21"/>
        </w:rPr>
        <w:t>科创板</w:t>
      </w:r>
      <w:proofErr w:type="gramEnd"/>
      <w:r w:rsidR="0092657B" w:rsidRPr="0004273C">
        <w:rPr>
          <w:rFonts w:asciiTheme="minorEastAsia" w:hAnsiTheme="minorEastAsia"/>
          <w:szCs w:val="21"/>
        </w:rPr>
        <w:t>上市交易股票，将承担因上市条件、交易规则、退市制度等差异带来的特有风险，包括流动性风险、退市风险、投资集中风险等。</w:t>
      </w:r>
    </w:p>
    <w:p w14:paraId="2E2AF107" w14:textId="2F91A23C"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9</w:t>
      </w:r>
      <w:r w:rsidR="00C01517" w:rsidRPr="0004273C">
        <w:rPr>
          <w:rFonts w:asciiTheme="minorEastAsia" w:hAnsiTheme="minorEastAsia"/>
          <w:szCs w:val="21"/>
        </w:rPr>
        <w:t>）</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4D7FF0B1" w14:textId="5F89A371" w:rsidR="00F92DBC" w:rsidRPr="0004273C" w:rsidRDefault="00F92DBC" w:rsidP="00033C1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sidR="000F35E4" w:rsidRPr="000F35E4">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r w:rsidR="00B45309">
        <w:rPr>
          <w:rFonts w:asciiTheme="minorEastAsia" w:hAnsiTheme="minorEastAsia" w:hint="eastAsia"/>
          <w:szCs w:val="21"/>
        </w:rPr>
        <w:t>。</w:t>
      </w:r>
    </w:p>
    <w:p w14:paraId="406D6F1D" w14:textId="3E501DC9"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8446E9">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w:t>
      </w:r>
      <w:r w:rsidR="000F35E4" w:rsidRPr="000F35E4">
        <w:rPr>
          <w:rFonts w:asciiTheme="minorEastAsia" w:hAnsiTheme="minorEastAsia" w:hint="eastAsia"/>
          <w:szCs w:val="21"/>
        </w:rPr>
        <w:t>营机构</w:t>
      </w:r>
      <w:r w:rsidRPr="0004273C">
        <w:rPr>
          <w:rFonts w:asciiTheme="minorEastAsia" w:hAnsiTheme="minorEastAsia"/>
          <w:szCs w:val="21"/>
        </w:rPr>
        <w:t>进行场内交易和结算，该种交易结算模式可能存在操作风险、资金使用效率降低的风险、交易结算风险、投资信息安全保密风险、无法完成当日估值等风险。</w:t>
      </w:r>
    </w:p>
    <w:p w14:paraId="6B29A75D" w14:textId="77777777" w:rsidR="00033C15" w:rsidRPr="0004273C" w:rsidRDefault="00033C15" w:rsidP="00694954">
      <w:pPr>
        <w:spacing w:line="340" w:lineRule="exact"/>
        <w:ind w:firstLine="420"/>
        <w:contextualSpacing/>
        <w:rPr>
          <w:rFonts w:asciiTheme="minorEastAsia" w:hAnsiTheme="minorEastAsia"/>
          <w:szCs w:val="21"/>
        </w:rPr>
      </w:pPr>
      <w:r w:rsidRPr="0004273C">
        <w:rPr>
          <w:rFonts w:asciiTheme="minorEastAsia" w:hAnsiTheme="minorEastAsia"/>
          <w:szCs w:val="21"/>
        </w:rPr>
        <w:t>2、开放式基金的共有风险：市场风险、管理风险、职业道德风险、流动性风险、合</w:t>
      </w:r>
      <w:proofErr w:type="gramStart"/>
      <w:r w:rsidRPr="0004273C">
        <w:rPr>
          <w:rFonts w:asciiTheme="minorEastAsia" w:hAnsiTheme="minorEastAsia"/>
          <w:szCs w:val="21"/>
        </w:rPr>
        <w:t>规</w:t>
      </w:r>
      <w:proofErr w:type="gramEnd"/>
      <w:r w:rsidRPr="0004273C">
        <w:rPr>
          <w:rFonts w:asciiTheme="minorEastAsia" w:hAnsiTheme="minorEastAsia"/>
          <w:szCs w:val="21"/>
        </w:rPr>
        <w:t>风险、投资管理风险、操作和技术风险以及不可抗力可能导致的其他风险。</w:t>
      </w:r>
    </w:p>
    <w:p w14:paraId="199C86DE" w14:textId="77777777" w:rsidR="00663768" w:rsidRPr="0004273C" w:rsidRDefault="008D155B" w:rsidP="00663768">
      <w:pPr>
        <w:spacing w:line="340" w:lineRule="exact"/>
        <w:contextualSpacing/>
        <w:rPr>
          <w:rFonts w:asciiTheme="minorEastAsia" w:hAnsiTheme="minorEastAsia"/>
          <w:b/>
          <w:szCs w:val="21"/>
        </w:rPr>
      </w:pPr>
      <w:r w:rsidRPr="0004273C">
        <w:rPr>
          <w:rFonts w:asciiTheme="minorEastAsia" w:hAnsiTheme="minorEastAsia" w:hint="eastAsia"/>
          <w:b/>
          <w:szCs w:val="21"/>
        </w:rPr>
        <w:t>（二）重要提示</w:t>
      </w:r>
    </w:p>
    <w:p w14:paraId="24EEB470" w14:textId="22938BE7" w:rsidR="000028DB" w:rsidRPr="0004273C" w:rsidRDefault="00D325CB" w:rsidP="007C74A6">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中国证监会对本基金募集的</w:t>
      </w:r>
      <w:r w:rsidR="000F35E4">
        <w:rPr>
          <w:rFonts w:asciiTheme="minorEastAsia" w:hAnsiTheme="minorEastAsia"/>
          <w:szCs w:val="21"/>
        </w:rPr>
        <w:t>注册</w:t>
      </w:r>
      <w:r w:rsidR="008D155B" w:rsidRPr="0004273C">
        <w:rPr>
          <w:rFonts w:asciiTheme="minorEastAsia" w:hAnsiTheme="minorEastAsia" w:hint="eastAsia"/>
          <w:szCs w:val="21"/>
        </w:rPr>
        <w:t>，并不表明其对本基金的价值和收益</w:t>
      </w:r>
      <w:proofErr w:type="gramStart"/>
      <w:r w:rsidR="008D155B" w:rsidRPr="0004273C">
        <w:rPr>
          <w:rFonts w:asciiTheme="minorEastAsia" w:hAnsiTheme="minorEastAsia" w:hint="eastAsia"/>
          <w:szCs w:val="21"/>
        </w:rPr>
        <w:t>作出</w:t>
      </w:r>
      <w:proofErr w:type="gramEnd"/>
      <w:r w:rsidR="008D155B" w:rsidRPr="0004273C">
        <w:rPr>
          <w:rFonts w:asciiTheme="minorEastAsia" w:hAnsiTheme="minorEastAsia" w:hint="eastAsia"/>
          <w:szCs w:val="21"/>
        </w:rPr>
        <w:t>实质性判断或保证，也不表明投资于本基金没有风险。基金管理人依照恪尽职守、诚实信用、谨慎勤勉的原则管理和运</w:t>
      </w:r>
      <w:r w:rsidR="00EE5AD9" w:rsidRPr="0004273C">
        <w:rPr>
          <w:rFonts w:asciiTheme="minorEastAsia" w:hAnsiTheme="minorEastAsia" w:hint="eastAsia"/>
          <w:szCs w:val="21"/>
        </w:rPr>
        <w:t>用基金财产，但不保证基金一定盈利，也不保证最低收益。基金投资者</w:t>
      </w:r>
      <w:r w:rsidR="008D155B" w:rsidRPr="0004273C">
        <w:rPr>
          <w:rFonts w:asciiTheme="minorEastAsia" w:hAnsiTheme="minorEastAsia" w:hint="eastAsia"/>
          <w:szCs w:val="21"/>
        </w:rPr>
        <w:t>依基金合同取得基金份额，即成为基金份额持有人和基金合同的当事人。</w:t>
      </w:r>
    </w:p>
    <w:p w14:paraId="748CF298" w14:textId="15BE3780" w:rsidR="000028DB" w:rsidRPr="0004273C" w:rsidRDefault="000028D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75F6639" w14:textId="11C1B579" w:rsidR="005D2D3D" w:rsidRPr="0004273C" w:rsidRDefault="000D6A80" w:rsidP="007C74A6">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因《基金合同》而产生的或与《基金合同》有关的一切争议，应</w:t>
      </w:r>
      <w:r w:rsidR="007C74A6" w:rsidRPr="0004273C">
        <w:rPr>
          <w:rFonts w:asciiTheme="minorEastAsia" w:hAnsiTheme="minorEastAsia" w:hint="eastAsia"/>
          <w:szCs w:val="21"/>
        </w:rPr>
        <w:t>友好协商解决</w:t>
      </w:r>
      <w:r w:rsidR="00D7787A" w:rsidRPr="0004273C">
        <w:rPr>
          <w:rFonts w:asciiTheme="minorEastAsia" w:hAnsiTheme="minorEastAsia" w:hint="eastAsia"/>
          <w:szCs w:val="21"/>
        </w:rPr>
        <w:t>；</w:t>
      </w:r>
      <w:r w:rsidR="007C74A6" w:rsidRPr="0004273C">
        <w:rPr>
          <w:rFonts w:asciiTheme="minorEastAsia" w:hAnsiTheme="minorEastAsia" w:hint="eastAsia"/>
          <w:szCs w:val="21"/>
        </w:rPr>
        <w:t>如经友好协商未能解决的，则任何一方有权按《基金合同》的约定提交仲裁。</w:t>
      </w:r>
      <w:r w:rsidR="00B90ED7" w:rsidRPr="0004273C">
        <w:rPr>
          <w:rFonts w:asciiTheme="minorEastAsia" w:hAnsiTheme="minorEastAsia" w:hint="eastAsia"/>
          <w:szCs w:val="21"/>
        </w:rPr>
        <w:t>详情见</w:t>
      </w:r>
      <w:r w:rsidR="005D2D3D" w:rsidRPr="0004273C">
        <w:rPr>
          <w:rFonts w:asciiTheme="minorEastAsia" w:hAnsiTheme="minorEastAsia" w:hint="eastAsia"/>
          <w:szCs w:val="21"/>
        </w:rPr>
        <w:t>本基金《基金合同》第二十一部分</w:t>
      </w:r>
      <w:r w:rsidR="005D2D3D" w:rsidRPr="0004273C">
        <w:rPr>
          <w:rFonts w:asciiTheme="minorEastAsia" w:hAnsiTheme="minorEastAsia"/>
          <w:szCs w:val="21"/>
        </w:rPr>
        <w:t>“</w:t>
      </w:r>
      <w:r w:rsidR="005D2D3D" w:rsidRPr="0004273C">
        <w:rPr>
          <w:rFonts w:asciiTheme="minorEastAsia" w:hAnsiTheme="minorEastAsia" w:hint="eastAsia"/>
          <w:szCs w:val="21"/>
        </w:rPr>
        <w:t>争议的处理和适用法律</w:t>
      </w:r>
      <w:r w:rsidR="005D2D3D" w:rsidRPr="0004273C">
        <w:rPr>
          <w:rFonts w:asciiTheme="minorEastAsia" w:hAnsiTheme="minorEastAsia"/>
          <w:szCs w:val="21"/>
        </w:rPr>
        <w:t>”</w:t>
      </w:r>
      <w:r w:rsidR="005D2D3D" w:rsidRPr="0004273C">
        <w:rPr>
          <w:rFonts w:asciiTheme="minorEastAsia" w:hAnsiTheme="minorEastAsia" w:hint="eastAsia"/>
          <w:szCs w:val="21"/>
        </w:rPr>
        <w:t>。</w:t>
      </w:r>
    </w:p>
    <w:p w14:paraId="3F82C517" w14:textId="77777777" w:rsidR="001F7307" w:rsidRPr="0004273C" w:rsidRDefault="001F7307" w:rsidP="007C74A6">
      <w:pPr>
        <w:spacing w:line="340" w:lineRule="exact"/>
        <w:ind w:firstLineChars="200" w:firstLine="420"/>
        <w:contextualSpacing/>
        <w:rPr>
          <w:rFonts w:asciiTheme="minorEastAsia" w:hAnsiTheme="minorEastAsia"/>
          <w:szCs w:val="21"/>
        </w:rPr>
      </w:pPr>
    </w:p>
    <w:p w14:paraId="5E439D1D"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b/>
          <w:szCs w:val="21"/>
        </w:rPr>
        <w:t>五</w:t>
      </w:r>
      <w:r w:rsidRPr="0004273C">
        <w:rPr>
          <w:rFonts w:asciiTheme="minorEastAsia" w:hAnsiTheme="minorEastAsia" w:hint="eastAsia"/>
          <w:b/>
          <w:szCs w:val="21"/>
        </w:rPr>
        <w:t>、</w:t>
      </w:r>
      <w:r w:rsidRPr="0004273C">
        <w:rPr>
          <w:rFonts w:asciiTheme="minorEastAsia" w:hAnsiTheme="minorEastAsia"/>
          <w:b/>
          <w:szCs w:val="21"/>
        </w:rPr>
        <w:t>其他资料查询方式</w:t>
      </w:r>
    </w:p>
    <w:p w14:paraId="62EF50F4" w14:textId="77777777" w:rsidR="008D155B" w:rsidRPr="0004273C" w:rsidRDefault="008D155B" w:rsidP="00ED549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以下资料详见</w:t>
      </w:r>
      <w:r w:rsidR="00ED549B" w:rsidRPr="0004273C">
        <w:rPr>
          <w:rFonts w:asciiTheme="minorEastAsia" w:hAnsiTheme="minorEastAsia" w:hint="eastAsia"/>
          <w:szCs w:val="21"/>
        </w:rPr>
        <w:t>东方阿尔法基金官方网站【</w:t>
      </w:r>
      <w:r w:rsidR="00ED549B" w:rsidRPr="0004273C">
        <w:rPr>
          <w:rFonts w:asciiTheme="minorEastAsia" w:hAnsiTheme="minorEastAsia"/>
          <w:szCs w:val="21"/>
        </w:rPr>
        <w:t>www.dfa66.com】【客服电话：400-930-6677</w:t>
      </w:r>
      <w:r w:rsidR="00ED549B" w:rsidRPr="0004273C">
        <w:rPr>
          <w:rFonts w:asciiTheme="minorEastAsia" w:hAnsiTheme="minorEastAsia" w:hint="eastAsia"/>
          <w:szCs w:val="21"/>
        </w:rPr>
        <w:t>】</w:t>
      </w:r>
    </w:p>
    <w:p w14:paraId="12017E4E" w14:textId="77777777" w:rsidR="008D155B" w:rsidRPr="0004273C" w:rsidRDefault="00ED549B" w:rsidP="00ED549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1）</w:t>
      </w:r>
      <w:r w:rsidR="008D155B" w:rsidRPr="0004273C">
        <w:rPr>
          <w:rFonts w:asciiTheme="minorEastAsia" w:hAnsiTheme="minorEastAsia" w:hint="eastAsia"/>
          <w:szCs w:val="21"/>
        </w:rPr>
        <w:t>基金合同、托管协议、招募说明书</w:t>
      </w:r>
    </w:p>
    <w:p w14:paraId="5E572BC2"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2）</w:t>
      </w:r>
      <w:r w:rsidR="008D155B" w:rsidRPr="0004273C">
        <w:rPr>
          <w:rFonts w:asciiTheme="minorEastAsia" w:hAnsiTheme="minorEastAsia" w:hint="eastAsia"/>
          <w:szCs w:val="21"/>
        </w:rPr>
        <w:t>定期报告，包括基金季度报告、中期报告和年度报告</w:t>
      </w:r>
    </w:p>
    <w:p w14:paraId="51369EDF"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3）</w:t>
      </w:r>
      <w:r w:rsidR="008D155B" w:rsidRPr="0004273C">
        <w:rPr>
          <w:rFonts w:asciiTheme="minorEastAsia" w:hAnsiTheme="minorEastAsia" w:hint="eastAsia"/>
          <w:szCs w:val="21"/>
        </w:rPr>
        <w:t>基金份额净值</w:t>
      </w:r>
    </w:p>
    <w:p w14:paraId="3779B258"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4）</w:t>
      </w:r>
      <w:r w:rsidR="008D155B" w:rsidRPr="0004273C">
        <w:rPr>
          <w:rFonts w:asciiTheme="minorEastAsia" w:hAnsiTheme="minorEastAsia" w:hint="eastAsia"/>
          <w:szCs w:val="21"/>
        </w:rPr>
        <w:t>基金销售机构及联系方式</w:t>
      </w:r>
    </w:p>
    <w:p w14:paraId="52BBB1EF" w14:textId="77777777" w:rsidR="00ED549B" w:rsidRPr="0004273C" w:rsidRDefault="00ED549B" w:rsidP="00C14DDC">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5）</w:t>
      </w:r>
      <w:r w:rsidR="008D155B" w:rsidRPr="0004273C">
        <w:rPr>
          <w:rFonts w:asciiTheme="minorEastAsia" w:hAnsiTheme="minorEastAsia" w:hint="eastAsia"/>
          <w:szCs w:val="21"/>
        </w:rPr>
        <w:t>其他重要资料</w:t>
      </w:r>
    </w:p>
    <w:p w14:paraId="39E9CE5F" w14:textId="77777777" w:rsidR="00B66439" w:rsidRPr="0004273C" w:rsidRDefault="00B66439" w:rsidP="00C14DDC">
      <w:pPr>
        <w:pStyle w:val="a5"/>
        <w:spacing w:line="340" w:lineRule="exact"/>
        <w:ind w:left="420" w:firstLineChars="0" w:firstLine="0"/>
        <w:contextualSpacing/>
      </w:pPr>
    </w:p>
    <w:p w14:paraId="05A6011C" w14:textId="77777777" w:rsidR="00ED549B" w:rsidRPr="0004273C" w:rsidRDefault="00ED549B" w:rsidP="00ED549B">
      <w:pPr>
        <w:spacing w:line="340" w:lineRule="exact"/>
        <w:contextualSpacing/>
        <w:rPr>
          <w:rFonts w:asciiTheme="minorEastAsia" w:hAnsiTheme="minorEastAsia"/>
          <w:b/>
          <w:szCs w:val="21"/>
        </w:rPr>
      </w:pPr>
      <w:r w:rsidRPr="0004273C">
        <w:rPr>
          <w:rFonts w:asciiTheme="minorEastAsia" w:hAnsiTheme="minorEastAsia"/>
          <w:b/>
          <w:szCs w:val="21"/>
        </w:rPr>
        <w:t>六</w:t>
      </w:r>
      <w:r w:rsidRPr="0004273C">
        <w:rPr>
          <w:rFonts w:asciiTheme="minorEastAsia" w:hAnsiTheme="minorEastAsia" w:hint="eastAsia"/>
          <w:b/>
          <w:szCs w:val="21"/>
        </w:rPr>
        <w:t>、</w:t>
      </w:r>
      <w:r w:rsidRPr="0004273C">
        <w:rPr>
          <w:rFonts w:asciiTheme="minorEastAsia" w:hAnsiTheme="minorEastAsia"/>
          <w:b/>
          <w:szCs w:val="21"/>
        </w:rPr>
        <w:t>其他情况说明</w:t>
      </w:r>
    </w:p>
    <w:p w14:paraId="4C853622" w14:textId="4C43CE4D" w:rsidR="00ED549B" w:rsidRPr="009F56BF" w:rsidRDefault="00D84F15" w:rsidP="004C0D9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无</w:t>
      </w:r>
    </w:p>
    <w:sectPr w:rsidR="00ED549B" w:rsidRPr="009F56BF" w:rsidSect="009A437C">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B028A" w14:textId="77777777" w:rsidR="00733E62" w:rsidRDefault="00733E62" w:rsidP="00322DFB">
      <w:r>
        <w:separator/>
      </w:r>
    </w:p>
  </w:endnote>
  <w:endnote w:type="continuationSeparator" w:id="0">
    <w:p w14:paraId="03CFCEA7" w14:textId="77777777" w:rsidR="00733E62" w:rsidRDefault="00733E62"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548747"/>
      <w:docPartObj>
        <w:docPartGallery w:val="Page Numbers (Bottom of Page)"/>
        <w:docPartUnique/>
      </w:docPartObj>
    </w:sdtPr>
    <w:sdtEndPr/>
    <w:sdtContent>
      <w:p w14:paraId="116CA3CF" w14:textId="6A135A0E" w:rsidR="00003703" w:rsidRDefault="00003703">
        <w:pPr>
          <w:pStyle w:val="a4"/>
          <w:jc w:val="center"/>
        </w:pPr>
        <w:r>
          <w:fldChar w:fldCharType="begin"/>
        </w:r>
        <w:r>
          <w:instrText>PAGE   \* MERGEFORMAT</w:instrText>
        </w:r>
        <w:r>
          <w:fldChar w:fldCharType="separate"/>
        </w:r>
        <w:r w:rsidR="00126062" w:rsidRPr="00126062">
          <w:rPr>
            <w:noProof/>
            <w:lang w:val="zh-CN"/>
          </w:rPr>
          <w:t>4</w:t>
        </w:r>
        <w:r>
          <w:fldChar w:fldCharType="end"/>
        </w:r>
      </w:p>
    </w:sdtContent>
  </w:sdt>
  <w:p w14:paraId="1C15D221"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7E090" w14:textId="77777777" w:rsidR="00733E62" w:rsidRDefault="00733E62" w:rsidP="00322DFB">
      <w:r>
        <w:separator/>
      </w:r>
    </w:p>
  </w:footnote>
  <w:footnote w:type="continuationSeparator" w:id="0">
    <w:p w14:paraId="32B6AC84" w14:textId="77777777" w:rsidR="00733E62" w:rsidRDefault="00733E62"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703"/>
    <w:rsid w:val="00011A97"/>
    <w:rsid w:val="00033C15"/>
    <w:rsid w:val="00035DF0"/>
    <w:rsid w:val="00037AFC"/>
    <w:rsid w:val="0004273C"/>
    <w:rsid w:val="00050BEB"/>
    <w:rsid w:val="000633E1"/>
    <w:rsid w:val="00074340"/>
    <w:rsid w:val="00075E30"/>
    <w:rsid w:val="00091EAD"/>
    <w:rsid w:val="00095BBF"/>
    <w:rsid w:val="000C07A8"/>
    <w:rsid w:val="000D6A80"/>
    <w:rsid w:val="000D7E21"/>
    <w:rsid w:val="000E78D9"/>
    <w:rsid w:val="000E7C3C"/>
    <w:rsid w:val="000F2EFC"/>
    <w:rsid w:val="000F35E4"/>
    <w:rsid w:val="00105D1D"/>
    <w:rsid w:val="00120E5C"/>
    <w:rsid w:val="00126062"/>
    <w:rsid w:val="001320D6"/>
    <w:rsid w:val="00165891"/>
    <w:rsid w:val="0018376C"/>
    <w:rsid w:val="00194159"/>
    <w:rsid w:val="00195542"/>
    <w:rsid w:val="00196008"/>
    <w:rsid w:val="001A0C49"/>
    <w:rsid w:val="001A1F3C"/>
    <w:rsid w:val="001A5635"/>
    <w:rsid w:val="001A6B72"/>
    <w:rsid w:val="001A7C67"/>
    <w:rsid w:val="001B0407"/>
    <w:rsid w:val="001F7307"/>
    <w:rsid w:val="002206D4"/>
    <w:rsid w:val="00243D3B"/>
    <w:rsid w:val="00250906"/>
    <w:rsid w:val="00281ADA"/>
    <w:rsid w:val="002876C1"/>
    <w:rsid w:val="002D13DE"/>
    <w:rsid w:val="002D1B4C"/>
    <w:rsid w:val="002F33D7"/>
    <w:rsid w:val="002F41D8"/>
    <w:rsid w:val="00300307"/>
    <w:rsid w:val="00303CBD"/>
    <w:rsid w:val="00322DFB"/>
    <w:rsid w:val="003259CD"/>
    <w:rsid w:val="00335CDB"/>
    <w:rsid w:val="00347BC3"/>
    <w:rsid w:val="00362010"/>
    <w:rsid w:val="00391B27"/>
    <w:rsid w:val="00393690"/>
    <w:rsid w:val="003B677A"/>
    <w:rsid w:val="003D1DAE"/>
    <w:rsid w:val="003D2603"/>
    <w:rsid w:val="003E2B10"/>
    <w:rsid w:val="003F4F66"/>
    <w:rsid w:val="00422804"/>
    <w:rsid w:val="004534C1"/>
    <w:rsid w:val="00461049"/>
    <w:rsid w:val="00480506"/>
    <w:rsid w:val="004B0E02"/>
    <w:rsid w:val="004B57A4"/>
    <w:rsid w:val="004C0D93"/>
    <w:rsid w:val="004C18CD"/>
    <w:rsid w:val="004C7F14"/>
    <w:rsid w:val="004D6E48"/>
    <w:rsid w:val="004F4E89"/>
    <w:rsid w:val="00514EF3"/>
    <w:rsid w:val="0053550C"/>
    <w:rsid w:val="00542001"/>
    <w:rsid w:val="005618E1"/>
    <w:rsid w:val="00566F4B"/>
    <w:rsid w:val="0058312A"/>
    <w:rsid w:val="00587521"/>
    <w:rsid w:val="00597471"/>
    <w:rsid w:val="005A0DAA"/>
    <w:rsid w:val="005B0FEE"/>
    <w:rsid w:val="005D22E2"/>
    <w:rsid w:val="005D2D3D"/>
    <w:rsid w:val="006412BF"/>
    <w:rsid w:val="00641DF8"/>
    <w:rsid w:val="00644CEE"/>
    <w:rsid w:val="0064537B"/>
    <w:rsid w:val="006463BA"/>
    <w:rsid w:val="00646C3F"/>
    <w:rsid w:val="00662089"/>
    <w:rsid w:val="00663768"/>
    <w:rsid w:val="006778AD"/>
    <w:rsid w:val="00684417"/>
    <w:rsid w:val="00694954"/>
    <w:rsid w:val="006B183B"/>
    <w:rsid w:val="006B2E37"/>
    <w:rsid w:val="006C71B2"/>
    <w:rsid w:val="006D1BA8"/>
    <w:rsid w:val="006F6180"/>
    <w:rsid w:val="00700278"/>
    <w:rsid w:val="00733E62"/>
    <w:rsid w:val="00735306"/>
    <w:rsid w:val="00772FFD"/>
    <w:rsid w:val="00787396"/>
    <w:rsid w:val="00796F91"/>
    <w:rsid w:val="007B28BF"/>
    <w:rsid w:val="007C706C"/>
    <w:rsid w:val="007C74A6"/>
    <w:rsid w:val="007D500C"/>
    <w:rsid w:val="007E53B8"/>
    <w:rsid w:val="00836402"/>
    <w:rsid w:val="008436C9"/>
    <w:rsid w:val="008446E9"/>
    <w:rsid w:val="0086486E"/>
    <w:rsid w:val="008A4838"/>
    <w:rsid w:val="008B3713"/>
    <w:rsid w:val="008B75E1"/>
    <w:rsid w:val="008D155B"/>
    <w:rsid w:val="008D39EF"/>
    <w:rsid w:val="008E0DF6"/>
    <w:rsid w:val="008F4FA9"/>
    <w:rsid w:val="00914717"/>
    <w:rsid w:val="0091532E"/>
    <w:rsid w:val="009205EE"/>
    <w:rsid w:val="0092494B"/>
    <w:rsid w:val="0092657B"/>
    <w:rsid w:val="00934ED3"/>
    <w:rsid w:val="00935D74"/>
    <w:rsid w:val="00937FF3"/>
    <w:rsid w:val="00951F15"/>
    <w:rsid w:val="00971779"/>
    <w:rsid w:val="00975C1D"/>
    <w:rsid w:val="00976C18"/>
    <w:rsid w:val="009A437C"/>
    <w:rsid w:val="009B118C"/>
    <w:rsid w:val="009B4751"/>
    <w:rsid w:val="009B5CE5"/>
    <w:rsid w:val="009B666D"/>
    <w:rsid w:val="009C4DF6"/>
    <w:rsid w:val="009C6ABD"/>
    <w:rsid w:val="009D0538"/>
    <w:rsid w:val="009D5C76"/>
    <w:rsid w:val="009F56BF"/>
    <w:rsid w:val="00A12F39"/>
    <w:rsid w:val="00A27953"/>
    <w:rsid w:val="00A27F82"/>
    <w:rsid w:val="00A4204A"/>
    <w:rsid w:val="00A421CC"/>
    <w:rsid w:val="00A42958"/>
    <w:rsid w:val="00A508DF"/>
    <w:rsid w:val="00A55A40"/>
    <w:rsid w:val="00A56E4A"/>
    <w:rsid w:val="00A73A1C"/>
    <w:rsid w:val="00A85F79"/>
    <w:rsid w:val="00A86233"/>
    <w:rsid w:val="00A90EB1"/>
    <w:rsid w:val="00A96115"/>
    <w:rsid w:val="00AB60F3"/>
    <w:rsid w:val="00AC450F"/>
    <w:rsid w:val="00AC4FDE"/>
    <w:rsid w:val="00AC5026"/>
    <w:rsid w:val="00AF4C00"/>
    <w:rsid w:val="00AF7DAA"/>
    <w:rsid w:val="00B0443E"/>
    <w:rsid w:val="00B07DD1"/>
    <w:rsid w:val="00B13C49"/>
    <w:rsid w:val="00B1573C"/>
    <w:rsid w:val="00B30C63"/>
    <w:rsid w:val="00B3144D"/>
    <w:rsid w:val="00B34F28"/>
    <w:rsid w:val="00B45309"/>
    <w:rsid w:val="00B66439"/>
    <w:rsid w:val="00B90ED7"/>
    <w:rsid w:val="00BE03F6"/>
    <w:rsid w:val="00BE5320"/>
    <w:rsid w:val="00BE5F39"/>
    <w:rsid w:val="00BE6C45"/>
    <w:rsid w:val="00BF0199"/>
    <w:rsid w:val="00BF72E7"/>
    <w:rsid w:val="00C0112A"/>
    <w:rsid w:val="00C01517"/>
    <w:rsid w:val="00C04FCF"/>
    <w:rsid w:val="00C14DDC"/>
    <w:rsid w:val="00C86689"/>
    <w:rsid w:val="00C87C45"/>
    <w:rsid w:val="00C9276B"/>
    <w:rsid w:val="00CB0A12"/>
    <w:rsid w:val="00CE21A5"/>
    <w:rsid w:val="00CE6C07"/>
    <w:rsid w:val="00D26037"/>
    <w:rsid w:val="00D325CB"/>
    <w:rsid w:val="00D32D99"/>
    <w:rsid w:val="00D350F7"/>
    <w:rsid w:val="00D4452C"/>
    <w:rsid w:val="00D52AD0"/>
    <w:rsid w:val="00D6161D"/>
    <w:rsid w:val="00D76406"/>
    <w:rsid w:val="00D7787A"/>
    <w:rsid w:val="00D84F15"/>
    <w:rsid w:val="00D90D9C"/>
    <w:rsid w:val="00D975EB"/>
    <w:rsid w:val="00DB3F0C"/>
    <w:rsid w:val="00DC40D9"/>
    <w:rsid w:val="00DE7465"/>
    <w:rsid w:val="00E0755E"/>
    <w:rsid w:val="00E31794"/>
    <w:rsid w:val="00E64C43"/>
    <w:rsid w:val="00E844CD"/>
    <w:rsid w:val="00EA0311"/>
    <w:rsid w:val="00EC074E"/>
    <w:rsid w:val="00EC1209"/>
    <w:rsid w:val="00ED549B"/>
    <w:rsid w:val="00EE2851"/>
    <w:rsid w:val="00EE581B"/>
    <w:rsid w:val="00EE5AD9"/>
    <w:rsid w:val="00EF3E1F"/>
    <w:rsid w:val="00F13F63"/>
    <w:rsid w:val="00F1560C"/>
    <w:rsid w:val="00F178AD"/>
    <w:rsid w:val="00F214CE"/>
    <w:rsid w:val="00F34626"/>
    <w:rsid w:val="00F55E30"/>
    <w:rsid w:val="00F67A4F"/>
    <w:rsid w:val="00F76D8D"/>
    <w:rsid w:val="00F83DE9"/>
    <w:rsid w:val="00F86B88"/>
    <w:rsid w:val="00F90717"/>
    <w:rsid w:val="00F92DBC"/>
    <w:rsid w:val="00F93133"/>
    <w:rsid w:val="00F963E6"/>
    <w:rsid w:val="00FA0CFC"/>
    <w:rsid w:val="00FB3D38"/>
    <w:rsid w:val="00FB3E84"/>
    <w:rsid w:val="00FB7F5B"/>
    <w:rsid w:val="00FD1D90"/>
    <w:rsid w:val="00FE117F"/>
    <w:rsid w:val="00FF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ACA75"/>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587521"/>
    <w:rPr>
      <w:sz w:val="18"/>
      <w:szCs w:val="18"/>
    </w:rPr>
  </w:style>
  <w:style w:type="character" w:customStyle="1" w:styleId="Char2">
    <w:name w:val="批注框文本 Char"/>
    <w:basedOn w:val="a0"/>
    <w:link w:val="ab"/>
    <w:uiPriority w:val="99"/>
    <w:semiHidden/>
    <w:rsid w:val="00587521"/>
    <w:rPr>
      <w:sz w:val="18"/>
      <w:szCs w:val="18"/>
    </w:rPr>
  </w:style>
  <w:style w:type="character" w:styleId="ac">
    <w:name w:val="annotation reference"/>
    <w:basedOn w:val="a0"/>
    <w:uiPriority w:val="99"/>
    <w:semiHidden/>
    <w:unhideWhenUsed/>
    <w:rsid w:val="00196008"/>
    <w:rPr>
      <w:sz w:val="21"/>
      <w:szCs w:val="21"/>
    </w:rPr>
  </w:style>
  <w:style w:type="paragraph" w:styleId="ad">
    <w:name w:val="annotation text"/>
    <w:basedOn w:val="a"/>
    <w:link w:val="Char3"/>
    <w:uiPriority w:val="99"/>
    <w:semiHidden/>
    <w:unhideWhenUsed/>
    <w:rsid w:val="00196008"/>
    <w:pPr>
      <w:jc w:val="left"/>
    </w:pPr>
  </w:style>
  <w:style w:type="character" w:customStyle="1" w:styleId="Char3">
    <w:name w:val="批注文字 Char"/>
    <w:basedOn w:val="a0"/>
    <w:link w:val="ad"/>
    <w:uiPriority w:val="99"/>
    <w:semiHidden/>
    <w:rsid w:val="00196008"/>
  </w:style>
  <w:style w:type="paragraph" w:styleId="ae">
    <w:name w:val="annotation subject"/>
    <w:basedOn w:val="ad"/>
    <w:next w:val="ad"/>
    <w:link w:val="Char4"/>
    <w:uiPriority w:val="99"/>
    <w:semiHidden/>
    <w:unhideWhenUsed/>
    <w:rsid w:val="00196008"/>
    <w:rPr>
      <w:b/>
      <w:bCs/>
    </w:rPr>
  </w:style>
  <w:style w:type="character" w:customStyle="1" w:styleId="Char4">
    <w:name w:val="批注主题 Char"/>
    <w:basedOn w:val="Char3"/>
    <w:link w:val="ae"/>
    <w:uiPriority w:val="99"/>
    <w:semiHidden/>
    <w:rsid w:val="00196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67D3-E35D-4C8B-9299-A1FD1ADA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167</cp:revision>
  <dcterms:created xsi:type="dcterms:W3CDTF">2020-06-18T02:43:00Z</dcterms:created>
  <dcterms:modified xsi:type="dcterms:W3CDTF">2021-08-02T00:55:00Z</dcterms:modified>
</cp:coreProperties>
</file>