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164F9" w14:textId="77777777" w:rsidR="00FD1997" w:rsidRPr="009D2C0E" w:rsidRDefault="00FD1997" w:rsidP="00FD1997">
      <w:pPr>
        <w:spacing w:line="360" w:lineRule="auto"/>
        <w:jc w:val="center"/>
        <w:rPr>
          <w:b/>
          <w:sz w:val="28"/>
        </w:rPr>
      </w:pPr>
      <w:r w:rsidRPr="009D2C0E">
        <w:rPr>
          <w:rFonts w:hint="eastAsia"/>
          <w:b/>
          <w:sz w:val="28"/>
        </w:rPr>
        <w:t>东方阿尔法基金管理有限公司</w:t>
      </w:r>
      <w:r w:rsidR="001F4831" w:rsidRPr="009D2C0E">
        <w:rPr>
          <w:b/>
          <w:sz w:val="28"/>
        </w:rPr>
        <w:t>关于修改</w:t>
      </w:r>
    </w:p>
    <w:p w14:paraId="39E30AAC" w14:textId="7F3B6DF5" w:rsidR="0099105C" w:rsidRPr="009D2C0E" w:rsidRDefault="001F4831" w:rsidP="00FD1997">
      <w:pPr>
        <w:spacing w:line="360" w:lineRule="auto"/>
        <w:jc w:val="center"/>
        <w:rPr>
          <w:b/>
          <w:sz w:val="28"/>
        </w:rPr>
      </w:pPr>
      <w:r w:rsidRPr="009D2C0E">
        <w:rPr>
          <w:b/>
          <w:sz w:val="28"/>
        </w:rPr>
        <w:t>旗下</w:t>
      </w:r>
      <w:r w:rsidR="008533E7" w:rsidRPr="009D2C0E">
        <w:rPr>
          <w:rFonts w:hint="eastAsia"/>
          <w:b/>
          <w:sz w:val="28"/>
        </w:rPr>
        <w:t>东方阿尔法招阳混合型证券投资基金</w:t>
      </w:r>
      <w:r w:rsidR="00E47BA0" w:rsidRPr="009D2C0E">
        <w:rPr>
          <w:b/>
          <w:sz w:val="28"/>
        </w:rPr>
        <w:t>基金合同</w:t>
      </w:r>
      <w:r w:rsidR="000013DC" w:rsidRPr="009D2C0E">
        <w:rPr>
          <w:rFonts w:hint="eastAsia"/>
          <w:b/>
          <w:sz w:val="28"/>
        </w:rPr>
        <w:t>及</w:t>
      </w:r>
      <w:r w:rsidR="008C58A8" w:rsidRPr="009D2C0E">
        <w:rPr>
          <w:rFonts w:hint="eastAsia"/>
          <w:b/>
          <w:sz w:val="28"/>
        </w:rPr>
        <w:t>托管协议</w:t>
      </w:r>
      <w:r w:rsidR="00E47BA0" w:rsidRPr="009D2C0E">
        <w:rPr>
          <w:b/>
          <w:sz w:val="28"/>
        </w:rPr>
        <w:t>的公告</w:t>
      </w:r>
    </w:p>
    <w:p w14:paraId="561D33C9" w14:textId="77777777" w:rsidR="00E47BA0" w:rsidRPr="009D2C0E" w:rsidRDefault="00E47BA0" w:rsidP="009035A9">
      <w:pPr>
        <w:spacing w:line="360" w:lineRule="auto"/>
      </w:pPr>
    </w:p>
    <w:p w14:paraId="1655A842" w14:textId="30F570CB" w:rsidR="008C58A8" w:rsidRPr="009D2C0E" w:rsidRDefault="009035A9" w:rsidP="00793C3C">
      <w:pPr>
        <w:spacing w:line="360" w:lineRule="auto"/>
        <w:ind w:firstLineChars="200" w:firstLine="420"/>
        <w:rPr>
          <w:rFonts w:hint="eastAsia"/>
        </w:rPr>
      </w:pPr>
      <w:r w:rsidRPr="009D2C0E">
        <w:rPr>
          <w:rFonts w:hint="eastAsia"/>
        </w:rPr>
        <w:t>根据《中华人</w:t>
      </w:r>
      <w:r w:rsidR="001B3C0A" w:rsidRPr="009D2C0E">
        <w:rPr>
          <w:rFonts w:hint="eastAsia"/>
        </w:rPr>
        <w:t>民共和国证券投资基金法》、《公开募集证券投资基金运作管理办法》</w:t>
      </w:r>
      <w:r w:rsidR="003308C7" w:rsidRPr="009D2C0E">
        <w:rPr>
          <w:rFonts w:hint="eastAsia"/>
        </w:rPr>
        <w:t>和</w:t>
      </w:r>
      <w:r w:rsidRPr="009D2C0E">
        <w:rPr>
          <w:rFonts w:hint="eastAsia"/>
        </w:rPr>
        <w:t>《存托凭证发行与交易管理办法（试行）》等法律法规和基金合同</w:t>
      </w:r>
      <w:r w:rsidR="003308C7" w:rsidRPr="009D2C0E">
        <w:rPr>
          <w:rFonts w:hint="eastAsia"/>
        </w:rPr>
        <w:t>、招募说明书等</w:t>
      </w:r>
      <w:r w:rsidR="009F685E" w:rsidRPr="009D2C0E">
        <w:rPr>
          <w:rFonts w:hint="eastAsia"/>
        </w:rPr>
        <w:t>规定</w:t>
      </w:r>
      <w:r w:rsidR="00D367E2" w:rsidRPr="009D2C0E">
        <w:rPr>
          <w:rFonts w:hint="eastAsia"/>
        </w:rPr>
        <w:t>，同时为确保相关基金估值的合理性和公允性</w:t>
      </w:r>
      <w:r w:rsidR="009F685E" w:rsidRPr="009D2C0E">
        <w:rPr>
          <w:rFonts w:hint="eastAsia"/>
        </w:rPr>
        <w:t>，经与</w:t>
      </w:r>
      <w:r w:rsidRPr="009D2C0E">
        <w:rPr>
          <w:rFonts w:hint="eastAsia"/>
        </w:rPr>
        <w:t>基金托管人</w:t>
      </w:r>
      <w:r w:rsidR="009F685E" w:rsidRPr="009D2C0E">
        <w:rPr>
          <w:rFonts w:hint="eastAsia"/>
        </w:rPr>
        <w:t>招商银行股份有限公司</w:t>
      </w:r>
      <w:r w:rsidRPr="009D2C0E">
        <w:rPr>
          <w:rFonts w:hint="eastAsia"/>
        </w:rPr>
        <w:t>协商一致，并向中国证监会备案，</w:t>
      </w:r>
      <w:r w:rsidR="007E0B44" w:rsidRPr="009D2C0E">
        <w:rPr>
          <w:rFonts w:hint="eastAsia"/>
        </w:rPr>
        <w:t>东方阿尔法基金管理有限公司（以下简称“</w:t>
      </w:r>
      <w:r w:rsidR="003308C7" w:rsidRPr="009D2C0E">
        <w:rPr>
          <w:rFonts w:hint="eastAsia"/>
        </w:rPr>
        <w:t>我司</w:t>
      </w:r>
      <w:r w:rsidR="00F50210" w:rsidRPr="009D2C0E">
        <w:rPr>
          <w:rFonts w:hint="eastAsia"/>
        </w:rPr>
        <w:t>”）对旗下</w:t>
      </w:r>
      <w:r w:rsidR="001B3C0A" w:rsidRPr="009D2C0E">
        <w:rPr>
          <w:rFonts w:hint="eastAsia"/>
        </w:rPr>
        <w:t>东方阿尔法招阳混合型证券投资基金</w:t>
      </w:r>
      <w:r w:rsidR="005C38F0" w:rsidRPr="009D2C0E">
        <w:rPr>
          <w:rFonts w:hint="eastAsia"/>
        </w:rPr>
        <w:t>的基金合同和托管协议进行了修订。根据相关法律法规的规定和基金合同的约定，本次修改无需召开基金份额持有人大会审议。修订将自</w:t>
      </w:r>
      <w:r w:rsidR="001B3C0A" w:rsidRPr="009D2C0E">
        <w:t>2021</w:t>
      </w:r>
      <w:r w:rsidR="005C38F0" w:rsidRPr="009D2C0E">
        <w:rPr>
          <w:rFonts w:hint="eastAsia"/>
        </w:rPr>
        <w:t>年</w:t>
      </w:r>
      <w:r w:rsidR="00343918" w:rsidRPr="009D2C0E">
        <w:t>9</w:t>
      </w:r>
      <w:r w:rsidR="005C38F0" w:rsidRPr="009D2C0E">
        <w:rPr>
          <w:rFonts w:hint="eastAsia"/>
        </w:rPr>
        <w:t>月</w:t>
      </w:r>
      <w:r w:rsidR="00343918" w:rsidRPr="009D2C0E">
        <w:t>10</w:t>
      </w:r>
      <w:r w:rsidR="005C38F0" w:rsidRPr="009D2C0E">
        <w:rPr>
          <w:rFonts w:hint="eastAsia"/>
        </w:rPr>
        <w:t>日起正式生效。现将基金合同的具体修订内容公告如下：</w:t>
      </w:r>
    </w:p>
    <w:p w14:paraId="6F2497E2" w14:textId="667F583A" w:rsidR="005C38F0" w:rsidRPr="009D2C0E" w:rsidRDefault="005C38F0" w:rsidP="005C38F0">
      <w:pPr>
        <w:spacing w:line="360" w:lineRule="auto"/>
        <w:ind w:firstLineChars="200" w:firstLine="422"/>
        <w:rPr>
          <w:b/>
        </w:rPr>
      </w:pPr>
      <w:r w:rsidRPr="009D2C0E">
        <w:rPr>
          <w:b/>
        </w:rPr>
        <w:t>一</w:t>
      </w:r>
      <w:r w:rsidRPr="009D2C0E">
        <w:rPr>
          <w:rFonts w:hint="eastAsia"/>
          <w:b/>
        </w:rPr>
        <w:t>、本次修订涉及投资范围中新增存托凭证条款的修订内容如下：</w:t>
      </w:r>
    </w:p>
    <w:p w14:paraId="382F15ED" w14:textId="77777777" w:rsidR="001B3C0A" w:rsidRPr="009D2C0E" w:rsidRDefault="001B3C0A" w:rsidP="001B3C0A">
      <w:pPr>
        <w:spacing w:line="360" w:lineRule="auto"/>
        <w:ind w:firstLineChars="200" w:firstLine="420"/>
      </w:pPr>
      <w:r w:rsidRPr="009D2C0E">
        <w:rPr>
          <w:rFonts w:hint="eastAsia"/>
        </w:rPr>
        <w:t>（</w:t>
      </w:r>
      <w:r w:rsidRPr="009D2C0E">
        <w:rPr>
          <w:rFonts w:hint="eastAsia"/>
        </w:rPr>
        <w:t>1</w:t>
      </w:r>
      <w:r w:rsidRPr="009D2C0E">
        <w:rPr>
          <w:rFonts w:hint="eastAsia"/>
        </w:rPr>
        <w:t>）补充投资存托凭证的风险揭示；</w:t>
      </w:r>
    </w:p>
    <w:p w14:paraId="23837621" w14:textId="77777777" w:rsidR="001B3C0A" w:rsidRPr="009D2C0E" w:rsidRDefault="001B3C0A" w:rsidP="001B3C0A">
      <w:pPr>
        <w:spacing w:line="360" w:lineRule="auto"/>
        <w:ind w:firstLineChars="200" w:firstLine="420"/>
      </w:pPr>
      <w:r w:rsidRPr="009D2C0E">
        <w:rPr>
          <w:rFonts w:hint="eastAsia"/>
        </w:rPr>
        <w:t>（</w:t>
      </w:r>
      <w:r w:rsidRPr="009D2C0E">
        <w:rPr>
          <w:rFonts w:hint="eastAsia"/>
        </w:rPr>
        <w:t>2</w:t>
      </w:r>
      <w:r w:rsidRPr="009D2C0E">
        <w:rPr>
          <w:rFonts w:hint="eastAsia"/>
        </w:rPr>
        <w:t>）在投资范围中增加存托凭证；</w:t>
      </w:r>
    </w:p>
    <w:p w14:paraId="4BB304EE" w14:textId="77777777" w:rsidR="001B3C0A" w:rsidRPr="009D2C0E" w:rsidRDefault="001B3C0A" w:rsidP="001B3C0A">
      <w:pPr>
        <w:spacing w:line="360" w:lineRule="auto"/>
        <w:ind w:firstLineChars="200" w:firstLine="420"/>
      </w:pPr>
      <w:r w:rsidRPr="009D2C0E">
        <w:rPr>
          <w:rFonts w:hint="eastAsia"/>
        </w:rPr>
        <w:t>（</w:t>
      </w:r>
      <w:r w:rsidRPr="009D2C0E">
        <w:rPr>
          <w:rFonts w:hint="eastAsia"/>
        </w:rPr>
        <w:t>3</w:t>
      </w:r>
      <w:r w:rsidRPr="009D2C0E">
        <w:rPr>
          <w:rFonts w:hint="eastAsia"/>
        </w:rPr>
        <w:t>）在投资策略中增加存托凭证投资策略；</w:t>
      </w:r>
    </w:p>
    <w:p w14:paraId="5B2EE96A" w14:textId="77777777" w:rsidR="001B3C0A" w:rsidRPr="009D2C0E" w:rsidRDefault="001B3C0A" w:rsidP="001B3C0A">
      <w:pPr>
        <w:spacing w:line="360" w:lineRule="auto"/>
        <w:ind w:firstLineChars="200" w:firstLine="420"/>
      </w:pPr>
      <w:r w:rsidRPr="009D2C0E">
        <w:rPr>
          <w:rFonts w:hint="eastAsia"/>
        </w:rPr>
        <w:t>（</w:t>
      </w:r>
      <w:r w:rsidRPr="009D2C0E">
        <w:rPr>
          <w:rFonts w:hint="eastAsia"/>
        </w:rPr>
        <w:t>4</w:t>
      </w:r>
      <w:r w:rsidRPr="009D2C0E">
        <w:rPr>
          <w:rFonts w:hint="eastAsia"/>
        </w:rPr>
        <w:t>）在投资限制中增加存托凭证投资比例限制；</w:t>
      </w:r>
    </w:p>
    <w:p w14:paraId="61DCCA9E" w14:textId="47EED1B3" w:rsidR="001B3C0A" w:rsidRPr="009D2C0E" w:rsidRDefault="001B3C0A" w:rsidP="001B3C0A">
      <w:pPr>
        <w:spacing w:line="360" w:lineRule="auto"/>
        <w:ind w:firstLineChars="200" w:firstLine="420"/>
      </w:pPr>
      <w:r w:rsidRPr="009D2C0E">
        <w:rPr>
          <w:rFonts w:hint="eastAsia"/>
        </w:rPr>
        <w:t>（</w:t>
      </w:r>
      <w:r w:rsidRPr="009D2C0E">
        <w:rPr>
          <w:rFonts w:hint="eastAsia"/>
        </w:rPr>
        <w:t>5</w:t>
      </w:r>
      <w:r w:rsidRPr="009D2C0E">
        <w:rPr>
          <w:rFonts w:hint="eastAsia"/>
        </w:rPr>
        <w:t>）在估值方法中增加存托凭证估值核算方法。</w:t>
      </w:r>
    </w:p>
    <w:p w14:paraId="7B32996D" w14:textId="52F4F98E" w:rsidR="00D21655" w:rsidRPr="009D2C0E" w:rsidRDefault="001B3C0A" w:rsidP="00793C3C">
      <w:pPr>
        <w:spacing w:line="360" w:lineRule="auto"/>
        <w:ind w:firstLineChars="200" w:firstLine="420"/>
        <w:rPr>
          <w:rFonts w:hint="eastAsia"/>
        </w:rPr>
      </w:pPr>
      <w:r w:rsidRPr="009D2C0E">
        <w:rPr>
          <w:rFonts w:hint="eastAsia"/>
        </w:rPr>
        <w:t>具体请查看基金合同及托管协议修改对照表。同时，在基金招募说明书（更新）、产品资料概要中增加投资存托凭证的风险揭示。</w:t>
      </w:r>
    </w:p>
    <w:p w14:paraId="5F34D3F2" w14:textId="584912C6" w:rsidR="005C38F0" w:rsidRPr="009D2C0E" w:rsidRDefault="005C38F0" w:rsidP="00ED074F">
      <w:pPr>
        <w:spacing w:line="360" w:lineRule="auto"/>
        <w:ind w:firstLineChars="200" w:firstLine="422"/>
        <w:rPr>
          <w:b/>
        </w:rPr>
      </w:pPr>
      <w:r w:rsidRPr="009D2C0E">
        <w:rPr>
          <w:b/>
        </w:rPr>
        <w:t>二</w:t>
      </w:r>
      <w:r w:rsidRPr="009D2C0E">
        <w:rPr>
          <w:rFonts w:hint="eastAsia"/>
          <w:b/>
        </w:rPr>
        <w:t>、本次修订涉及</w:t>
      </w:r>
      <w:r w:rsidR="00ED074F" w:rsidRPr="009D2C0E">
        <w:rPr>
          <w:rFonts w:hint="eastAsia"/>
          <w:b/>
        </w:rPr>
        <w:t>估值方法</w:t>
      </w:r>
      <w:r w:rsidRPr="009D2C0E">
        <w:rPr>
          <w:rFonts w:hint="eastAsia"/>
          <w:b/>
        </w:rPr>
        <w:t>中</w:t>
      </w:r>
      <w:r w:rsidR="00ED074F" w:rsidRPr="009D2C0E">
        <w:rPr>
          <w:rFonts w:hint="eastAsia"/>
          <w:b/>
        </w:rPr>
        <w:t>“汇率”计算方法调整的</w:t>
      </w:r>
      <w:r w:rsidRPr="009D2C0E">
        <w:rPr>
          <w:rFonts w:hint="eastAsia"/>
          <w:b/>
        </w:rPr>
        <w:t>具体基金名称及修订内容如下：</w:t>
      </w:r>
    </w:p>
    <w:tbl>
      <w:tblPr>
        <w:tblStyle w:val="a5"/>
        <w:tblW w:w="0" w:type="auto"/>
        <w:tblBorders>
          <w:insideH w:val="single" w:sz="6" w:space="0" w:color="auto"/>
          <w:insideV w:val="single" w:sz="6" w:space="0" w:color="auto"/>
        </w:tblBorders>
        <w:tblLook w:val="04A0" w:firstRow="1" w:lastRow="0" w:firstColumn="1" w:lastColumn="0" w:noHBand="0" w:noVBand="1"/>
      </w:tblPr>
      <w:tblGrid>
        <w:gridCol w:w="5240"/>
        <w:gridCol w:w="5103"/>
      </w:tblGrid>
      <w:tr w:rsidR="007934FC" w:rsidRPr="009D2C0E" w14:paraId="366CF37F" w14:textId="77777777" w:rsidTr="00664D02">
        <w:trPr>
          <w:trHeight w:val="352"/>
        </w:trPr>
        <w:tc>
          <w:tcPr>
            <w:tcW w:w="5240" w:type="dxa"/>
          </w:tcPr>
          <w:p w14:paraId="278F7E27" w14:textId="77777777" w:rsidR="007934FC" w:rsidRPr="009D2C0E" w:rsidRDefault="007934FC" w:rsidP="00664D02">
            <w:pPr>
              <w:ind w:left="103"/>
              <w:jc w:val="center"/>
            </w:pPr>
            <w:r w:rsidRPr="009D2C0E">
              <w:rPr>
                <w:rFonts w:hint="eastAsia"/>
              </w:rPr>
              <w:t>原合同表述</w:t>
            </w:r>
          </w:p>
        </w:tc>
        <w:tc>
          <w:tcPr>
            <w:tcW w:w="5103" w:type="dxa"/>
          </w:tcPr>
          <w:p w14:paraId="46E76726" w14:textId="77777777" w:rsidR="007934FC" w:rsidRPr="009D2C0E" w:rsidRDefault="007934FC" w:rsidP="00664D02">
            <w:pPr>
              <w:jc w:val="center"/>
            </w:pPr>
            <w:r w:rsidRPr="009D2C0E">
              <w:rPr>
                <w:rFonts w:hint="eastAsia"/>
              </w:rPr>
              <w:t>修订后表述</w:t>
            </w:r>
          </w:p>
        </w:tc>
      </w:tr>
      <w:tr w:rsidR="007934FC" w:rsidRPr="009D2C0E" w14:paraId="0278CC50" w14:textId="77777777" w:rsidTr="00664D02">
        <w:trPr>
          <w:trHeight w:val="1850"/>
        </w:trPr>
        <w:tc>
          <w:tcPr>
            <w:tcW w:w="5240" w:type="dxa"/>
          </w:tcPr>
          <w:p w14:paraId="0CC62F0C" w14:textId="392E7232" w:rsidR="007934FC" w:rsidRPr="009D2C0E" w:rsidRDefault="00A45559" w:rsidP="00664D02">
            <w:pPr>
              <w:ind w:firstLineChars="200" w:firstLine="420"/>
            </w:pPr>
            <w:r w:rsidRPr="009D2C0E">
              <w:rPr>
                <w:rFonts w:hint="eastAsia"/>
              </w:rPr>
              <w:t>本基金外币资产价值计算中，涉及外币对人民币汇率的，应当以基金估值日中国人民银行或其授权机构公布的人民币汇率中间价为准，先根据外币行情价格折算成保留两位小数的人民币估值价，再根据持仓量计算出市值。</w:t>
            </w:r>
          </w:p>
        </w:tc>
        <w:tc>
          <w:tcPr>
            <w:tcW w:w="5103" w:type="dxa"/>
          </w:tcPr>
          <w:p w14:paraId="2A07A605" w14:textId="45DFC141" w:rsidR="007934FC" w:rsidRPr="009D2C0E" w:rsidRDefault="00A45559" w:rsidP="00664D02">
            <w:pPr>
              <w:ind w:firstLineChars="200" w:firstLine="420"/>
            </w:pPr>
            <w:r w:rsidRPr="009D2C0E">
              <w:rPr>
                <w:rFonts w:hint="eastAsia"/>
              </w:rPr>
              <w:t>如本基金投资股票市场交易互联互通机制允许买卖的境外证券市场上市的股票，涉及相关货币对人民币汇率的，届时根据相关法律法规及监管机构的要求确定汇率来源，如法律法规及监管机构无相关规定，基金管理人与基金托管人协商一致后确定本基金的估值汇率来源。</w:t>
            </w:r>
          </w:p>
        </w:tc>
      </w:tr>
    </w:tbl>
    <w:p w14:paraId="1C80C490" w14:textId="3DD19A6D" w:rsidR="00800D63" w:rsidRPr="009D2C0E" w:rsidRDefault="00800D63" w:rsidP="00800D63">
      <w:pPr>
        <w:spacing w:line="360" w:lineRule="auto"/>
        <w:ind w:firstLineChars="200" w:firstLine="420"/>
      </w:pPr>
      <w:r w:rsidRPr="009D2C0E">
        <w:rPr>
          <w:rFonts w:hint="eastAsia"/>
        </w:rPr>
        <w:t>本次修订对基金份额持有人利益无实质性不利影响，并已履行了规定的程序，符合相关法律法规的规定，修订自</w:t>
      </w:r>
      <w:r w:rsidR="001B3C0A" w:rsidRPr="009D2C0E">
        <w:t>2021</w:t>
      </w:r>
      <w:r w:rsidRPr="009D2C0E">
        <w:rPr>
          <w:rFonts w:hint="eastAsia"/>
        </w:rPr>
        <w:t>年</w:t>
      </w:r>
      <w:r w:rsidR="00D029EF" w:rsidRPr="009D2C0E">
        <w:t>9</w:t>
      </w:r>
      <w:r w:rsidRPr="009D2C0E">
        <w:rPr>
          <w:rFonts w:hint="eastAsia"/>
        </w:rPr>
        <w:t>月</w:t>
      </w:r>
      <w:r w:rsidR="00D029EF" w:rsidRPr="009D2C0E">
        <w:t>10</w:t>
      </w:r>
      <w:r w:rsidRPr="009D2C0E">
        <w:rPr>
          <w:rFonts w:hint="eastAsia"/>
        </w:rPr>
        <w:t>日起生效。</w:t>
      </w:r>
    </w:p>
    <w:p w14:paraId="13017C3E" w14:textId="77777777" w:rsidR="00800D63" w:rsidRPr="009D2C0E" w:rsidRDefault="003E4B5E" w:rsidP="00800D63">
      <w:pPr>
        <w:spacing w:line="360" w:lineRule="auto"/>
        <w:ind w:firstLineChars="200" w:firstLine="420"/>
      </w:pPr>
      <w:r w:rsidRPr="009D2C0E">
        <w:rPr>
          <w:rFonts w:hint="eastAsia"/>
        </w:rPr>
        <w:t>投资者可通过我司</w:t>
      </w:r>
      <w:r w:rsidR="00800D63" w:rsidRPr="009D2C0E">
        <w:rPr>
          <w:rFonts w:hint="eastAsia"/>
        </w:rPr>
        <w:t>网站</w:t>
      </w:r>
      <w:r w:rsidRPr="009D2C0E">
        <w:t>www.dfa66.com</w:t>
      </w:r>
      <w:r w:rsidR="00800D63" w:rsidRPr="009D2C0E">
        <w:rPr>
          <w:rFonts w:hint="eastAsia"/>
        </w:rPr>
        <w:t>查阅更新后的基金合同、托管协议等法律文件，或拨打客服热线</w:t>
      </w:r>
      <w:r w:rsidR="00800D63" w:rsidRPr="009D2C0E">
        <w:rPr>
          <w:rFonts w:hint="eastAsia"/>
        </w:rPr>
        <w:t xml:space="preserve"> </w:t>
      </w:r>
      <w:r w:rsidRPr="009D2C0E">
        <w:t>400-930-6677</w:t>
      </w:r>
      <w:r w:rsidR="00800D63" w:rsidRPr="009D2C0E">
        <w:rPr>
          <w:rFonts w:hint="eastAsia"/>
        </w:rPr>
        <w:t>咨询有关详情。</w:t>
      </w:r>
    </w:p>
    <w:p w14:paraId="3B080548" w14:textId="77777777" w:rsidR="008C58A8" w:rsidRPr="009D2C0E" w:rsidRDefault="008C58A8" w:rsidP="00800D63">
      <w:pPr>
        <w:spacing w:line="360" w:lineRule="auto"/>
        <w:ind w:firstLineChars="200" w:firstLine="420"/>
      </w:pPr>
    </w:p>
    <w:p w14:paraId="3DBF5BD2" w14:textId="77777777" w:rsidR="00800D63" w:rsidRPr="009D2C0E" w:rsidRDefault="00800D63" w:rsidP="00800D63">
      <w:pPr>
        <w:spacing w:line="360" w:lineRule="auto"/>
        <w:ind w:firstLineChars="200" w:firstLine="422"/>
        <w:rPr>
          <w:b/>
        </w:rPr>
      </w:pPr>
      <w:r w:rsidRPr="009D2C0E">
        <w:rPr>
          <w:rFonts w:hint="eastAsia"/>
          <w:b/>
        </w:rPr>
        <w:t>风险提示：基金管理人承诺依照诚实信用、勤勉尽职的原则管理和运用基金资产，但不保证基金一定盈利，也不保证最低收益。本基金的过往业绩及其净值高低并不预示其未来业绩表现。投资者投资本基金前应认真阅读基金合同、招募说明书等法律文件，了解拟投资基金的风险收益特征，并根据自身投资目的、投资期限、投资经验、资产状况等判断基金是否和投资者风险承受能力匹配。</w:t>
      </w:r>
      <w:r w:rsidR="005F1167" w:rsidRPr="009D2C0E">
        <w:rPr>
          <w:b/>
        </w:rPr>
        <w:t>基金具体风险评级结果以销售机构提供的评级结果为准。</w:t>
      </w:r>
    </w:p>
    <w:p w14:paraId="713257C2" w14:textId="77777777" w:rsidR="00800D63" w:rsidRPr="009D2C0E" w:rsidRDefault="00800D63" w:rsidP="00800D63">
      <w:pPr>
        <w:spacing w:line="360" w:lineRule="auto"/>
        <w:ind w:firstLineChars="200" w:firstLine="420"/>
      </w:pPr>
    </w:p>
    <w:p w14:paraId="335DB0D4" w14:textId="77777777" w:rsidR="00800D63" w:rsidRPr="009D2C0E" w:rsidRDefault="00800D63" w:rsidP="00800D63">
      <w:pPr>
        <w:spacing w:line="360" w:lineRule="auto"/>
        <w:ind w:firstLineChars="200" w:firstLine="420"/>
      </w:pPr>
      <w:r w:rsidRPr="009D2C0E">
        <w:rPr>
          <w:rFonts w:hint="eastAsia"/>
        </w:rPr>
        <w:t>特此公告。</w:t>
      </w:r>
    </w:p>
    <w:p w14:paraId="2C557887" w14:textId="77777777" w:rsidR="00800D63" w:rsidRPr="009D2C0E" w:rsidRDefault="00800D63" w:rsidP="00800D63">
      <w:pPr>
        <w:spacing w:line="360" w:lineRule="auto"/>
      </w:pPr>
    </w:p>
    <w:p w14:paraId="371FC174" w14:textId="4C72443E" w:rsidR="00800D63" w:rsidRPr="009D2C0E" w:rsidRDefault="00800D63" w:rsidP="001B3C0A">
      <w:pPr>
        <w:spacing w:line="360" w:lineRule="auto"/>
        <w:ind w:left="630" w:hangingChars="300" w:hanging="630"/>
      </w:pPr>
      <w:r w:rsidRPr="009D2C0E">
        <w:t>附件</w:t>
      </w:r>
      <w:r w:rsidRPr="009D2C0E">
        <w:rPr>
          <w:rFonts w:hint="eastAsia"/>
        </w:rPr>
        <w:t>：</w:t>
      </w:r>
      <w:r w:rsidR="001B3C0A" w:rsidRPr="009D2C0E">
        <w:rPr>
          <w:rFonts w:hint="eastAsia"/>
        </w:rPr>
        <w:t>1</w:t>
      </w:r>
      <w:r w:rsidR="001B3C0A" w:rsidRPr="009D2C0E">
        <w:rPr>
          <w:rFonts w:hint="eastAsia"/>
        </w:rPr>
        <w:t>、</w:t>
      </w:r>
      <w:r w:rsidRPr="009D2C0E">
        <w:rPr>
          <w:rFonts w:hint="eastAsia"/>
        </w:rPr>
        <w:t>《</w:t>
      </w:r>
      <w:r w:rsidR="001B3C0A" w:rsidRPr="009D2C0E">
        <w:rPr>
          <w:rFonts w:hint="eastAsia"/>
        </w:rPr>
        <w:t>东方阿尔法招阳混合型证券投资基金</w:t>
      </w:r>
      <w:r w:rsidRPr="009D2C0E">
        <w:rPr>
          <w:rFonts w:hint="eastAsia"/>
        </w:rPr>
        <w:t>基金合同</w:t>
      </w:r>
      <w:r w:rsidR="00620716" w:rsidRPr="009D2C0E">
        <w:rPr>
          <w:rFonts w:hint="eastAsia"/>
        </w:rPr>
        <w:t>修改</w:t>
      </w:r>
      <w:r w:rsidR="001B3C0A" w:rsidRPr="009D2C0E">
        <w:rPr>
          <w:rFonts w:hint="eastAsia"/>
        </w:rPr>
        <w:t>对照表》；</w:t>
      </w:r>
    </w:p>
    <w:p w14:paraId="56B0E0C1" w14:textId="197D89CF" w:rsidR="001B3C0A" w:rsidRPr="009D2C0E" w:rsidRDefault="001B3C0A" w:rsidP="001B3C0A">
      <w:pPr>
        <w:spacing w:line="360" w:lineRule="auto"/>
        <w:ind w:left="630" w:hangingChars="300" w:hanging="630"/>
      </w:pPr>
      <w:r w:rsidRPr="009D2C0E">
        <w:rPr>
          <w:rFonts w:hint="eastAsia"/>
        </w:rPr>
        <w:t xml:space="preserve"> </w:t>
      </w:r>
      <w:r w:rsidRPr="009D2C0E">
        <w:t xml:space="preserve">     2</w:t>
      </w:r>
      <w:r w:rsidRPr="009D2C0E">
        <w:rPr>
          <w:rFonts w:hint="eastAsia"/>
        </w:rPr>
        <w:t>、《东方阿尔法招阳混合型证券投资基金托管协议修改对照表》。</w:t>
      </w:r>
    </w:p>
    <w:p w14:paraId="001C7C68" w14:textId="77777777" w:rsidR="001B3C0A" w:rsidRPr="009D2C0E" w:rsidRDefault="001B3C0A" w:rsidP="001B3C0A">
      <w:pPr>
        <w:spacing w:line="360" w:lineRule="auto"/>
        <w:ind w:left="630" w:hangingChars="300" w:hanging="630"/>
      </w:pPr>
    </w:p>
    <w:p w14:paraId="5FDD49B7" w14:textId="77777777" w:rsidR="001B3C0A" w:rsidRPr="009D2C0E" w:rsidRDefault="001B3C0A" w:rsidP="001B3C0A">
      <w:pPr>
        <w:spacing w:line="360" w:lineRule="auto"/>
        <w:ind w:left="630" w:hangingChars="300" w:hanging="630"/>
      </w:pPr>
    </w:p>
    <w:p w14:paraId="584D5887" w14:textId="77777777" w:rsidR="008C58A8" w:rsidRPr="009D2C0E" w:rsidRDefault="008C58A8" w:rsidP="00800D63">
      <w:pPr>
        <w:spacing w:line="360" w:lineRule="auto"/>
        <w:ind w:firstLineChars="300" w:firstLine="630"/>
      </w:pPr>
    </w:p>
    <w:p w14:paraId="2A4A27A2" w14:textId="3FF1E74F" w:rsidR="008C58A8" w:rsidRPr="009D2C0E" w:rsidRDefault="008C58A8" w:rsidP="00800D63">
      <w:pPr>
        <w:spacing w:line="360" w:lineRule="auto"/>
        <w:ind w:firstLineChars="300" w:firstLine="630"/>
      </w:pPr>
      <w:r w:rsidRPr="009D2C0E">
        <w:rPr>
          <w:rFonts w:hint="eastAsia"/>
        </w:rPr>
        <w:t xml:space="preserve"> </w:t>
      </w:r>
      <w:r w:rsidRPr="009D2C0E">
        <w:t xml:space="preserve">                                    </w:t>
      </w:r>
      <w:r w:rsidR="00D9565F" w:rsidRPr="009D2C0E">
        <w:t xml:space="preserve">       </w:t>
      </w:r>
      <w:r w:rsidRPr="009D2C0E">
        <w:t xml:space="preserve">    </w:t>
      </w:r>
      <w:r w:rsidRPr="009D2C0E">
        <w:t>东方阿尔法基金管理有限公司</w:t>
      </w:r>
    </w:p>
    <w:p w14:paraId="79DF3D9A" w14:textId="0EBE24FA" w:rsidR="008C58A8" w:rsidRPr="009D2C0E" w:rsidRDefault="008C58A8" w:rsidP="00800D63">
      <w:pPr>
        <w:spacing w:line="360" w:lineRule="auto"/>
        <w:ind w:firstLineChars="300" w:firstLine="630"/>
      </w:pPr>
      <w:r w:rsidRPr="009D2C0E">
        <w:rPr>
          <w:rFonts w:hint="eastAsia"/>
        </w:rPr>
        <w:t xml:space="preserve"> </w:t>
      </w:r>
      <w:r w:rsidRPr="009D2C0E">
        <w:t xml:space="preserve">                                        </w:t>
      </w:r>
      <w:r w:rsidR="00D9565F" w:rsidRPr="009D2C0E">
        <w:t xml:space="preserve">     </w:t>
      </w:r>
      <w:r w:rsidR="001B3C0A" w:rsidRPr="009D2C0E">
        <w:t xml:space="preserve">      </w:t>
      </w:r>
      <w:r w:rsidR="00664D02" w:rsidRPr="009D2C0E">
        <w:t xml:space="preserve"> </w:t>
      </w:r>
      <w:r w:rsidR="001B3C0A" w:rsidRPr="009D2C0E">
        <w:t>2021</w:t>
      </w:r>
      <w:r w:rsidRPr="009D2C0E">
        <w:t>年</w:t>
      </w:r>
      <w:r w:rsidR="00224C6D" w:rsidRPr="009D2C0E">
        <w:t>9</w:t>
      </w:r>
      <w:r w:rsidRPr="009D2C0E">
        <w:t>月</w:t>
      </w:r>
      <w:r w:rsidR="00224C6D" w:rsidRPr="009D2C0E">
        <w:t>10</w:t>
      </w:r>
      <w:r w:rsidRPr="009D2C0E">
        <w:rPr>
          <w:rFonts w:hint="eastAsia"/>
        </w:rPr>
        <w:t>日</w:t>
      </w:r>
    </w:p>
    <w:p w14:paraId="126DC461" w14:textId="77777777" w:rsidR="00D9565F" w:rsidRPr="009D2C0E" w:rsidRDefault="00D9565F" w:rsidP="00800D63">
      <w:pPr>
        <w:spacing w:line="360" w:lineRule="auto"/>
        <w:ind w:firstLineChars="300" w:firstLine="630"/>
      </w:pPr>
    </w:p>
    <w:p w14:paraId="4172D283" w14:textId="77777777" w:rsidR="00D9565F" w:rsidRPr="009D2C0E" w:rsidRDefault="00D9565F" w:rsidP="00D9565F">
      <w:pPr>
        <w:spacing w:line="360" w:lineRule="auto"/>
        <w:ind w:firstLineChars="200" w:firstLine="420"/>
        <w:jc w:val="right"/>
        <w:rPr>
          <w:rFonts w:asciiTheme="minorEastAsia" w:hAnsiTheme="minorEastAsia"/>
          <w:sz w:val="24"/>
          <w:szCs w:val="28"/>
        </w:rPr>
      </w:pPr>
      <w:r w:rsidRPr="009D2C0E">
        <w:br w:type="page"/>
      </w:r>
    </w:p>
    <w:p w14:paraId="6D02BBC3" w14:textId="7977A24A" w:rsidR="00D9565F" w:rsidRPr="009D2C0E" w:rsidRDefault="001B3C0A" w:rsidP="001B3C0A">
      <w:pPr>
        <w:spacing w:line="360" w:lineRule="auto"/>
        <w:ind w:firstLineChars="200" w:firstLine="482"/>
        <w:rPr>
          <w:rFonts w:asciiTheme="minorEastAsia" w:hAnsiTheme="minorEastAsia"/>
          <w:b/>
          <w:sz w:val="24"/>
          <w:szCs w:val="28"/>
        </w:rPr>
      </w:pPr>
      <w:r w:rsidRPr="009D2C0E">
        <w:rPr>
          <w:rFonts w:asciiTheme="minorEastAsia" w:hAnsiTheme="minorEastAsia"/>
          <w:b/>
          <w:sz w:val="24"/>
          <w:szCs w:val="28"/>
        </w:rPr>
        <w:lastRenderedPageBreak/>
        <w:t>附件</w:t>
      </w:r>
      <w:r w:rsidRPr="009D2C0E">
        <w:rPr>
          <w:rFonts w:asciiTheme="minorEastAsia" w:hAnsiTheme="minorEastAsia" w:hint="eastAsia"/>
          <w:b/>
          <w:sz w:val="24"/>
          <w:szCs w:val="28"/>
        </w:rPr>
        <w:t>1：东方阿尔法招阳混合型证券投资基金</w:t>
      </w:r>
      <w:r w:rsidR="00D9565F" w:rsidRPr="009D2C0E">
        <w:rPr>
          <w:rFonts w:asciiTheme="minorEastAsia" w:hAnsiTheme="minorEastAsia" w:hint="eastAsia"/>
          <w:b/>
          <w:sz w:val="24"/>
          <w:szCs w:val="28"/>
        </w:rPr>
        <w:t>基金合同修改对照表</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4536"/>
        <w:gridCol w:w="4536"/>
      </w:tblGrid>
      <w:tr w:rsidR="00D9565F" w:rsidRPr="009D2C0E" w14:paraId="0900A2CC" w14:textId="77777777" w:rsidTr="00CA5C66">
        <w:tc>
          <w:tcPr>
            <w:tcW w:w="1413" w:type="dxa"/>
            <w:shd w:val="clear" w:color="auto" w:fill="auto"/>
          </w:tcPr>
          <w:p w14:paraId="1CEA0F51" w14:textId="77777777" w:rsidR="00D9565F" w:rsidRPr="009D2C0E" w:rsidRDefault="00D9565F" w:rsidP="00D9565F">
            <w:pPr>
              <w:jc w:val="center"/>
              <w:rPr>
                <w:rFonts w:asciiTheme="minorEastAsia" w:hAnsiTheme="minorEastAsia" w:cs="Times New Roman"/>
                <w:b/>
                <w:spacing w:val="-10"/>
                <w:szCs w:val="21"/>
              </w:rPr>
            </w:pPr>
            <w:r w:rsidRPr="009D2C0E">
              <w:rPr>
                <w:rFonts w:asciiTheme="minorEastAsia" w:hAnsiTheme="minorEastAsia" w:cs="Times New Roman" w:hint="eastAsia"/>
                <w:b/>
                <w:szCs w:val="21"/>
              </w:rPr>
              <w:t>目录</w:t>
            </w:r>
          </w:p>
        </w:tc>
        <w:tc>
          <w:tcPr>
            <w:tcW w:w="4536" w:type="dxa"/>
            <w:shd w:val="clear" w:color="auto" w:fill="auto"/>
          </w:tcPr>
          <w:p w14:paraId="5A5A6A6B" w14:textId="77777777" w:rsidR="00D9565F" w:rsidRPr="009D2C0E" w:rsidRDefault="00D9565F" w:rsidP="00D9565F">
            <w:pPr>
              <w:jc w:val="center"/>
              <w:rPr>
                <w:rFonts w:asciiTheme="minorEastAsia" w:hAnsiTheme="minorEastAsia" w:cs="Times New Roman"/>
                <w:b/>
                <w:spacing w:val="-10"/>
                <w:szCs w:val="21"/>
              </w:rPr>
            </w:pPr>
            <w:r w:rsidRPr="009D2C0E">
              <w:rPr>
                <w:rFonts w:asciiTheme="minorEastAsia" w:hAnsiTheme="minorEastAsia" w:cs="Times New Roman" w:hint="eastAsia"/>
                <w:b/>
                <w:szCs w:val="21"/>
              </w:rPr>
              <w:t>《基金合同》原条款</w:t>
            </w:r>
          </w:p>
        </w:tc>
        <w:tc>
          <w:tcPr>
            <w:tcW w:w="4536" w:type="dxa"/>
            <w:shd w:val="clear" w:color="auto" w:fill="auto"/>
          </w:tcPr>
          <w:p w14:paraId="59B17C76" w14:textId="77777777" w:rsidR="00D9565F" w:rsidRPr="009D2C0E" w:rsidRDefault="00D9565F" w:rsidP="00D9565F">
            <w:pPr>
              <w:jc w:val="center"/>
              <w:rPr>
                <w:rFonts w:asciiTheme="minorEastAsia" w:hAnsiTheme="minorEastAsia" w:cs="Times New Roman"/>
                <w:b/>
                <w:spacing w:val="-10"/>
                <w:szCs w:val="21"/>
              </w:rPr>
            </w:pPr>
            <w:r w:rsidRPr="009D2C0E">
              <w:rPr>
                <w:rFonts w:asciiTheme="minorEastAsia" w:hAnsiTheme="minorEastAsia" w:cs="Times New Roman" w:hint="eastAsia"/>
                <w:b/>
                <w:szCs w:val="21"/>
              </w:rPr>
              <w:t>《基金合同》修改后条款</w:t>
            </w:r>
          </w:p>
        </w:tc>
      </w:tr>
      <w:tr w:rsidR="00D9565F" w:rsidRPr="009D2C0E" w14:paraId="418018DF" w14:textId="77777777" w:rsidTr="00CA5C66">
        <w:tc>
          <w:tcPr>
            <w:tcW w:w="1413" w:type="dxa"/>
          </w:tcPr>
          <w:p w14:paraId="78721D1C" w14:textId="77777777" w:rsidR="00D9565F" w:rsidRPr="009D2C0E" w:rsidRDefault="00D9565F" w:rsidP="00D9565F">
            <w:pPr>
              <w:rPr>
                <w:rFonts w:asciiTheme="minorEastAsia" w:hAnsiTheme="minorEastAsia" w:cs="Times New Roman"/>
                <w:szCs w:val="21"/>
              </w:rPr>
            </w:pPr>
            <w:r w:rsidRPr="009D2C0E">
              <w:rPr>
                <w:rFonts w:asciiTheme="minorEastAsia" w:hAnsiTheme="minorEastAsia" w:cs="Times New Roman" w:hint="eastAsia"/>
                <w:szCs w:val="21"/>
              </w:rPr>
              <w:t>第一部分</w:t>
            </w:r>
          </w:p>
          <w:p w14:paraId="4CD3B36E" w14:textId="77777777" w:rsidR="00D9565F" w:rsidRPr="009D2C0E" w:rsidRDefault="00D9565F" w:rsidP="00D9565F">
            <w:pPr>
              <w:rPr>
                <w:rFonts w:asciiTheme="minorEastAsia" w:hAnsiTheme="minorEastAsia" w:cs="Times New Roman"/>
                <w:szCs w:val="21"/>
              </w:rPr>
            </w:pPr>
            <w:r w:rsidRPr="009D2C0E">
              <w:rPr>
                <w:rFonts w:asciiTheme="minorEastAsia" w:hAnsiTheme="minorEastAsia" w:cs="Times New Roman" w:hint="eastAsia"/>
                <w:szCs w:val="21"/>
              </w:rPr>
              <w:t>前言</w:t>
            </w:r>
          </w:p>
        </w:tc>
        <w:tc>
          <w:tcPr>
            <w:tcW w:w="4536" w:type="dxa"/>
          </w:tcPr>
          <w:p w14:paraId="70977154" w14:textId="3D23B408" w:rsidR="00D9565F" w:rsidRPr="009D2C0E" w:rsidRDefault="00433413" w:rsidP="00FD1997">
            <w:pPr>
              <w:ind w:firstLineChars="200" w:firstLine="420"/>
              <w:rPr>
                <w:rFonts w:asciiTheme="minorEastAsia" w:hAnsiTheme="minorEastAsia" w:cs="宋体"/>
                <w:bCs/>
                <w:szCs w:val="21"/>
              </w:rPr>
            </w:pPr>
            <w:r w:rsidRPr="009D2C0E">
              <w:rPr>
                <w:rFonts w:asciiTheme="minorEastAsia" w:hAnsiTheme="minorEastAsia" w:cs="宋体" w:hint="eastAsia"/>
                <w:bCs/>
                <w:szCs w:val="21"/>
              </w:rPr>
              <w:t>无</w:t>
            </w:r>
            <w:bookmarkStart w:id="0" w:name="_GoBack"/>
            <w:bookmarkEnd w:id="0"/>
          </w:p>
        </w:tc>
        <w:tc>
          <w:tcPr>
            <w:tcW w:w="4536" w:type="dxa"/>
          </w:tcPr>
          <w:p w14:paraId="180F13C4" w14:textId="562FE171" w:rsidR="00FE4084" w:rsidRPr="009D2C0E" w:rsidRDefault="00FE4084" w:rsidP="00D9565F">
            <w:pPr>
              <w:ind w:firstLineChars="200" w:firstLine="420"/>
              <w:rPr>
                <w:rFonts w:asciiTheme="minorEastAsia" w:hAnsiTheme="minorEastAsia" w:cs="宋体"/>
                <w:bCs/>
                <w:szCs w:val="21"/>
              </w:rPr>
            </w:pPr>
            <w:r w:rsidRPr="009D2C0E">
              <w:rPr>
                <w:rFonts w:asciiTheme="minorEastAsia" w:hAnsiTheme="minorEastAsia" w:cs="宋体" w:hint="eastAsia"/>
                <w:bCs/>
                <w:szCs w:val="21"/>
              </w:rPr>
              <w:t>……</w:t>
            </w:r>
          </w:p>
          <w:p w14:paraId="05E89687" w14:textId="77777777" w:rsidR="00D9565F" w:rsidRPr="009D2C0E" w:rsidRDefault="00D9565F" w:rsidP="00D9565F">
            <w:pPr>
              <w:ind w:firstLineChars="200" w:firstLine="422"/>
              <w:rPr>
                <w:rFonts w:asciiTheme="minorEastAsia" w:hAnsiTheme="minorEastAsia" w:cs="宋体"/>
                <w:b/>
                <w:bCs/>
                <w:szCs w:val="21"/>
                <w:u w:val="single"/>
              </w:rPr>
            </w:pPr>
            <w:r w:rsidRPr="009D2C0E">
              <w:rPr>
                <w:rFonts w:asciiTheme="minorEastAsia" w:hAnsiTheme="minorEastAsia" w:cs="宋体" w:hint="eastAsia"/>
                <w:b/>
                <w:bCs/>
                <w:szCs w:val="21"/>
                <w:u w:val="single"/>
              </w:rPr>
              <w:t>五、本基金的投资范围包括存托凭证，除与其他仅投资于沪深市场股票的基金所面临的共同风险外，本基金还将面临投资存托凭证的特殊风险，详见本基金招募说明书。</w:t>
            </w:r>
          </w:p>
          <w:p w14:paraId="7CE392B5" w14:textId="036B8612" w:rsidR="00FE4084" w:rsidRPr="009D2C0E" w:rsidRDefault="00FE4084" w:rsidP="00D9565F">
            <w:pPr>
              <w:ind w:firstLineChars="200" w:firstLine="420"/>
              <w:rPr>
                <w:rFonts w:asciiTheme="minorEastAsia" w:hAnsiTheme="minorEastAsia" w:cs="宋体"/>
                <w:bCs/>
                <w:szCs w:val="21"/>
              </w:rPr>
            </w:pPr>
            <w:r w:rsidRPr="009D2C0E">
              <w:rPr>
                <w:rFonts w:asciiTheme="minorEastAsia" w:hAnsiTheme="minorEastAsia" w:cs="宋体" w:hint="eastAsia"/>
                <w:bCs/>
                <w:szCs w:val="21"/>
              </w:rPr>
              <w:t>……</w:t>
            </w:r>
          </w:p>
        </w:tc>
      </w:tr>
      <w:tr w:rsidR="00580F2C" w:rsidRPr="009D2C0E" w14:paraId="664B346C" w14:textId="77777777" w:rsidTr="00CA5C66">
        <w:tc>
          <w:tcPr>
            <w:tcW w:w="1413" w:type="dxa"/>
            <w:vMerge w:val="restart"/>
          </w:tcPr>
          <w:p w14:paraId="32AE018B" w14:textId="77777777" w:rsidR="00580F2C" w:rsidRPr="009D2C0E" w:rsidRDefault="00580F2C" w:rsidP="00D9565F">
            <w:pPr>
              <w:rPr>
                <w:rFonts w:asciiTheme="minorEastAsia" w:hAnsiTheme="minorEastAsia" w:cs="Times New Roman"/>
                <w:szCs w:val="21"/>
              </w:rPr>
            </w:pPr>
            <w:r w:rsidRPr="009D2C0E">
              <w:rPr>
                <w:rFonts w:asciiTheme="minorEastAsia" w:hAnsiTheme="minorEastAsia" w:cs="Times New Roman"/>
                <w:szCs w:val="21"/>
              </w:rPr>
              <w:t>第十二部分</w:t>
            </w:r>
          </w:p>
          <w:p w14:paraId="587E08F0" w14:textId="77777777" w:rsidR="00580F2C" w:rsidRPr="009D2C0E" w:rsidRDefault="00580F2C" w:rsidP="00D9565F">
            <w:pPr>
              <w:rPr>
                <w:rFonts w:asciiTheme="minorEastAsia" w:hAnsiTheme="minorEastAsia" w:cs="Times New Roman"/>
                <w:szCs w:val="21"/>
              </w:rPr>
            </w:pPr>
            <w:r w:rsidRPr="009D2C0E">
              <w:rPr>
                <w:rFonts w:asciiTheme="minorEastAsia" w:hAnsiTheme="minorEastAsia" w:cs="Times New Roman"/>
                <w:szCs w:val="21"/>
              </w:rPr>
              <w:t>基金的投资</w:t>
            </w:r>
          </w:p>
        </w:tc>
        <w:tc>
          <w:tcPr>
            <w:tcW w:w="4536" w:type="dxa"/>
          </w:tcPr>
          <w:p w14:paraId="768AFB30" w14:textId="77777777" w:rsidR="00580F2C" w:rsidRPr="009D2C0E" w:rsidRDefault="00580F2C" w:rsidP="00FE4084">
            <w:pPr>
              <w:ind w:firstLineChars="200" w:firstLine="420"/>
              <w:rPr>
                <w:rFonts w:asciiTheme="minorEastAsia" w:hAnsiTheme="minorEastAsia" w:cs="宋体"/>
                <w:bCs/>
                <w:szCs w:val="21"/>
              </w:rPr>
            </w:pPr>
            <w:r w:rsidRPr="009D2C0E">
              <w:rPr>
                <w:rFonts w:asciiTheme="minorEastAsia" w:hAnsiTheme="minorEastAsia" w:cs="宋体" w:hint="eastAsia"/>
                <w:bCs/>
                <w:szCs w:val="21"/>
              </w:rPr>
              <w:t>二、投资范围</w:t>
            </w:r>
          </w:p>
          <w:p w14:paraId="4651A882" w14:textId="5BABAD3B" w:rsidR="00580F2C" w:rsidRPr="009D2C0E" w:rsidRDefault="00580F2C" w:rsidP="00FE4084">
            <w:pPr>
              <w:ind w:firstLineChars="200" w:firstLine="420"/>
              <w:rPr>
                <w:rFonts w:asciiTheme="minorEastAsia" w:hAnsiTheme="minorEastAsia" w:cs="宋体"/>
                <w:bCs/>
                <w:szCs w:val="21"/>
              </w:rPr>
            </w:pPr>
            <w:r w:rsidRPr="009D2C0E">
              <w:rPr>
                <w:rFonts w:asciiTheme="minorEastAsia" w:hAnsiTheme="minorEastAsia" w:cs="宋体" w:hint="eastAsia"/>
                <w:bCs/>
                <w:szCs w:val="21"/>
              </w:rPr>
              <w:t>本基金的投资范围为具有良好流动性的金融工具，包括国内依法发行上市的股票（包括主板、中小板、创业板及其他中国证监会允许基金投资的股票）、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w:t>
            </w:r>
          </w:p>
        </w:tc>
        <w:tc>
          <w:tcPr>
            <w:tcW w:w="4536" w:type="dxa"/>
          </w:tcPr>
          <w:p w14:paraId="3F9B8219" w14:textId="77777777" w:rsidR="00580F2C" w:rsidRPr="009D2C0E" w:rsidRDefault="00580F2C" w:rsidP="00FE4084">
            <w:pPr>
              <w:ind w:firstLineChars="200" w:firstLine="420"/>
              <w:rPr>
                <w:rFonts w:asciiTheme="minorEastAsia" w:hAnsiTheme="minorEastAsia" w:cs="宋体"/>
                <w:bCs/>
                <w:szCs w:val="21"/>
              </w:rPr>
            </w:pPr>
            <w:r w:rsidRPr="009D2C0E">
              <w:rPr>
                <w:rFonts w:asciiTheme="minorEastAsia" w:hAnsiTheme="minorEastAsia" w:cs="宋体" w:hint="eastAsia"/>
                <w:bCs/>
                <w:szCs w:val="21"/>
              </w:rPr>
              <w:t>二、投资范围</w:t>
            </w:r>
          </w:p>
          <w:p w14:paraId="66CD1FD6" w14:textId="64219DC1" w:rsidR="00580F2C" w:rsidRPr="009D2C0E" w:rsidRDefault="00580F2C" w:rsidP="00FE4084">
            <w:pPr>
              <w:ind w:firstLineChars="200" w:firstLine="420"/>
              <w:rPr>
                <w:rFonts w:asciiTheme="minorEastAsia" w:hAnsiTheme="minorEastAsia" w:cs="宋体"/>
                <w:bCs/>
                <w:szCs w:val="21"/>
              </w:rPr>
            </w:pPr>
            <w:r w:rsidRPr="009D2C0E">
              <w:rPr>
                <w:rFonts w:asciiTheme="minorEastAsia" w:hAnsiTheme="minorEastAsia" w:cs="宋体" w:hint="eastAsia"/>
                <w:bCs/>
                <w:szCs w:val="21"/>
              </w:rPr>
              <w:t>本基金的投资范围为具有良好流动性的金融工具，包括国内依法发行上市的股票（包括主板、中小板、创业板及其他中国证监会允许基金投资的股票</w:t>
            </w:r>
            <w:r w:rsidRPr="009D2C0E">
              <w:rPr>
                <w:rFonts w:asciiTheme="minorEastAsia" w:hAnsiTheme="minorEastAsia" w:cs="宋体" w:hint="eastAsia"/>
                <w:b/>
                <w:bCs/>
                <w:szCs w:val="21"/>
                <w:u w:val="single"/>
              </w:rPr>
              <w:t>、存托凭证</w:t>
            </w:r>
            <w:r w:rsidRPr="009D2C0E">
              <w:rPr>
                <w:rFonts w:asciiTheme="minorEastAsia" w:hAnsiTheme="minorEastAsia" w:cs="宋体" w:hint="eastAsia"/>
                <w:bCs/>
                <w:szCs w:val="21"/>
              </w:rPr>
              <w:t>）、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w:t>
            </w:r>
          </w:p>
        </w:tc>
      </w:tr>
      <w:tr w:rsidR="00580F2C" w:rsidRPr="009D2C0E" w14:paraId="1C55A0BC" w14:textId="77777777" w:rsidTr="00CA5C66">
        <w:tc>
          <w:tcPr>
            <w:tcW w:w="1413" w:type="dxa"/>
            <w:vMerge/>
          </w:tcPr>
          <w:p w14:paraId="6E2711B6" w14:textId="77777777" w:rsidR="00580F2C" w:rsidRPr="009D2C0E" w:rsidRDefault="00580F2C" w:rsidP="00D9565F">
            <w:pPr>
              <w:rPr>
                <w:rFonts w:asciiTheme="minorEastAsia" w:hAnsiTheme="minorEastAsia" w:cs="Times New Roman"/>
                <w:szCs w:val="21"/>
              </w:rPr>
            </w:pPr>
          </w:p>
        </w:tc>
        <w:tc>
          <w:tcPr>
            <w:tcW w:w="4536" w:type="dxa"/>
          </w:tcPr>
          <w:p w14:paraId="04DF4BDC" w14:textId="77777777" w:rsidR="00580F2C" w:rsidRPr="009D2C0E" w:rsidRDefault="001B333E" w:rsidP="00FD1997">
            <w:pPr>
              <w:ind w:firstLineChars="200" w:firstLine="420"/>
              <w:rPr>
                <w:rFonts w:asciiTheme="minorEastAsia" w:hAnsiTheme="minorEastAsia" w:cs="宋体"/>
                <w:bCs/>
                <w:szCs w:val="21"/>
              </w:rPr>
            </w:pPr>
            <w:r w:rsidRPr="009D2C0E">
              <w:rPr>
                <w:rFonts w:asciiTheme="minorEastAsia" w:hAnsiTheme="minorEastAsia" w:cs="宋体" w:hint="eastAsia"/>
                <w:bCs/>
                <w:szCs w:val="21"/>
              </w:rPr>
              <w:t>三、投资策略</w:t>
            </w:r>
          </w:p>
          <w:p w14:paraId="6BDF6455" w14:textId="056DDD37" w:rsidR="001B333E" w:rsidRPr="009D2C0E" w:rsidRDefault="001B333E" w:rsidP="00FD1997">
            <w:pPr>
              <w:ind w:firstLineChars="200" w:firstLine="420"/>
              <w:rPr>
                <w:rFonts w:asciiTheme="minorEastAsia" w:hAnsiTheme="minorEastAsia" w:cs="宋体"/>
                <w:bCs/>
                <w:szCs w:val="21"/>
              </w:rPr>
            </w:pPr>
            <w:r w:rsidRPr="009D2C0E">
              <w:rPr>
                <w:rFonts w:asciiTheme="minorEastAsia" w:hAnsiTheme="minorEastAsia" w:cs="宋体" w:hint="eastAsia"/>
                <w:bCs/>
                <w:szCs w:val="21"/>
              </w:rPr>
              <w:t>无</w:t>
            </w:r>
          </w:p>
        </w:tc>
        <w:tc>
          <w:tcPr>
            <w:tcW w:w="4536" w:type="dxa"/>
          </w:tcPr>
          <w:p w14:paraId="7418FC66" w14:textId="77777777" w:rsidR="00580F2C" w:rsidRPr="009D2C0E" w:rsidRDefault="00580F2C" w:rsidP="00D9565F">
            <w:pPr>
              <w:ind w:firstLineChars="200" w:firstLine="420"/>
              <w:rPr>
                <w:rFonts w:asciiTheme="minorEastAsia" w:hAnsiTheme="minorEastAsia" w:cs="宋体"/>
                <w:bCs/>
                <w:szCs w:val="21"/>
              </w:rPr>
            </w:pPr>
            <w:r w:rsidRPr="009D2C0E">
              <w:rPr>
                <w:rFonts w:asciiTheme="minorEastAsia" w:hAnsiTheme="minorEastAsia" w:cs="宋体"/>
                <w:bCs/>
                <w:szCs w:val="21"/>
              </w:rPr>
              <w:t>三</w:t>
            </w:r>
            <w:r w:rsidRPr="009D2C0E">
              <w:rPr>
                <w:rFonts w:asciiTheme="minorEastAsia" w:hAnsiTheme="minorEastAsia" w:cs="宋体" w:hint="eastAsia"/>
                <w:bCs/>
                <w:szCs w:val="21"/>
              </w:rPr>
              <w:t>、</w:t>
            </w:r>
            <w:r w:rsidRPr="009D2C0E">
              <w:rPr>
                <w:rFonts w:asciiTheme="minorEastAsia" w:hAnsiTheme="minorEastAsia" w:cs="宋体"/>
                <w:bCs/>
                <w:szCs w:val="21"/>
              </w:rPr>
              <w:t>投资策略</w:t>
            </w:r>
          </w:p>
          <w:p w14:paraId="7D97C811" w14:textId="77777777" w:rsidR="00580F2C" w:rsidRPr="009D2C0E" w:rsidRDefault="00580F2C" w:rsidP="00D9565F">
            <w:pPr>
              <w:ind w:firstLineChars="200" w:firstLine="420"/>
              <w:rPr>
                <w:rFonts w:asciiTheme="minorEastAsia" w:hAnsiTheme="minorEastAsia" w:cs="宋体"/>
                <w:bCs/>
                <w:szCs w:val="21"/>
              </w:rPr>
            </w:pPr>
            <w:r w:rsidRPr="009D2C0E">
              <w:rPr>
                <w:rFonts w:asciiTheme="minorEastAsia" w:hAnsiTheme="minorEastAsia" w:cs="宋体" w:hint="eastAsia"/>
                <w:bCs/>
                <w:szCs w:val="21"/>
              </w:rPr>
              <w:t>……</w:t>
            </w:r>
          </w:p>
          <w:p w14:paraId="42E32D7C" w14:textId="3EFD5768" w:rsidR="00580F2C" w:rsidRPr="009D2C0E" w:rsidRDefault="00580F2C" w:rsidP="00D9565F">
            <w:pPr>
              <w:ind w:firstLineChars="200" w:firstLine="422"/>
              <w:rPr>
                <w:rFonts w:asciiTheme="minorEastAsia" w:hAnsiTheme="minorEastAsia" w:cs="宋体"/>
                <w:b/>
                <w:bCs/>
                <w:szCs w:val="21"/>
                <w:u w:val="single"/>
              </w:rPr>
            </w:pPr>
            <w:r w:rsidRPr="009D2C0E">
              <w:rPr>
                <w:rFonts w:asciiTheme="minorEastAsia" w:hAnsiTheme="minorEastAsia" w:cs="宋体"/>
                <w:b/>
                <w:bCs/>
                <w:szCs w:val="21"/>
                <w:u w:val="single"/>
              </w:rPr>
              <w:t>5</w:t>
            </w:r>
            <w:r w:rsidRPr="009D2C0E">
              <w:rPr>
                <w:rFonts w:asciiTheme="minorEastAsia" w:hAnsiTheme="minorEastAsia" w:cs="宋体" w:hint="eastAsia"/>
                <w:b/>
                <w:bCs/>
                <w:szCs w:val="21"/>
                <w:u w:val="single"/>
              </w:rPr>
              <w:t>、存托凭证投资策略</w:t>
            </w:r>
          </w:p>
          <w:p w14:paraId="2054CAE3" w14:textId="77777777" w:rsidR="00580F2C" w:rsidRPr="009D2C0E" w:rsidRDefault="00580F2C" w:rsidP="00D9565F">
            <w:pPr>
              <w:ind w:firstLineChars="200" w:firstLine="422"/>
              <w:rPr>
                <w:rFonts w:asciiTheme="minorEastAsia" w:hAnsiTheme="minorEastAsia" w:cs="宋体"/>
                <w:b/>
                <w:bCs/>
                <w:szCs w:val="21"/>
                <w:u w:val="single"/>
              </w:rPr>
            </w:pPr>
            <w:r w:rsidRPr="009D2C0E">
              <w:rPr>
                <w:rFonts w:asciiTheme="minorEastAsia" w:hAnsiTheme="minorEastAsia" w:cs="宋体" w:hint="eastAsia"/>
                <w:b/>
                <w:bCs/>
                <w:szCs w:val="21"/>
                <w:u w:val="single"/>
              </w:rPr>
              <w:t>本基金可投资存托凭证，本基金将在深入研究的基础上，通过定性分析和定量分析相结合的方式，选择投资价值高的存托凭证进行投资。</w:t>
            </w:r>
          </w:p>
          <w:p w14:paraId="6FF81BF6" w14:textId="77777777" w:rsidR="00580F2C" w:rsidRPr="009D2C0E" w:rsidRDefault="00580F2C" w:rsidP="00D9565F">
            <w:pPr>
              <w:ind w:firstLineChars="200" w:firstLine="420"/>
              <w:rPr>
                <w:rFonts w:asciiTheme="minorEastAsia" w:hAnsiTheme="minorEastAsia" w:cs="宋体"/>
                <w:bCs/>
                <w:szCs w:val="21"/>
              </w:rPr>
            </w:pPr>
            <w:r w:rsidRPr="009D2C0E">
              <w:rPr>
                <w:rFonts w:asciiTheme="minorEastAsia" w:hAnsiTheme="minorEastAsia" w:cs="宋体" w:hint="eastAsia"/>
                <w:bCs/>
                <w:szCs w:val="21"/>
              </w:rPr>
              <w:t>……</w:t>
            </w:r>
          </w:p>
        </w:tc>
      </w:tr>
      <w:tr w:rsidR="00580F2C" w:rsidRPr="009D2C0E" w14:paraId="58E946B3" w14:textId="77777777" w:rsidTr="00CA5C66">
        <w:tc>
          <w:tcPr>
            <w:tcW w:w="1413" w:type="dxa"/>
            <w:vMerge/>
          </w:tcPr>
          <w:p w14:paraId="1C040339" w14:textId="77777777" w:rsidR="00580F2C" w:rsidRPr="009D2C0E" w:rsidRDefault="00580F2C" w:rsidP="00D9565F">
            <w:pPr>
              <w:rPr>
                <w:rFonts w:asciiTheme="minorEastAsia" w:hAnsiTheme="minorEastAsia" w:cs="Times New Roman"/>
                <w:szCs w:val="21"/>
              </w:rPr>
            </w:pPr>
          </w:p>
        </w:tc>
        <w:tc>
          <w:tcPr>
            <w:tcW w:w="4536" w:type="dxa"/>
          </w:tcPr>
          <w:p w14:paraId="60FC5AA7" w14:textId="77777777" w:rsidR="00580F2C" w:rsidRPr="009D2C0E" w:rsidRDefault="00580F2C" w:rsidP="00D9565F">
            <w:pPr>
              <w:ind w:firstLineChars="200" w:firstLine="420"/>
              <w:rPr>
                <w:rFonts w:asciiTheme="minorEastAsia" w:hAnsiTheme="minorEastAsia" w:cs="宋体"/>
                <w:bCs/>
                <w:szCs w:val="21"/>
              </w:rPr>
            </w:pPr>
            <w:r w:rsidRPr="009D2C0E">
              <w:rPr>
                <w:rFonts w:asciiTheme="minorEastAsia" w:hAnsiTheme="minorEastAsia" w:cs="宋体"/>
                <w:bCs/>
                <w:szCs w:val="21"/>
              </w:rPr>
              <w:t>四、投资限制</w:t>
            </w:r>
          </w:p>
          <w:p w14:paraId="4C2E944E" w14:textId="77777777" w:rsidR="00580F2C" w:rsidRPr="009D2C0E" w:rsidRDefault="00580F2C" w:rsidP="00D9565F">
            <w:pPr>
              <w:ind w:firstLineChars="200" w:firstLine="420"/>
              <w:rPr>
                <w:rFonts w:asciiTheme="minorEastAsia" w:hAnsiTheme="minorEastAsia" w:cs="宋体"/>
                <w:bCs/>
                <w:szCs w:val="21"/>
              </w:rPr>
            </w:pPr>
            <w:r w:rsidRPr="009D2C0E">
              <w:rPr>
                <w:rFonts w:asciiTheme="minorEastAsia" w:hAnsiTheme="minorEastAsia" w:cs="宋体"/>
                <w:bCs/>
                <w:szCs w:val="21"/>
              </w:rPr>
              <w:t>1、组合限制</w:t>
            </w:r>
          </w:p>
          <w:p w14:paraId="31FC53CC" w14:textId="77777777" w:rsidR="00580F2C" w:rsidRPr="009D2C0E" w:rsidRDefault="00580F2C" w:rsidP="00D9565F">
            <w:pPr>
              <w:ind w:firstLineChars="200" w:firstLine="420"/>
              <w:rPr>
                <w:rFonts w:asciiTheme="minorEastAsia" w:hAnsiTheme="minorEastAsia" w:cs="宋体"/>
                <w:bCs/>
                <w:szCs w:val="21"/>
              </w:rPr>
            </w:pPr>
            <w:r w:rsidRPr="009D2C0E">
              <w:rPr>
                <w:rFonts w:asciiTheme="minorEastAsia" w:hAnsiTheme="minorEastAsia" w:cs="宋体"/>
                <w:bCs/>
                <w:szCs w:val="21"/>
              </w:rPr>
              <w:t>基金的投资组合应遵循以下限制：</w:t>
            </w:r>
          </w:p>
          <w:p w14:paraId="5DD92D01" w14:textId="77777777" w:rsidR="00580F2C" w:rsidRPr="009D2C0E" w:rsidRDefault="00580F2C" w:rsidP="00382A55">
            <w:pPr>
              <w:ind w:firstLineChars="200" w:firstLine="420"/>
              <w:rPr>
                <w:rFonts w:asciiTheme="minorEastAsia" w:hAnsiTheme="minorEastAsia" w:cs="宋体"/>
                <w:bCs/>
                <w:szCs w:val="21"/>
              </w:rPr>
            </w:pPr>
            <w:r w:rsidRPr="009D2C0E">
              <w:rPr>
                <w:rFonts w:asciiTheme="minorEastAsia" w:hAnsiTheme="minorEastAsia" w:cs="宋体" w:hint="eastAsia"/>
                <w:bCs/>
                <w:szCs w:val="21"/>
              </w:rPr>
              <w:t>……</w:t>
            </w:r>
          </w:p>
          <w:p w14:paraId="6FA069AF" w14:textId="77777777" w:rsidR="00580F2C" w:rsidRPr="009D2C0E" w:rsidRDefault="00580F2C" w:rsidP="00D9565F">
            <w:pPr>
              <w:rPr>
                <w:rFonts w:asciiTheme="minorEastAsia" w:hAnsiTheme="minorEastAsia" w:cs="宋体"/>
                <w:bCs/>
                <w:szCs w:val="21"/>
              </w:rPr>
            </w:pPr>
          </w:p>
        </w:tc>
        <w:tc>
          <w:tcPr>
            <w:tcW w:w="4536" w:type="dxa"/>
          </w:tcPr>
          <w:p w14:paraId="7803551C" w14:textId="77777777" w:rsidR="00580F2C" w:rsidRPr="009D2C0E" w:rsidRDefault="00580F2C" w:rsidP="00D9565F">
            <w:pPr>
              <w:ind w:firstLineChars="200" w:firstLine="420"/>
              <w:rPr>
                <w:rFonts w:asciiTheme="minorEastAsia" w:hAnsiTheme="minorEastAsia" w:cs="宋体"/>
                <w:bCs/>
                <w:szCs w:val="21"/>
              </w:rPr>
            </w:pPr>
            <w:r w:rsidRPr="009D2C0E">
              <w:rPr>
                <w:rFonts w:asciiTheme="minorEastAsia" w:hAnsiTheme="minorEastAsia" w:cs="宋体"/>
                <w:bCs/>
                <w:szCs w:val="21"/>
              </w:rPr>
              <w:t>四、投资限制</w:t>
            </w:r>
          </w:p>
          <w:p w14:paraId="32E4FACD" w14:textId="77777777" w:rsidR="00580F2C" w:rsidRPr="009D2C0E" w:rsidRDefault="00580F2C" w:rsidP="00D9565F">
            <w:pPr>
              <w:ind w:firstLineChars="200" w:firstLine="420"/>
              <w:rPr>
                <w:rFonts w:asciiTheme="minorEastAsia" w:hAnsiTheme="minorEastAsia" w:cs="宋体"/>
                <w:bCs/>
                <w:szCs w:val="21"/>
              </w:rPr>
            </w:pPr>
            <w:r w:rsidRPr="009D2C0E">
              <w:rPr>
                <w:rFonts w:asciiTheme="minorEastAsia" w:hAnsiTheme="minorEastAsia" w:cs="宋体"/>
                <w:bCs/>
                <w:szCs w:val="21"/>
              </w:rPr>
              <w:t>1、组合限制</w:t>
            </w:r>
          </w:p>
          <w:p w14:paraId="1576460B" w14:textId="77777777" w:rsidR="00580F2C" w:rsidRPr="009D2C0E" w:rsidRDefault="00580F2C" w:rsidP="00D9565F">
            <w:pPr>
              <w:ind w:firstLineChars="200" w:firstLine="420"/>
              <w:rPr>
                <w:rFonts w:asciiTheme="minorEastAsia" w:hAnsiTheme="minorEastAsia" w:cs="宋体"/>
                <w:bCs/>
                <w:szCs w:val="21"/>
              </w:rPr>
            </w:pPr>
            <w:r w:rsidRPr="009D2C0E">
              <w:rPr>
                <w:rFonts w:asciiTheme="minorEastAsia" w:hAnsiTheme="minorEastAsia" w:cs="宋体"/>
                <w:bCs/>
                <w:szCs w:val="21"/>
              </w:rPr>
              <w:t>基金的投资组合应遵循以下限制：</w:t>
            </w:r>
          </w:p>
          <w:p w14:paraId="786943DB" w14:textId="77777777" w:rsidR="00580F2C" w:rsidRPr="009D2C0E" w:rsidRDefault="00580F2C" w:rsidP="00D9565F">
            <w:pPr>
              <w:ind w:firstLineChars="200" w:firstLine="420"/>
              <w:rPr>
                <w:rFonts w:asciiTheme="minorEastAsia" w:hAnsiTheme="minorEastAsia" w:cs="宋体"/>
                <w:bCs/>
                <w:szCs w:val="21"/>
              </w:rPr>
            </w:pPr>
            <w:r w:rsidRPr="009D2C0E">
              <w:rPr>
                <w:rFonts w:asciiTheme="minorEastAsia" w:hAnsiTheme="minorEastAsia" w:cs="宋体" w:hint="eastAsia"/>
                <w:bCs/>
                <w:szCs w:val="21"/>
              </w:rPr>
              <w:t>……</w:t>
            </w:r>
          </w:p>
          <w:p w14:paraId="795D1F51" w14:textId="27C3FDCD" w:rsidR="00580F2C" w:rsidRPr="009D2C0E" w:rsidRDefault="00580F2C" w:rsidP="00D9565F">
            <w:pPr>
              <w:ind w:firstLineChars="200" w:firstLine="422"/>
              <w:rPr>
                <w:rFonts w:asciiTheme="minorEastAsia" w:hAnsiTheme="minorEastAsia" w:cs="宋体"/>
                <w:b/>
                <w:bCs/>
                <w:szCs w:val="21"/>
                <w:u w:val="single"/>
              </w:rPr>
            </w:pPr>
            <w:r w:rsidRPr="009D2C0E">
              <w:rPr>
                <w:rFonts w:asciiTheme="minorEastAsia" w:hAnsiTheme="minorEastAsia" w:cs="宋体" w:hint="eastAsia"/>
                <w:b/>
                <w:bCs/>
                <w:szCs w:val="21"/>
                <w:u w:val="single"/>
              </w:rPr>
              <w:t>（</w:t>
            </w:r>
            <w:r w:rsidRPr="009D2C0E">
              <w:rPr>
                <w:rFonts w:asciiTheme="minorEastAsia" w:hAnsiTheme="minorEastAsia" w:cs="宋体"/>
                <w:b/>
                <w:bCs/>
                <w:szCs w:val="21"/>
                <w:u w:val="single"/>
              </w:rPr>
              <w:t>18</w:t>
            </w:r>
            <w:r w:rsidRPr="009D2C0E">
              <w:rPr>
                <w:rFonts w:asciiTheme="minorEastAsia" w:hAnsiTheme="minorEastAsia" w:cs="宋体" w:hint="eastAsia"/>
                <w:b/>
                <w:bCs/>
                <w:szCs w:val="21"/>
                <w:u w:val="single"/>
              </w:rPr>
              <w:t>）本基金投资存托凭证的比例限制依照境内上市交易的股票执行，与境内上市交易的股票合并计算；</w:t>
            </w:r>
          </w:p>
          <w:p w14:paraId="048762E3" w14:textId="77777777" w:rsidR="00580F2C" w:rsidRPr="009D2C0E" w:rsidRDefault="00580F2C" w:rsidP="00D9565F">
            <w:pPr>
              <w:ind w:firstLineChars="200" w:firstLine="420"/>
              <w:rPr>
                <w:rFonts w:asciiTheme="minorEastAsia" w:hAnsiTheme="minorEastAsia" w:cs="宋体"/>
                <w:bCs/>
                <w:szCs w:val="21"/>
              </w:rPr>
            </w:pPr>
            <w:r w:rsidRPr="009D2C0E">
              <w:rPr>
                <w:rFonts w:asciiTheme="minorEastAsia" w:hAnsiTheme="minorEastAsia" w:cs="宋体" w:hint="eastAsia"/>
                <w:bCs/>
                <w:szCs w:val="21"/>
              </w:rPr>
              <w:t>……</w:t>
            </w:r>
          </w:p>
        </w:tc>
      </w:tr>
      <w:tr w:rsidR="003220EA" w:rsidRPr="009D2C0E" w14:paraId="087D31AB" w14:textId="77777777" w:rsidTr="00CA5C66">
        <w:tc>
          <w:tcPr>
            <w:tcW w:w="1413" w:type="dxa"/>
            <w:vMerge w:val="restart"/>
          </w:tcPr>
          <w:p w14:paraId="6E8352B0" w14:textId="187567D1" w:rsidR="003220EA" w:rsidRPr="009D2C0E" w:rsidRDefault="003220EA" w:rsidP="00580F2C">
            <w:pPr>
              <w:rPr>
                <w:rFonts w:asciiTheme="minorEastAsia" w:hAnsiTheme="minorEastAsia" w:cs="Times New Roman"/>
                <w:szCs w:val="21"/>
              </w:rPr>
            </w:pPr>
            <w:r w:rsidRPr="009D2C0E">
              <w:rPr>
                <w:rFonts w:asciiTheme="minorEastAsia" w:hAnsiTheme="minorEastAsia" w:cs="Times New Roman"/>
                <w:szCs w:val="21"/>
              </w:rPr>
              <w:t>第十</w:t>
            </w:r>
            <w:r w:rsidRPr="009D2C0E">
              <w:rPr>
                <w:rFonts w:asciiTheme="minorEastAsia" w:hAnsiTheme="minorEastAsia" w:cs="Times New Roman" w:hint="eastAsia"/>
                <w:szCs w:val="21"/>
              </w:rPr>
              <w:t>四</w:t>
            </w:r>
            <w:r w:rsidRPr="009D2C0E">
              <w:rPr>
                <w:rFonts w:asciiTheme="minorEastAsia" w:hAnsiTheme="minorEastAsia" w:cs="Times New Roman"/>
                <w:szCs w:val="21"/>
              </w:rPr>
              <w:t>部分</w:t>
            </w:r>
          </w:p>
          <w:p w14:paraId="224357B8" w14:textId="1892DC48" w:rsidR="003220EA" w:rsidRPr="009D2C0E" w:rsidRDefault="003220EA" w:rsidP="00580F2C">
            <w:pPr>
              <w:rPr>
                <w:rFonts w:asciiTheme="minorEastAsia" w:hAnsiTheme="minorEastAsia" w:cs="Times New Roman"/>
                <w:szCs w:val="21"/>
              </w:rPr>
            </w:pPr>
            <w:r w:rsidRPr="009D2C0E">
              <w:rPr>
                <w:rFonts w:asciiTheme="minorEastAsia" w:hAnsiTheme="minorEastAsia" w:cs="Times New Roman"/>
                <w:szCs w:val="21"/>
              </w:rPr>
              <w:t>基金</w:t>
            </w:r>
            <w:r w:rsidRPr="009D2C0E">
              <w:rPr>
                <w:rFonts w:asciiTheme="minorEastAsia" w:hAnsiTheme="minorEastAsia" w:cs="Times New Roman" w:hint="eastAsia"/>
                <w:szCs w:val="21"/>
              </w:rPr>
              <w:t>资产估值</w:t>
            </w:r>
          </w:p>
        </w:tc>
        <w:tc>
          <w:tcPr>
            <w:tcW w:w="4536" w:type="dxa"/>
          </w:tcPr>
          <w:p w14:paraId="0C88F002" w14:textId="54F4AB97" w:rsidR="003220EA" w:rsidRPr="009D2C0E" w:rsidRDefault="00433413" w:rsidP="00580F2C">
            <w:pPr>
              <w:rPr>
                <w:rFonts w:asciiTheme="minorEastAsia" w:hAnsiTheme="minorEastAsia" w:cs="宋体"/>
                <w:bCs/>
                <w:szCs w:val="21"/>
              </w:rPr>
            </w:pPr>
            <w:r w:rsidRPr="009D2C0E">
              <w:rPr>
                <w:rFonts w:asciiTheme="minorEastAsia" w:hAnsiTheme="minorEastAsia" w:cs="宋体" w:hint="eastAsia"/>
                <w:bCs/>
                <w:szCs w:val="21"/>
              </w:rPr>
              <w:t>四</w:t>
            </w:r>
            <w:r w:rsidR="003220EA" w:rsidRPr="009D2C0E">
              <w:rPr>
                <w:rFonts w:asciiTheme="minorEastAsia" w:hAnsiTheme="minorEastAsia" w:cs="宋体"/>
                <w:bCs/>
                <w:szCs w:val="21"/>
              </w:rPr>
              <w:t>、估值方法</w:t>
            </w:r>
          </w:p>
          <w:p w14:paraId="430D17BB" w14:textId="77777777" w:rsidR="003220EA" w:rsidRPr="009D2C0E" w:rsidRDefault="003220EA" w:rsidP="00580F2C">
            <w:pPr>
              <w:ind w:firstLineChars="200" w:firstLine="420"/>
              <w:rPr>
                <w:rFonts w:asciiTheme="minorEastAsia" w:hAnsiTheme="minorEastAsia" w:cs="宋体"/>
                <w:bCs/>
                <w:szCs w:val="21"/>
              </w:rPr>
            </w:pPr>
            <w:r w:rsidRPr="009D2C0E">
              <w:rPr>
                <w:rFonts w:asciiTheme="minorEastAsia" w:hAnsiTheme="minorEastAsia" w:cs="宋体" w:hint="eastAsia"/>
                <w:bCs/>
                <w:szCs w:val="21"/>
              </w:rPr>
              <w:t>……</w:t>
            </w:r>
          </w:p>
          <w:p w14:paraId="6854336D" w14:textId="77777777" w:rsidR="003220EA" w:rsidRPr="009D2C0E" w:rsidRDefault="003220EA" w:rsidP="00580F2C">
            <w:pPr>
              <w:ind w:firstLineChars="200" w:firstLine="420"/>
              <w:rPr>
                <w:rFonts w:asciiTheme="minorEastAsia" w:hAnsiTheme="minorEastAsia" w:cs="宋体"/>
                <w:bCs/>
                <w:szCs w:val="21"/>
              </w:rPr>
            </w:pPr>
            <w:r w:rsidRPr="009D2C0E">
              <w:rPr>
                <w:rFonts w:asciiTheme="minorEastAsia" w:hAnsiTheme="minorEastAsia" w:cs="宋体" w:hint="eastAsia"/>
                <w:bCs/>
                <w:szCs w:val="21"/>
              </w:rPr>
              <w:t>9、汇率</w:t>
            </w:r>
          </w:p>
          <w:p w14:paraId="1F129FEF" w14:textId="77777777" w:rsidR="003220EA" w:rsidRPr="009D2C0E" w:rsidRDefault="003220EA" w:rsidP="00580F2C">
            <w:pPr>
              <w:ind w:firstLineChars="200" w:firstLine="422"/>
              <w:rPr>
                <w:rFonts w:asciiTheme="minorEastAsia" w:hAnsiTheme="minorEastAsia" w:cs="宋体"/>
                <w:b/>
                <w:strike/>
                <w:szCs w:val="21"/>
              </w:rPr>
            </w:pPr>
            <w:r w:rsidRPr="009D2C0E">
              <w:rPr>
                <w:rFonts w:asciiTheme="minorEastAsia" w:hAnsiTheme="minorEastAsia" w:cs="宋体" w:hint="eastAsia"/>
                <w:b/>
                <w:strike/>
                <w:szCs w:val="21"/>
              </w:rPr>
              <w:t>本基金外币资产价值计算中，涉及外币对人民币汇率的，应当以基金估值日中国人民银行或其授权机构公布的人民币汇率中间价为准，先根据外币行情价格折算成保留两位小数</w:t>
            </w:r>
            <w:r w:rsidRPr="009D2C0E">
              <w:rPr>
                <w:rFonts w:asciiTheme="minorEastAsia" w:hAnsiTheme="minorEastAsia" w:cs="宋体" w:hint="eastAsia"/>
                <w:b/>
                <w:strike/>
                <w:szCs w:val="21"/>
              </w:rPr>
              <w:lastRenderedPageBreak/>
              <w:t>的人民币估值价，再根据持仓量计算出市值。</w:t>
            </w:r>
          </w:p>
          <w:p w14:paraId="72EB8DB9" w14:textId="7A00D0B6" w:rsidR="003220EA" w:rsidRPr="009D2C0E" w:rsidRDefault="003220EA" w:rsidP="00580F2C">
            <w:pPr>
              <w:ind w:firstLineChars="200" w:firstLine="420"/>
              <w:rPr>
                <w:rFonts w:asciiTheme="minorEastAsia" w:hAnsiTheme="minorEastAsia" w:cs="宋体"/>
                <w:bCs/>
                <w:szCs w:val="21"/>
              </w:rPr>
            </w:pPr>
            <w:r w:rsidRPr="009D2C0E">
              <w:rPr>
                <w:rFonts w:asciiTheme="minorEastAsia" w:hAnsiTheme="minorEastAsia" w:cs="宋体" w:hint="eastAsia"/>
                <w:bCs/>
                <w:szCs w:val="21"/>
              </w:rPr>
              <w:t>……</w:t>
            </w:r>
          </w:p>
        </w:tc>
        <w:tc>
          <w:tcPr>
            <w:tcW w:w="4536" w:type="dxa"/>
          </w:tcPr>
          <w:p w14:paraId="7C2BC484" w14:textId="4967AED3" w:rsidR="003220EA" w:rsidRPr="009D2C0E" w:rsidRDefault="00433413" w:rsidP="00580F2C">
            <w:pPr>
              <w:rPr>
                <w:rFonts w:asciiTheme="minorEastAsia" w:hAnsiTheme="minorEastAsia" w:cs="宋体"/>
                <w:bCs/>
                <w:szCs w:val="21"/>
              </w:rPr>
            </w:pPr>
            <w:r w:rsidRPr="009D2C0E">
              <w:rPr>
                <w:rFonts w:asciiTheme="minorEastAsia" w:hAnsiTheme="minorEastAsia" w:cs="宋体" w:hint="eastAsia"/>
                <w:bCs/>
                <w:szCs w:val="21"/>
              </w:rPr>
              <w:lastRenderedPageBreak/>
              <w:t>四</w:t>
            </w:r>
            <w:r w:rsidR="003220EA" w:rsidRPr="009D2C0E">
              <w:rPr>
                <w:rFonts w:asciiTheme="minorEastAsia" w:hAnsiTheme="minorEastAsia" w:cs="宋体"/>
                <w:bCs/>
                <w:szCs w:val="21"/>
              </w:rPr>
              <w:t>、估值方法</w:t>
            </w:r>
          </w:p>
          <w:p w14:paraId="3AFC3261" w14:textId="77777777" w:rsidR="003220EA" w:rsidRPr="009D2C0E" w:rsidRDefault="003220EA" w:rsidP="00580F2C">
            <w:pPr>
              <w:ind w:firstLineChars="200" w:firstLine="420"/>
              <w:rPr>
                <w:rFonts w:asciiTheme="minorEastAsia" w:hAnsiTheme="minorEastAsia" w:cs="宋体"/>
                <w:bCs/>
                <w:szCs w:val="21"/>
              </w:rPr>
            </w:pPr>
            <w:r w:rsidRPr="009D2C0E">
              <w:rPr>
                <w:rFonts w:asciiTheme="minorEastAsia" w:hAnsiTheme="minorEastAsia" w:cs="宋体" w:hint="eastAsia"/>
                <w:bCs/>
                <w:szCs w:val="21"/>
              </w:rPr>
              <w:t>……</w:t>
            </w:r>
          </w:p>
          <w:p w14:paraId="7C056511" w14:textId="77777777" w:rsidR="003220EA" w:rsidRPr="009D2C0E" w:rsidRDefault="003220EA" w:rsidP="00580F2C">
            <w:pPr>
              <w:ind w:firstLineChars="200" w:firstLine="420"/>
              <w:rPr>
                <w:rFonts w:asciiTheme="minorEastAsia" w:hAnsiTheme="minorEastAsia" w:cs="宋体"/>
                <w:bCs/>
                <w:szCs w:val="21"/>
              </w:rPr>
            </w:pPr>
            <w:r w:rsidRPr="009D2C0E">
              <w:rPr>
                <w:rFonts w:asciiTheme="minorEastAsia" w:hAnsiTheme="minorEastAsia" w:cs="宋体" w:hint="eastAsia"/>
                <w:bCs/>
                <w:szCs w:val="21"/>
              </w:rPr>
              <w:t>9、汇率</w:t>
            </w:r>
          </w:p>
          <w:p w14:paraId="68931B8B" w14:textId="29AAAEDE" w:rsidR="003220EA" w:rsidRPr="009D2C0E" w:rsidRDefault="003220EA" w:rsidP="00580F2C">
            <w:pPr>
              <w:ind w:firstLineChars="200" w:firstLine="422"/>
              <w:rPr>
                <w:rFonts w:asciiTheme="minorEastAsia" w:hAnsiTheme="minorEastAsia" w:cs="宋体"/>
                <w:b/>
                <w:bCs/>
                <w:szCs w:val="21"/>
              </w:rPr>
            </w:pPr>
            <w:r w:rsidRPr="009D2C0E">
              <w:rPr>
                <w:rFonts w:asciiTheme="minorEastAsia" w:hAnsiTheme="minorEastAsia" w:cs="宋体" w:hint="eastAsia"/>
                <w:b/>
                <w:bCs/>
                <w:szCs w:val="21"/>
                <w:u w:val="single"/>
              </w:rPr>
              <w:t>如本基金投资股票市场交易互联互通机制允许买卖的境外证券市场上市的股票，涉及相关货币对人民币汇率的，届时根据相关法律法规及监管机构的要求确定汇率来源，如法律法</w:t>
            </w:r>
            <w:r w:rsidRPr="009D2C0E">
              <w:rPr>
                <w:rFonts w:asciiTheme="minorEastAsia" w:hAnsiTheme="minorEastAsia" w:cs="宋体" w:hint="eastAsia"/>
                <w:b/>
                <w:bCs/>
                <w:szCs w:val="21"/>
                <w:u w:val="single"/>
              </w:rPr>
              <w:lastRenderedPageBreak/>
              <w:t>规及监管机构无相关规定，基金管理人与基金托管人协商一致后确定本基金的估值汇率来源。</w:t>
            </w:r>
          </w:p>
          <w:p w14:paraId="5B76B3B4" w14:textId="0C16F8CE" w:rsidR="003220EA" w:rsidRPr="009D2C0E" w:rsidRDefault="003220EA" w:rsidP="00580F2C">
            <w:pPr>
              <w:ind w:firstLineChars="200" w:firstLine="422"/>
              <w:rPr>
                <w:rFonts w:asciiTheme="minorEastAsia" w:hAnsiTheme="minorEastAsia" w:cs="宋体"/>
                <w:b/>
                <w:bCs/>
                <w:strike/>
                <w:szCs w:val="21"/>
              </w:rPr>
            </w:pPr>
            <w:r w:rsidRPr="009D2C0E">
              <w:rPr>
                <w:rFonts w:asciiTheme="minorEastAsia" w:hAnsiTheme="minorEastAsia" w:cs="宋体" w:hint="eastAsia"/>
                <w:b/>
                <w:bCs/>
                <w:szCs w:val="21"/>
              </w:rPr>
              <w:t>……</w:t>
            </w:r>
          </w:p>
          <w:p w14:paraId="78258A60" w14:textId="77777777" w:rsidR="003220EA" w:rsidRPr="009D2C0E" w:rsidRDefault="003220EA" w:rsidP="00580F2C">
            <w:pPr>
              <w:ind w:firstLineChars="200" w:firstLine="422"/>
              <w:rPr>
                <w:rFonts w:asciiTheme="minorEastAsia" w:hAnsiTheme="minorEastAsia" w:cs="宋体"/>
                <w:b/>
                <w:bCs/>
                <w:szCs w:val="21"/>
                <w:u w:val="single"/>
              </w:rPr>
            </w:pPr>
            <w:r w:rsidRPr="009D2C0E">
              <w:rPr>
                <w:rFonts w:asciiTheme="minorEastAsia" w:hAnsiTheme="minorEastAsia" w:cs="宋体"/>
                <w:b/>
                <w:bCs/>
                <w:szCs w:val="21"/>
                <w:u w:val="single"/>
              </w:rPr>
              <w:t>11</w:t>
            </w:r>
            <w:r w:rsidRPr="009D2C0E">
              <w:rPr>
                <w:rFonts w:asciiTheme="minorEastAsia" w:hAnsiTheme="minorEastAsia" w:cs="宋体" w:hint="eastAsia"/>
                <w:b/>
                <w:bCs/>
                <w:szCs w:val="21"/>
                <w:u w:val="single"/>
              </w:rPr>
              <w:t>、本基金投资存托凭证的估值核算，依照境内上市交易的股票执行。</w:t>
            </w:r>
          </w:p>
          <w:p w14:paraId="533A8E98" w14:textId="77777777" w:rsidR="003220EA" w:rsidRPr="009D2C0E" w:rsidRDefault="003220EA" w:rsidP="00580F2C">
            <w:pPr>
              <w:ind w:firstLineChars="200" w:firstLine="420"/>
              <w:rPr>
                <w:bCs/>
                <w:sz w:val="24"/>
              </w:rPr>
            </w:pPr>
            <w:r w:rsidRPr="009D2C0E">
              <w:rPr>
                <w:rFonts w:asciiTheme="minorEastAsia" w:hAnsiTheme="minorEastAsia" w:cs="宋体" w:hint="eastAsia"/>
                <w:bCs/>
                <w:szCs w:val="21"/>
              </w:rPr>
              <w:t>……</w:t>
            </w:r>
          </w:p>
        </w:tc>
      </w:tr>
      <w:tr w:rsidR="003220EA" w:rsidRPr="009D2C0E" w14:paraId="68B1A169" w14:textId="77777777" w:rsidTr="00CA5C66">
        <w:tc>
          <w:tcPr>
            <w:tcW w:w="1413" w:type="dxa"/>
            <w:vMerge/>
          </w:tcPr>
          <w:p w14:paraId="0FC28136" w14:textId="77777777" w:rsidR="003220EA" w:rsidRPr="009D2C0E" w:rsidRDefault="003220EA" w:rsidP="00580F2C">
            <w:pPr>
              <w:rPr>
                <w:rFonts w:asciiTheme="minorEastAsia" w:hAnsiTheme="minorEastAsia" w:cs="Times New Roman"/>
                <w:szCs w:val="21"/>
              </w:rPr>
            </w:pPr>
          </w:p>
        </w:tc>
        <w:tc>
          <w:tcPr>
            <w:tcW w:w="4536" w:type="dxa"/>
          </w:tcPr>
          <w:p w14:paraId="6334EC75" w14:textId="77777777" w:rsidR="003220EA" w:rsidRPr="009D2C0E" w:rsidRDefault="003220EA" w:rsidP="00580F2C">
            <w:pPr>
              <w:rPr>
                <w:rFonts w:asciiTheme="minorEastAsia" w:hAnsiTheme="minorEastAsia" w:cs="宋体"/>
                <w:bCs/>
                <w:szCs w:val="21"/>
              </w:rPr>
            </w:pPr>
            <w:r w:rsidRPr="009D2C0E">
              <w:rPr>
                <w:rFonts w:asciiTheme="minorEastAsia" w:hAnsiTheme="minorEastAsia" w:cs="宋体" w:hint="eastAsia"/>
                <w:bCs/>
                <w:szCs w:val="21"/>
              </w:rPr>
              <w:t>十、特殊情况的处理</w:t>
            </w:r>
          </w:p>
          <w:p w14:paraId="33E3B761" w14:textId="5D386832" w:rsidR="003220EA" w:rsidRPr="009D2C0E" w:rsidRDefault="003220EA" w:rsidP="00580F2C">
            <w:pPr>
              <w:rPr>
                <w:rFonts w:asciiTheme="minorEastAsia" w:hAnsiTheme="minorEastAsia" w:cs="宋体"/>
                <w:bCs/>
                <w:szCs w:val="21"/>
              </w:rPr>
            </w:pPr>
            <w:r w:rsidRPr="009D2C0E">
              <w:rPr>
                <w:rFonts w:asciiTheme="minorEastAsia" w:hAnsiTheme="minorEastAsia" w:cs="宋体" w:hint="eastAsia"/>
                <w:bCs/>
                <w:szCs w:val="21"/>
              </w:rPr>
              <w:t>1、基金管理人或基金托管人按估值方法的第</w:t>
            </w:r>
            <w:r w:rsidRPr="009D2C0E">
              <w:rPr>
                <w:rFonts w:asciiTheme="minorEastAsia" w:hAnsiTheme="minorEastAsia" w:cs="宋体"/>
                <w:b/>
                <w:strike/>
                <w:szCs w:val="21"/>
              </w:rPr>
              <w:t>11</w:t>
            </w:r>
            <w:r w:rsidRPr="009D2C0E">
              <w:rPr>
                <w:rFonts w:asciiTheme="minorEastAsia" w:hAnsiTheme="minorEastAsia" w:cs="宋体" w:hint="eastAsia"/>
                <w:bCs/>
                <w:szCs w:val="21"/>
              </w:rPr>
              <w:t>项进行估值时，所造成的误差不作为基金资产估值错误处理。</w:t>
            </w:r>
          </w:p>
        </w:tc>
        <w:tc>
          <w:tcPr>
            <w:tcW w:w="4536" w:type="dxa"/>
          </w:tcPr>
          <w:p w14:paraId="42510DB2" w14:textId="77777777" w:rsidR="003220EA" w:rsidRPr="009D2C0E" w:rsidRDefault="003220EA" w:rsidP="00580F2C">
            <w:pPr>
              <w:rPr>
                <w:rFonts w:asciiTheme="minorEastAsia" w:hAnsiTheme="minorEastAsia" w:cs="宋体"/>
                <w:bCs/>
                <w:szCs w:val="21"/>
              </w:rPr>
            </w:pPr>
            <w:r w:rsidRPr="009D2C0E">
              <w:rPr>
                <w:rFonts w:asciiTheme="minorEastAsia" w:hAnsiTheme="minorEastAsia" w:cs="宋体" w:hint="eastAsia"/>
                <w:bCs/>
                <w:szCs w:val="21"/>
              </w:rPr>
              <w:t>十、特殊情况的处理</w:t>
            </w:r>
          </w:p>
          <w:p w14:paraId="41FED802" w14:textId="3A873085" w:rsidR="003220EA" w:rsidRPr="009D2C0E" w:rsidRDefault="003220EA" w:rsidP="00580F2C">
            <w:pPr>
              <w:rPr>
                <w:rFonts w:asciiTheme="minorEastAsia" w:hAnsiTheme="minorEastAsia" w:cs="宋体"/>
                <w:bCs/>
                <w:szCs w:val="21"/>
              </w:rPr>
            </w:pPr>
            <w:r w:rsidRPr="009D2C0E">
              <w:rPr>
                <w:rFonts w:asciiTheme="minorEastAsia" w:hAnsiTheme="minorEastAsia" w:cs="宋体" w:hint="eastAsia"/>
                <w:bCs/>
                <w:szCs w:val="21"/>
              </w:rPr>
              <w:t>1、基金管理人或基金托管人按估值方法的第</w:t>
            </w:r>
            <w:r w:rsidRPr="009D2C0E">
              <w:rPr>
                <w:rFonts w:asciiTheme="minorEastAsia" w:hAnsiTheme="minorEastAsia" w:cs="宋体"/>
                <w:b/>
                <w:szCs w:val="21"/>
                <w:u w:val="single"/>
              </w:rPr>
              <w:t>12</w:t>
            </w:r>
            <w:r w:rsidRPr="009D2C0E">
              <w:rPr>
                <w:rFonts w:asciiTheme="minorEastAsia" w:hAnsiTheme="minorEastAsia" w:cs="宋体" w:hint="eastAsia"/>
                <w:bCs/>
                <w:szCs w:val="21"/>
              </w:rPr>
              <w:t>项进行估值时，所造成的误差不作为基金资产估值错误处理。</w:t>
            </w:r>
          </w:p>
        </w:tc>
      </w:tr>
      <w:tr w:rsidR="00580F2C" w:rsidRPr="009D2C0E" w14:paraId="675D2E85" w14:textId="77777777" w:rsidTr="00CA5C66">
        <w:tc>
          <w:tcPr>
            <w:tcW w:w="1413" w:type="dxa"/>
          </w:tcPr>
          <w:p w14:paraId="59486C3C" w14:textId="77777777" w:rsidR="00580F2C" w:rsidRPr="009D2C0E" w:rsidRDefault="00580F2C" w:rsidP="00580F2C">
            <w:pPr>
              <w:rPr>
                <w:rFonts w:asciiTheme="minorEastAsia" w:hAnsiTheme="minorEastAsia" w:cs="Times New Roman"/>
                <w:szCs w:val="21"/>
              </w:rPr>
            </w:pPr>
            <w:r w:rsidRPr="009D2C0E">
              <w:rPr>
                <w:rFonts w:asciiTheme="minorEastAsia" w:hAnsiTheme="minorEastAsia" w:cs="Times New Roman"/>
                <w:szCs w:val="21"/>
              </w:rPr>
              <w:t>第二十四部分</w:t>
            </w:r>
          </w:p>
          <w:p w14:paraId="4A6D1CC7" w14:textId="77777777" w:rsidR="00580F2C" w:rsidRPr="009D2C0E" w:rsidRDefault="00580F2C" w:rsidP="00580F2C">
            <w:pPr>
              <w:rPr>
                <w:rFonts w:asciiTheme="minorEastAsia" w:hAnsiTheme="minorEastAsia" w:cs="Times New Roman"/>
                <w:szCs w:val="21"/>
              </w:rPr>
            </w:pPr>
            <w:r w:rsidRPr="009D2C0E">
              <w:rPr>
                <w:rFonts w:asciiTheme="minorEastAsia" w:hAnsiTheme="minorEastAsia" w:cs="Times New Roman"/>
                <w:szCs w:val="21"/>
              </w:rPr>
              <w:t>基金合同内容摘要</w:t>
            </w:r>
          </w:p>
        </w:tc>
        <w:tc>
          <w:tcPr>
            <w:tcW w:w="4536" w:type="dxa"/>
          </w:tcPr>
          <w:p w14:paraId="56F5D61C" w14:textId="77777777" w:rsidR="00580F2C" w:rsidRPr="009D2C0E" w:rsidRDefault="00580F2C" w:rsidP="00580F2C">
            <w:pPr>
              <w:rPr>
                <w:rFonts w:asciiTheme="minorEastAsia" w:hAnsiTheme="minorEastAsia" w:cs="宋体"/>
                <w:bCs/>
                <w:szCs w:val="21"/>
              </w:rPr>
            </w:pPr>
            <w:r w:rsidRPr="009D2C0E">
              <w:rPr>
                <w:rFonts w:asciiTheme="minorEastAsia" w:hAnsiTheme="minorEastAsia" w:cs="宋体" w:hint="eastAsia"/>
                <w:bCs/>
                <w:szCs w:val="21"/>
              </w:rPr>
              <w:t>（</w:t>
            </w:r>
            <w:r w:rsidRPr="009D2C0E">
              <w:rPr>
                <w:rFonts w:asciiTheme="minorEastAsia" w:hAnsiTheme="minorEastAsia" w:cs="宋体"/>
                <w:bCs/>
                <w:szCs w:val="21"/>
              </w:rPr>
              <w:t>原基金合同内容摘要</w:t>
            </w:r>
            <w:r w:rsidRPr="009D2C0E">
              <w:rPr>
                <w:rFonts w:asciiTheme="minorEastAsia" w:hAnsiTheme="minorEastAsia" w:cs="宋体" w:hint="eastAsia"/>
                <w:bCs/>
                <w:szCs w:val="21"/>
              </w:rPr>
              <w:t>）</w:t>
            </w:r>
          </w:p>
        </w:tc>
        <w:tc>
          <w:tcPr>
            <w:tcW w:w="4536" w:type="dxa"/>
          </w:tcPr>
          <w:p w14:paraId="3023C584" w14:textId="77777777" w:rsidR="00580F2C" w:rsidRPr="009D2C0E" w:rsidRDefault="00580F2C" w:rsidP="00580F2C">
            <w:pPr>
              <w:rPr>
                <w:rFonts w:asciiTheme="minorEastAsia" w:hAnsiTheme="minorEastAsia" w:cs="宋体"/>
                <w:bCs/>
                <w:szCs w:val="21"/>
              </w:rPr>
            </w:pPr>
            <w:r w:rsidRPr="009D2C0E">
              <w:rPr>
                <w:rFonts w:asciiTheme="minorEastAsia" w:hAnsiTheme="minorEastAsia" w:cs="宋体" w:hint="eastAsia"/>
                <w:bCs/>
                <w:szCs w:val="21"/>
              </w:rPr>
              <w:t>（修订后的基金合同内容摘要）</w:t>
            </w:r>
          </w:p>
        </w:tc>
      </w:tr>
    </w:tbl>
    <w:p w14:paraId="41EC0A64" w14:textId="7CB0431E" w:rsidR="001E4C85" w:rsidRPr="009D2C0E" w:rsidRDefault="001E4C85">
      <w:pPr>
        <w:widowControl/>
        <w:jc w:val="left"/>
        <w:rPr>
          <w:rFonts w:asciiTheme="minorEastAsia" w:hAnsiTheme="minorEastAsia"/>
          <w:sz w:val="28"/>
          <w:szCs w:val="28"/>
        </w:rPr>
      </w:pPr>
    </w:p>
    <w:p w14:paraId="5000F602" w14:textId="181BA093" w:rsidR="00D9565F" w:rsidRPr="009D2C0E" w:rsidRDefault="001B3C0A" w:rsidP="001B3C0A">
      <w:pPr>
        <w:spacing w:line="360" w:lineRule="auto"/>
        <w:rPr>
          <w:rFonts w:asciiTheme="minorEastAsia" w:hAnsiTheme="minorEastAsia"/>
          <w:b/>
          <w:sz w:val="24"/>
          <w:szCs w:val="28"/>
        </w:rPr>
      </w:pPr>
      <w:r w:rsidRPr="009D2C0E">
        <w:rPr>
          <w:rFonts w:asciiTheme="minorEastAsia" w:hAnsiTheme="minorEastAsia"/>
          <w:b/>
          <w:sz w:val="24"/>
          <w:szCs w:val="28"/>
        </w:rPr>
        <w:t>附件</w:t>
      </w:r>
      <w:r w:rsidRPr="009D2C0E">
        <w:rPr>
          <w:rFonts w:asciiTheme="minorEastAsia" w:hAnsiTheme="minorEastAsia" w:hint="eastAsia"/>
          <w:b/>
          <w:sz w:val="24"/>
          <w:szCs w:val="28"/>
        </w:rPr>
        <w:t>2：东方阿尔法招阳混合型证券投资基金</w:t>
      </w:r>
      <w:r w:rsidR="00D9565F" w:rsidRPr="009D2C0E">
        <w:rPr>
          <w:rFonts w:asciiTheme="minorEastAsia" w:hAnsiTheme="minorEastAsia" w:hint="eastAsia"/>
          <w:b/>
          <w:sz w:val="24"/>
          <w:szCs w:val="28"/>
        </w:rPr>
        <w:t>托管协议修改对照表</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4536"/>
        <w:gridCol w:w="4536"/>
      </w:tblGrid>
      <w:tr w:rsidR="00D9565F" w:rsidRPr="009D2C0E" w14:paraId="49447C71" w14:textId="77777777" w:rsidTr="00121668">
        <w:trPr>
          <w:tblHeader/>
        </w:trPr>
        <w:tc>
          <w:tcPr>
            <w:tcW w:w="1413" w:type="dxa"/>
            <w:shd w:val="clear" w:color="auto" w:fill="auto"/>
          </w:tcPr>
          <w:p w14:paraId="4FEA7F65" w14:textId="77777777" w:rsidR="00D9565F" w:rsidRPr="009D2C0E" w:rsidRDefault="00D9565F" w:rsidP="00D9565F">
            <w:pPr>
              <w:jc w:val="center"/>
              <w:rPr>
                <w:rFonts w:asciiTheme="minorEastAsia" w:hAnsiTheme="minorEastAsia" w:cs="Times New Roman"/>
                <w:b/>
                <w:spacing w:val="-10"/>
                <w:szCs w:val="21"/>
              </w:rPr>
            </w:pPr>
            <w:r w:rsidRPr="009D2C0E">
              <w:rPr>
                <w:rFonts w:asciiTheme="minorEastAsia" w:hAnsiTheme="minorEastAsia" w:cs="Times New Roman" w:hint="eastAsia"/>
                <w:b/>
                <w:szCs w:val="21"/>
              </w:rPr>
              <w:t>目录</w:t>
            </w:r>
          </w:p>
        </w:tc>
        <w:tc>
          <w:tcPr>
            <w:tcW w:w="4536" w:type="dxa"/>
            <w:shd w:val="clear" w:color="auto" w:fill="auto"/>
          </w:tcPr>
          <w:p w14:paraId="72262945" w14:textId="77777777" w:rsidR="00D9565F" w:rsidRPr="009D2C0E" w:rsidRDefault="00D9565F" w:rsidP="00D9565F">
            <w:pPr>
              <w:jc w:val="center"/>
              <w:rPr>
                <w:rFonts w:asciiTheme="minorEastAsia" w:hAnsiTheme="minorEastAsia" w:cs="Times New Roman"/>
                <w:b/>
                <w:spacing w:val="-10"/>
                <w:szCs w:val="21"/>
              </w:rPr>
            </w:pPr>
            <w:r w:rsidRPr="009D2C0E">
              <w:rPr>
                <w:rFonts w:asciiTheme="minorEastAsia" w:hAnsiTheme="minorEastAsia" w:cs="Times New Roman" w:hint="eastAsia"/>
                <w:b/>
                <w:szCs w:val="21"/>
              </w:rPr>
              <w:t>《托管协议》原条款</w:t>
            </w:r>
          </w:p>
        </w:tc>
        <w:tc>
          <w:tcPr>
            <w:tcW w:w="4536" w:type="dxa"/>
            <w:shd w:val="clear" w:color="auto" w:fill="auto"/>
          </w:tcPr>
          <w:p w14:paraId="3D0A2544" w14:textId="77777777" w:rsidR="00D9565F" w:rsidRPr="009D2C0E" w:rsidRDefault="00D9565F" w:rsidP="00D9565F">
            <w:pPr>
              <w:jc w:val="center"/>
              <w:rPr>
                <w:rFonts w:asciiTheme="minorEastAsia" w:hAnsiTheme="minorEastAsia" w:cs="Times New Roman"/>
                <w:b/>
                <w:spacing w:val="-10"/>
                <w:szCs w:val="21"/>
              </w:rPr>
            </w:pPr>
            <w:r w:rsidRPr="009D2C0E">
              <w:rPr>
                <w:rFonts w:asciiTheme="minorEastAsia" w:hAnsiTheme="minorEastAsia" w:cs="Times New Roman" w:hint="eastAsia"/>
                <w:b/>
                <w:szCs w:val="21"/>
              </w:rPr>
              <w:t>《托管协议》修改后条款</w:t>
            </w:r>
          </w:p>
        </w:tc>
      </w:tr>
      <w:tr w:rsidR="00D9565F" w:rsidRPr="009D2C0E" w14:paraId="6E064754" w14:textId="77777777" w:rsidTr="00121668">
        <w:trPr>
          <w:trHeight w:val="132"/>
        </w:trPr>
        <w:tc>
          <w:tcPr>
            <w:tcW w:w="1413" w:type="dxa"/>
            <w:vMerge w:val="restart"/>
          </w:tcPr>
          <w:p w14:paraId="24FE12CE" w14:textId="5D0CA541" w:rsidR="00D9565F" w:rsidRPr="009D2C0E" w:rsidRDefault="00FD1997" w:rsidP="00FD1997">
            <w:pPr>
              <w:rPr>
                <w:rFonts w:asciiTheme="minorEastAsia" w:hAnsiTheme="minorEastAsia" w:cs="Times New Roman"/>
                <w:szCs w:val="21"/>
              </w:rPr>
            </w:pPr>
            <w:bookmarkStart w:id="1" w:name="_Toc348082031"/>
            <w:bookmarkStart w:id="2" w:name="_Toc529782895"/>
            <w:r w:rsidRPr="009D2C0E">
              <w:rPr>
                <w:rFonts w:asciiTheme="minorEastAsia" w:hAnsiTheme="minorEastAsia" w:cs="Times New Roman"/>
                <w:szCs w:val="21"/>
              </w:rPr>
              <w:t>第三部分</w:t>
            </w:r>
            <w:r w:rsidRPr="009D2C0E">
              <w:rPr>
                <w:rFonts w:asciiTheme="minorEastAsia" w:hAnsiTheme="minorEastAsia" w:cs="Times New Roman" w:hint="eastAsia"/>
                <w:szCs w:val="21"/>
              </w:rPr>
              <w:t xml:space="preserve"> </w:t>
            </w:r>
            <w:r w:rsidR="00D9565F" w:rsidRPr="009D2C0E">
              <w:rPr>
                <w:rFonts w:asciiTheme="minorEastAsia" w:hAnsiTheme="minorEastAsia" w:cs="Times New Roman" w:hint="eastAsia"/>
                <w:szCs w:val="21"/>
              </w:rPr>
              <w:t>基金托管人对基金管理人的业务监督和核查</w:t>
            </w:r>
            <w:bookmarkEnd w:id="1"/>
            <w:bookmarkEnd w:id="2"/>
          </w:p>
        </w:tc>
        <w:tc>
          <w:tcPr>
            <w:tcW w:w="4536" w:type="dxa"/>
          </w:tcPr>
          <w:p w14:paraId="11AA8816" w14:textId="77777777" w:rsidR="00285B2C" w:rsidRPr="009D2C0E" w:rsidRDefault="00285B2C" w:rsidP="00D9565F">
            <w:pPr>
              <w:ind w:firstLineChars="200" w:firstLine="420"/>
              <w:rPr>
                <w:rFonts w:asciiTheme="minorEastAsia" w:hAnsiTheme="minorEastAsia" w:cs="宋体"/>
                <w:bCs/>
                <w:szCs w:val="21"/>
              </w:rPr>
            </w:pPr>
            <w:r w:rsidRPr="009D2C0E">
              <w:rPr>
                <w:rFonts w:asciiTheme="minorEastAsia" w:hAnsiTheme="minorEastAsia" w:cs="宋体" w:hint="eastAsia"/>
                <w:bCs/>
                <w:szCs w:val="21"/>
              </w:rPr>
              <w:t>（一）基金托管人根据有关法律法规的规定以及《基金合同》的约定，对基金投资范围、投资比例、投资限制、关联方交易等进行监督。……</w:t>
            </w:r>
          </w:p>
          <w:p w14:paraId="002AE60C" w14:textId="27E85C20" w:rsidR="00D9565F" w:rsidRPr="009D2C0E" w:rsidRDefault="00F8784D" w:rsidP="00F8784D">
            <w:pPr>
              <w:ind w:firstLineChars="200" w:firstLine="420"/>
              <w:rPr>
                <w:rFonts w:asciiTheme="minorEastAsia" w:hAnsiTheme="minorEastAsia" w:cs="宋体"/>
                <w:bCs/>
                <w:szCs w:val="21"/>
              </w:rPr>
            </w:pPr>
            <w:r w:rsidRPr="009D2C0E">
              <w:rPr>
                <w:rFonts w:asciiTheme="minorEastAsia" w:hAnsiTheme="minorEastAsia" w:cs="宋体" w:hint="eastAsia"/>
                <w:bCs/>
                <w:szCs w:val="21"/>
              </w:rPr>
              <w:t>本基金的投资范围为具有良好流动性的金融工具，包括国内依法发行上市的股票（包括主板、中小板、创业板及其他中国证监会允许基金投资的股票）、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w:t>
            </w:r>
          </w:p>
        </w:tc>
        <w:tc>
          <w:tcPr>
            <w:tcW w:w="4536" w:type="dxa"/>
          </w:tcPr>
          <w:p w14:paraId="3F01D59E" w14:textId="77777777" w:rsidR="00285B2C" w:rsidRPr="009D2C0E" w:rsidRDefault="00285B2C" w:rsidP="00D9565F">
            <w:pPr>
              <w:ind w:firstLineChars="200" w:firstLine="420"/>
              <w:rPr>
                <w:rFonts w:asciiTheme="minorEastAsia" w:hAnsiTheme="minorEastAsia" w:cs="宋体"/>
                <w:bCs/>
                <w:szCs w:val="21"/>
              </w:rPr>
            </w:pPr>
            <w:r w:rsidRPr="009D2C0E">
              <w:rPr>
                <w:rFonts w:asciiTheme="minorEastAsia" w:hAnsiTheme="minorEastAsia" w:cs="宋体" w:hint="eastAsia"/>
                <w:bCs/>
                <w:szCs w:val="21"/>
              </w:rPr>
              <w:t>（一）基金托管人根据有关法律法规的规定以及《基金合同》的约定，对基金投资范围、投资比例、投资限制、关联方交易等进行监督。……</w:t>
            </w:r>
          </w:p>
          <w:p w14:paraId="7DBA456C" w14:textId="2909CAE8" w:rsidR="00D9565F" w:rsidRPr="009D2C0E" w:rsidRDefault="00F8784D" w:rsidP="00F8784D">
            <w:pPr>
              <w:ind w:firstLineChars="200" w:firstLine="420"/>
              <w:rPr>
                <w:rFonts w:asciiTheme="minorEastAsia" w:hAnsiTheme="minorEastAsia" w:cs="宋体"/>
                <w:bCs/>
                <w:szCs w:val="21"/>
              </w:rPr>
            </w:pPr>
            <w:r w:rsidRPr="009D2C0E">
              <w:rPr>
                <w:rFonts w:asciiTheme="minorEastAsia" w:hAnsiTheme="minorEastAsia" w:cs="宋体" w:hint="eastAsia"/>
                <w:bCs/>
                <w:szCs w:val="21"/>
              </w:rPr>
              <w:t>本基金的投资范围为具有良好流动性的金融工具，包括国内依法发行上市的股票（包括主板、中小板、创业板及其他中国证监会允许基金投资的股票</w:t>
            </w:r>
            <w:r w:rsidRPr="009D2C0E">
              <w:rPr>
                <w:rFonts w:asciiTheme="minorEastAsia" w:hAnsiTheme="minorEastAsia" w:cs="宋体" w:hint="eastAsia"/>
                <w:b/>
                <w:bCs/>
                <w:szCs w:val="21"/>
                <w:u w:val="single"/>
              </w:rPr>
              <w:t>、存托凭证</w:t>
            </w:r>
            <w:r w:rsidRPr="009D2C0E">
              <w:rPr>
                <w:rFonts w:asciiTheme="minorEastAsia" w:hAnsiTheme="minorEastAsia" w:cs="宋体" w:hint="eastAsia"/>
                <w:bCs/>
                <w:szCs w:val="21"/>
              </w:rPr>
              <w:t>）、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w:t>
            </w:r>
          </w:p>
        </w:tc>
      </w:tr>
      <w:tr w:rsidR="00D9565F" w:rsidRPr="00DA1F15" w14:paraId="53F02E09" w14:textId="77777777" w:rsidTr="00121668">
        <w:trPr>
          <w:trHeight w:val="132"/>
        </w:trPr>
        <w:tc>
          <w:tcPr>
            <w:tcW w:w="1413" w:type="dxa"/>
            <w:vMerge/>
          </w:tcPr>
          <w:p w14:paraId="01EB4E8A" w14:textId="77777777" w:rsidR="00D9565F" w:rsidRPr="009D2C0E" w:rsidRDefault="00D9565F" w:rsidP="00D9565F">
            <w:pPr>
              <w:rPr>
                <w:rFonts w:asciiTheme="minorEastAsia" w:hAnsiTheme="minorEastAsia" w:cs="Times New Roman"/>
                <w:szCs w:val="21"/>
              </w:rPr>
            </w:pPr>
          </w:p>
        </w:tc>
        <w:tc>
          <w:tcPr>
            <w:tcW w:w="4536" w:type="dxa"/>
          </w:tcPr>
          <w:p w14:paraId="3B30C2B3" w14:textId="77777777" w:rsidR="00D9565F" w:rsidRPr="009D2C0E" w:rsidRDefault="00D9565F" w:rsidP="00D9565F">
            <w:pPr>
              <w:ind w:firstLineChars="200" w:firstLine="420"/>
              <w:rPr>
                <w:rFonts w:asciiTheme="minorEastAsia" w:hAnsiTheme="minorEastAsia" w:cs="宋体"/>
                <w:bCs/>
                <w:szCs w:val="21"/>
              </w:rPr>
            </w:pPr>
            <w:r w:rsidRPr="009D2C0E">
              <w:rPr>
                <w:rFonts w:asciiTheme="minorEastAsia" w:hAnsiTheme="minorEastAsia" w:cs="宋体" w:hint="eastAsia"/>
                <w:bCs/>
                <w:szCs w:val="21"/>
              </w:rPr>
              <w:t>2.本基金各类品种的投资比例、投资限制为：</w:t>
            </w:r>
          </w:p>
          <w:p w14:paraId="10BC312F" w14:textId="77777777" w:rsidR="00D9565F" w:rsidRPr="009D2C0E" w:rsidRDefault="00D9565F" w:rsidP="00D9565F">
            <w:pPr>
              <w:ind w:firstLineChars="200" w:firstLine="420"/>
              <w:rPr>
                <w:rFonts w:asciiTheme="minorEastAsia" w:hAnsiTheme="minorEastAsia" w:cs="宋体"/>
                <w:bCs/>
                <w:szCs w:val="21"/>
              </w:rPr>
            </w:pPr>
            <w:r w:rsidRPr="009D2C0E">
              <w:rPr>
                <w:rFonts w:asciiTheme="minorEastAsia" w:hAnsiTheme="minorEastAsia" w:cs="宋体" w:hint="eastAsia"/>
                <w:bCs/>
                <w:szCs w:val="21"/>
              </w:rPr>
              <w:t>……</w:t>
            </w:r>
          </w:p>
          <w:p w14:paraId="1EB787F5" w14:textId="77777777" w:rsidR="00D9565F" w:rsidRPr="009D2C0E" w:rsidRDefault="00D9565F" w:rsidP="00D9565F">
            <w:pPr>
              <w:rPr>
                <w:rFonts w:asciiTheme="minorEastAsia" w:hAnsiTheme="minorEastAsia" w:cs="宋体"/>
                <w:bCs/>
                <w:szCs w:val="21"/>
              </w:rPr>
            </w:pPr>
          </w:p>
        </w:tc>
        <w:tc>
          <w:tcPr>
            <w:tcW w:w="4536" w:type="dxa"/>
          </w:tcPr>
          <w:p w14:paraId="01E7781B" w14:textId="77777777" w:rsidR="00D9565F" w:rsidRPr="009D2C0E" w:rsidRDefault="00D9565F" w:rsidP="00D9565F">
            <w:pPr>
              <w:ind w:firstLineChars="200" w:firstLine="420"/>
              <w:rPr>
                <w:rFonts w:asciiTheme="minorEastAsia" w:hAnsiTheme="minorEastAsia" w:cs="宋体"/>
                <w:bCs/>
                <w:szCs w:val="21"/>
              </w:rPr>
            </w:pPr>
            <w:r w:rsidRPr="009D2C0E">
              <w:rPr>
                <w:rFonts w:asciiTheme="minorEastAsia" w:hAnsiTheme="minorEastAsia" w:cs="宋体" w:hint="eastAsia"/>
                <w:bCs/>
                <w:szCs w:val="21"/>
              </w:rPr>
              <w:t>2.本基金各类品种的投资比例、投资限制为：</w:t>
            </w:r>
          </w:p>
          <w:p w14:paraId="57B1139F" w14:textId="77777777" w:rsidR="00D9565F" w:rsidRPr="009D2C0E" w:rsidRDefault="00D9565F" w:rsidP="00382A55">
            <w:pPr>
              <w:ind w:firstLineChars="200" w:firstLine="420"/>
              <w:rPr>
                <w:rFonts w:asciiTheme="minorEastAsia" w:hAnsiTheme="minorEastAsia" w:cs="宋体"/>
                <w:bCs/>
                <w:szCs w:val="21"/>
              </w:rPr>
            </w:pPr>
            <w:r w:rsidRPr="009D2C0E">
              <w:rPr>
                <w:rFonts w:asciiTheme="minorEastAsia" w:hAnsiTheme="minorEastAsia" w:cs="宋体"/>
                <w:bCs/>
                <w:szCs w:val="21"/>
              </w:rPr>
              <w:t>……</w:t>
            </w:r>
          </w:p>
          <w:p w14:paraId="3F4AAD1A" w14:textId="730407E8" w:rsidR="00D9565F" w:rsidRPr="009D2C0E" w:rsidRDefault="00D9565F" w:rsidP="00D9565F">
            <w:pPr>
              <w:ind w:firstLineChars="200" w:firstLine="422"/>
              <w:rPr>
                <w:rFonts w:asciiTheme="minorEastAsia" w:hAnsiTheme="minorEastAsia" w:cs="宋体"/>
                <w:b/>
                <w:bCs/>
                <w:szCs w:val="21"/>
                <w:u w:val="single"/>
              </w:rPr>
            </w:pPr>
            <w:r w:rsidRPr="009D2C0E">
              <w:rPr>
                <w:rFonts w:asciiTheme="minorEastAsia" w:hAnsiTheme="minorEastAsia" w:cs="宋体" w:hint="eastAsia"/>
                <w:b/>
                <w:bCs/>
                <w:szCs w:val="21"/>
                <w:u w:val="single"/>
              </w:rPr>
              <w:t>（</w:t>
            </w:r>
            <w:r w:rsidR="00F8784D" w:rsidRPr="009D2C0E">
              <w:rPr>
                <w:rFonts w:asciiTheme="minorEastAsia" w:hAnsiTheme="minorEastAsia" w:cs="宋体"/>
                <w:b/>
                <w:bCs/>
                <w:szCs w:val="21"/>
                <w:u w:val="single"/>
              </w:rPr>
              <w:t>18</w:t>
            </w:r>
            <w:r w:rsidRPr="009D2C0E">
              <w:rPr>
                <w:rFonts w:asciiTheme="minorEastAsia" w:hAnsiTheme="minorEastAsia" w:cs="宋体" w:hint="eastAsia"/>
                <w:b/>
                <w:bCs/>
                <w:szCs w:val="21"/>
                <w:u w:val="single"/>
              </w:rPr>
              <w:t>）本基金投资存托凭证的比例限制依照境内上市交易的股票执行，与境内上市交易的股票合并计算；</w:t>
            </w:r>
          </w:p>
          <w:p w14:paraId="2EDF9F54" w14:textId="77777777" w:rsidR="00D9565F" w:rsidRPr="00DA1F15" w:rsidRDefault="00D9565F" w:rsidP="00D9565F">
            <w:pPr>
              <w:ind w:firstLineChars="200" w:firstLine="420"/>
              <w:rPr>
                <w:rFonts w:asciiTheme="minorEastAsia" w:hAnsiTheme="minorEastAsia" w:cs="宋体"/>
                <w:bCs/>
                <w:szCs w:val="21"/>
              </w:rPr>
            </w:pPr>
            <w:r w:rsidRPr="009D2C0E">
              <w:rPr>
                <w:rFonts w:asciiTheme="minorEastAsia" w:hAnsiTheme="minorEastAsia" w:cs="宋体" w:hint="eastAsia"/>
                <w:bCs/>
                <w:szCs w:val="21"/>
              </w:rPr>
              <w:t>……</w:t>
            </w:r>
          </w:p>
        </w:tc>
      </w:tr>
    </w:tbl>
    <w:p w14:paraId="014F1D03" w14:textId="743B55CC" w:rsidR="00D9565F" w:rsidRPr="00DA1F15" w:rsidRDefault="00D9565F" w:rsidP="00D9565F">
      <w:pPr>
        <w:widowControl/>
        <w:jc w:val="left"/>
        <w:rPr>
          <w:rFonts w:asciiTheme="minorEastAsia" w:hAnsiTheme="minorEastAsia"/>
          <w:sz w:val="28"/>
          <w:szCs w:val="28"/>
        </w:rPr>
      </w:pPr>
    </w:p>
    <w:sectPr w:rsidR="00D9565F" w:rsidRPr="00DA1F15" w:rsidSect="00D9565F">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39BC5" w14:textId="77777777" w:rsidR="009C1D40" w:rsidRDefault="009C1D40" w:rsidP="00E47BA0">
      <w:r>
        <w:separator/>
      </w:r>
    </w:p>
  </w:endnote>
  <w:endnote w:type="continuationSeparator" w:id="0">
    <w:p w14:paraId="0A9684A0" w14:textId="77777777" w:rsidR="009C1D40" w:rsidRDefault="009C1D40" w:rsidP="00E4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7563BA" w14:textId="77777777" w:rsidR="009C1D40" w:rsidRDefault="009C1D40" w:rsidP="00E47BA0">
      <w:r>
        <w:separator/>
      </w:r>
    </w:p>
  </w:footnote>
  <w:footnote w:type="continuationSeparator" w:id="0">
    <w:p w14:paraId="15BBE582" w14:textId="77777777" w:rsidR="009C1D40" w:rsidRDefault="009C1D40" w:rsidP="00E47B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lvl w:ilvl="0">
      <w:start w:val="4"/>
      <w:numFmt w:val="chineseCounting"/>
      <w:suff w:val="nothing"/>
      <w:lvlText w:val="%1、"/>
      <w:lvlJc w:val="left"/>
    </w:lvl>
  </w:abstractNum>
  <w:abstractNum w:abstractNumId="1">
    <w:nsid w:val="05F367B3"/>
    <w:multiLevelType w:val="hybridMultilevel"/>
    <w:tmpl w:val="545CD89C"/>
    <w:lvl w:ilvl="0" w:tplc="3C68F24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71B4A25"/>
    <w:multiLevelType w:val="hybridMultilevel"/>
    <w:tmpl w:val="1FAA2C2C"/>
    <w:lvl w:ilvl="0" w:tplc="6B6A2CC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C2562DD"/>
    <w:multiLevelType w:val="hybridMultilevel"/>
    <w:tmpl w:val="C5A870A4"/>
    <w:lvl w:ilvl="0" w:tplc="C78A9DF8">
      <w:start w:val="1"/>
      <w:numFmt w:val="japaneseCounting"/>
      <w:lvlText w:val="%1、"/>
      <w:lvlJc w:val="left"/>
      <w:pPr>
        <w:ind w:left="795" w:hanging="37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2A9"/>
    <w:rsid w:val="000013DC"/>
    <w:rsid w:val="000050E9"/>
    <w:rsid w:val="0002080B"/>
    <w:rsid w:val="00040FEB"/>
    <w:rsid w:val="000411F9"/>
    <w:rsid w:val="0004141E"/>
    <w:rsid w:val="00044053"/>
    <w:rsid w:val="000459D6"/>
    <w:rsid w:val="00047D0E"/>
    <w:rsid w:val="00051998"/>
    <w:rsid w:val="000A1C22"/>
    <w:rsid w:val="000B3550"/>
    <w:rsid w:val="000C4028"/>
    <w:rsid w:val="000C6A8F"/>
    <w:rsid w:val="000D0F3F"/>
    <w:rsid w:val="000D118E"/>
    <w:rsid w:val="000D2320"/>
    <w:rsid w:val="000D33D0"/>
    <w:rsid w:val="000D6667"/>
    <w:rsid w:val="000F16B9"/>
    <w:rsid w:val="000F4EB1"/>
    <w:rsid w:val="00102350"/>
    <w:rsid w:val="001052BB"/>
    <w:rsid w:val="00110E51"/>
    <w:rsid w:val="00111631"/>
    <w:rsid w:val="0013435F"/>
    <w:rsid w:val="0013600D"/>
    <w:rsid w:val="00136D5B"/>
    <w:rsid w:val="00147E1D"/>
    <w:rsid w:val="00166CAB"/>
    <w:rsid w:val="00166FE4"/>
    <w:rsid w:val="00172E25"/>
    <w:rsid w:val="00174AFE"/>
    <w:rsid w:val="00177BD8"/>
    <w:rsid w:val="00181922"/>
    <w:rsid w:val="00185B34"/>
    <w:rsid w:val="00197CD1"/>
    <w:rsid w:val="001A00AB"/>
    <w:rsid w:val="001A191E"/>
    <w:rsid w:val="001B0149"/>
    <w:rsid w:val="001B19BC"/>
    <w:rsid w:val="001B19D2"/>
    <w:rsid w:val="001B333E"/>
    <w:rsid w:val="001B3C0A"/>
    <w:rsid w:val="001D0C75"/>
    <w:rsid w:val="001D4A36"/>
    <w:rsid w:val="001D4A5E"/>
    <w:rsid w:val="001E2D6A"/>
    <w:rsid w:val="001E3F42"/>
    <w:rsid w:val="001E4C85"/>
    <w:rsid w:val="001E4F06"/>
    <w:rsid w:val="001E6AA8"/>
    <w:rsid w:val="001F1A5C"/>
    <w:rsid w:val="001F4831"/>
    <w:rsid w:val="00203B24"/>
    <w:rsid w:val="00216992"/>
    <w:rsid w:val="00217F60"/>
    <w:rsid w:val="00224C6D"/>
    <w:rsid w:val="00243702"/>
    <w:rsid w:val="002507B4"/>
    <w:rsid w:val="002516A2"/>
    <w:rsid w:val="002522F0"/>
    <w:rsid w:val="00252429"/>
    <w:rsid w:val="00285B2C"/>
    <w:rsid w:val="002928E2"/>
    <w:rsid w:val="00294F3C"/>
    <w:rsid w:val="002B136C"/>
    <w:rsid w:val="002B3659"/>
    <w:rsid w:val="002B7156"/>
    <w:rsid w:val="002B7C82"/>
    <w:rsid w:val="002C1D27"/>
    <w:rsid w:val="002C3F2D"/>
    <w:rsid w:val="002D7CA2"/>
    <w:rsid w:val="002E3480"/>
    <w:rsid w:val="002F317E"/>
    <w:rsid w:val="002F34DA"/>
    <w:rsid w:val="002F5FA0"/>
    <w:rsid w:val="00306CB5"/>
    <w:rsid w:val="00316FBD"/>
    <w:rsid w:val="00320F6B"/>
    <w:rsid w:val="00321359"/>
    <w:rsid w:val="0032138F"/>
    <w:rsid w:val="003220EA"/>
    <w:rsid w:val="0032221F"/>
    <w:rsid w:val="003308C7"/>
    <w:rsid w:val="00335AC0"/>
    <w:rsid w:val="00343918"/>
    <w:rsid w:val="00345134"/>
    <w:rsid w:val="00347310"/>
    <w:rsid w:val="00347F3C"/>
    <w:rsid w:val="00356153"/>
    <w:rsid w:val="003613B5"/>
    <w:rsid w:val="00371FE7"/>
    <w:rsid w:val="00375C10"/>
    <w:rsid w:val="00376EF5"/>
    <w:rsid w:val="0038175B"/>
    <w:rsid w:val="003819DD"/>
    <w:rsid w:val="00382A55"/>
    <w:rsid w:val="00395EE6"/>
    <w:rsid w:val="003960BA"/>
    <w:rsid w:val="003A4F2E"/>
    <w:rsid w:val="003B22FA"/>
    <w:rsid w:val="003C6D8E"/>
    <w:rsid w:val="003C7874"/>
    <w:rsid w:val="003D007D"/>
    <w:rsid w:val="003D106C"/>
    <w:rsid w:val="003E4B5E"/>
    <w:rsid w:val="003F55E2"/>
    <w:rsid w:val="003F763C"/>
    <w:rsid w:val="00413CFE"/>
    <w:rsid w:val="00426E62"/>
    <w:rsid w:val="00430159"/>
    <w:rsid w:val="00433413"/>
    <w:rsid w:val="0044051A"/>
    <w:rsid w:val="00440CA1"/>
    <w:rsid w:val="0044269A"/>
    <w:rsid w:val="00443B88"/>
    <w:rsid w:val="00457E45"/>
    <w:rsid w:val="0046519A"/>
    <w:rsid w:val="004652F8"/>
    <w:rsid w:val="00472CF8"/>
    <w:rsid w:val="0047308E"/>
    <w:rsid w:val="00475840"/>
    <w:rsid w:val="00475C03"/>
    <w:rsid w:val="0047606D"/>
    <w:rsid w:val="00494693"/>
    <w:rsid w:val="00495FD2"/>
    <w:rsid w:val="004A1EF4"/>
    <w:rsid w:val="004A2C10"/>
    <w:rsid w:val="004A6A06"/>
    <w:rsid w:val="004C4657"/>
    <w:rsid w:val="004D2AE6"/>
    <w:rsid w:val="004D3990"/>
    <w:rsid w:val="004D4185"/>
    <w:rsid w:val="004D4F58"/>
    <w:rsid w:val="004D7A40"/>
    <w:rsid w:val="004E3B2A"/>
    <w:rsid w:val="004E4654"/>
    <w:rsid w:val="004F1677"/>
    <w:rsid w:val="004F1CE8"/>
    <w:rsid w:val="004F634D"/>
    <w:rsid w:val="00500066"/>
    <w:rsid w:val="005020D3"/>
    <w:rsid w:val="005123AA"/>
    <w:rsid w:val="00515C57"/>
    <w:rsid w:val="0051775E"/>
    <w:rsid w:val="00517D49"/>
    <w:rsid w:val="00522EA8"/>
    <w:rsid w:val="00527689"/>
    <w:rsid w:val="0053003D"/>
    <w:rsid w:val="00544C24"/>
    <w:rsid w:val="00555DEA"/>
    <w:rsid w:val="00560A1B"/>
    <w:rsid w:val="00561576"/>
    <w:rsid w:val="0056594E"/>
    <w:rsid w:val="00566061"/>
    <w:rsid w:val="00566390"/>
    <w:rsid w:val="00572B08"/>
    <w:rsid w:val="00573F51"/>
    <w:rsid w:val="005756B8"/>
    <w:rsid w:val="00580F2C"/>
    <w:rsid w:val="005877EE"/>
    <w:rsid w:val="005948CB"/>
    <w:rsid w:val="00595B15"/>
    <w:rsid w:val="005A5D9F"/>
    <w:rsid w:val="005A71D0"/>
    <w:rsid w:val="005A77B5"/>
    <w:rsid w:val="005A791C"/>
    <w:rsid w:val="005B3241"/>
    <w:rsid w:val="005B4E4C"/>
    <w:rsid w:val="005B7A8A"/>
    <w:rsid w:val="005C1821"/>
    <w:rsid w:val="005C38F0"/>
    <w:rsid w:val="005C5EB9"/>
    <w:rsid w:val="005C747F"/>
    <w:rsid w:val="005D2930"/>
    <w:rsid w:val="005E0946"/>
    <w:rsid w:val="005F0D08"/>
    <w:rsid w:val="005F105A"/>
    <w:rsid w:val="005F1167"/>
    <w:rsid w:val="005F2C22"/>
    <w:rsid w:val="005F700C"/>
    <w:rsid w:val="0060529E"/>
    <w:rsid w:val="00605E3E"/>
    <w:rsid w:val="00613552"/>
    <w:rsid w:val="0061678A"/>
    <w:rsid w:val="00620716"/>
    <w:rsid w:val="006312AA"/>
    <w:rsid w:val="00633B86"/>
    <w:rsid w:val="00633E19"/>
    <w:rsid w:val="0063705A"/>
    <w:rsid w:val="0065066A"/>
    <w:rsid w:val="00651536"/>
    <w:rsid w:val="00653136"/>
    <w:rsid w:val="006542DC"/>
    <w:rsid w:val="006630C6"/>
    <w:rsid w:val="00664D02"/>
    <w:rsid w:val="00666D29"/>
    <w:rsid w:val="00675A71"/>
    <w:rsid w:val="006779DF"/>
    <w:rsid w:val="006820E0"/>
    <w:rsid w:val="006833FF"/>
    <w:rsid w:val="00685AB0"/>
    <w:rsid w:val="0069384C"/>
    <w:rsid w:val="0069773D"/>
    <w:rsid w:val="006A2E57"/>
    <w:rsid w:val="006B15AB"/>
    <w:rsid w:val="006B1983"/>
    <w:rsid w:val="006B39D5"/>
    <w:rsid w:val="006C2987"/>
    <w:rsid w:val="006C3D52"/>
    <w:rsid w:val="006D511A"/>
    <w:rsid w:val="006D59FD"/>
    <w:rsid w:val="006E209A"/>
    <w:rsid w:val="006E6411"/>
    <w:rsid w:val="006F53F9"/>
    <w:rsid w:val="006F5D02"/>
    <w:rsid w:val="00702A64"/>
    <w:rsid w:val="00703695"/>
    <w:rsid w:val="00703819"/>
    <w:rsid w:val="00712F3C"/>
    <w:rsid w:val="007139B7"/>
    <w:rsid w:val="00722D6E"/>
    <w:rsid w:val="00723296"/>
    <w:rsid w:val="0072776F"/>
    <w:rsid w:val="007302AD"/>
    <w:rsid w:val="00734170"/>
    <w:rsid w:val="00740C68"/>
    <w:rsid w:val="00742A62"/>
    <w:rsid w:val="007460CB"/>
    <w:rsid w:val="007618C8"/>
    <w:rsid w:val="00770E9C"/>
    <w:rsid w:val="00773F78"/>
    <w:rsid w:val="007742A9"/>
    <w:rsid w:val="007811ED"/>
    <w:rsid w:val="00782145"/>
    <w:rsid w:val="00782972"/>
    <w:rsid w:val="00783C4C"/>
    <w:rsid w:val="007934FC"/>
    <w:rsid w:val="00793C3C"/>
    <w:rsid w:val="0079431B"/>
    <w:rsid w:val="007A260C"/>
    <w:rsid w:val="007A26FD"/>
    <w:rsid w:val="007A4A3C"/>
    <w:rsid w:val="007A543E"/>
    <w:rsid w:val="007A5E2B"/>
    <w:rsid w:val="007A7ADD"/>
    <w:rsid w:val="007B017D"/>
    <w:rsid w:val="007B2FE5"/>
    <w:rsid w:val="007B4207"/>
    <w:rsid w:val="007B7360"/>
    <w:rsid w:val="007C0455"/>
    <w:rsid w:val="007C59AC"/>
    <w:rsid w:val="007D1A79"/>
    <w:rsid w:val="007D716A"/>
    <w:rsid w:val="007D7FCA"/>
    <w:rsid w:val="007E0B44"/>
    <w:rsid w:val="007E4759"/>
    <w:rsid w:val="007F05F6"/>
    <w:rsid w:val="007F3840"/>
    <w:rsid w:val="007F5999"/>
    <w:rsid w:val="007F6E74"/>
    <w:rsid w:val="008006AB"/>
    <w:rsid w:val="00800D63"/>
    <w:rsid w:val="00802007"/>
    <w:rsid w:val="00804AA1"/>
    <w:rsid w:val="00805ACC"/>
    <w:rsid w:val="00806D0D"/>
    <w:rsid w:val="0081329B"/>
    <w:rsid w:val="00820726"/>
    <w:rsid w:val="0083032F"/>
    <w:rsid w:val="008402C8"/>
    <w:rsid w:val="00850D09"/>
    <w:rsid w:val="008533E7"/>
    <w:rsid w:val="008568C0"/>
    <w:rsid w:val="008624AD"/>
    <w:rsid w:val="00862508"/>
    <w:rsid w:val="0086452F"/>
    <w:rsid w:val="008709E8"/>
    <w:rsid w:val="0087246F"/>
    <w:rsid w:val="00886F8E"/>
    <w:rsid w:val="00893133"/>
    <w:rsid w:val="008A5793"/>
    <w:rsid w:val="008A621D"/>
    <w:rsid w:val="008A7B26"/>
    <w:rsid w:val="008B10B6"/>
    <w:rsid w:val="008C1087"/>
    <w:rsid w:val="008C21C7"/>
    <w:rsid w:val="008C3015"/>
    <w:rsid w:val="008C58A8"/>
    <w:rsid w:val="008C75D2"/>
    <w:rsid w:val="008D2080"/>
    <w:rsid w:val="008D5FA9"/>
    <w:rsid w:val="008D6A6A"/>
    <w:rsid w:val="008E16CE"/>
    <w:rsid w:val="008E2377"/>
    <w:rsid w:val="008E26D1"/>
    <w:rsid w:val="008E2DC2"/>
    <w:rsid w:val="008E41BF"/>
    <w:rsid w:val="008F1BAF"/>
    <w:rsid w:val="008F75F1"/>
    <w:rsid w:val="009035A9"/>
    <w:rsid w:val="00912CCD"/>
    <w:rsid w:val="00913059"/>
    <w:rsid w:val="00920D48"/>
    <w:rsid w:val="00934B96"/>
    <w:rsid w:val="00936A6D"/>
    <w:rsid w:val="009374CF"/>
    <w:rsid w:val="00946EA7"/>
    <w:rsid w:val="00947A65"/>
    <w:rsid w:val="00951A7F"/>
    <w:rsid w:val="00951EDF"/>
    <w:rsid w:val="00960B75"/>
    <w:rsid w:val="00961A3A"/>
    <w:rsid w:val="009701FF"/>
    <w:rsid w:val="00972434"/>
    <w:rsid w:val="009751AF"/>
    <w:rsid w:val="0097566B"/>
    <w:rsid w:val="00982166"/>
    <w:rsid w:val="0098271F"/>
    <w:rsid w:val="00986937"/>
    <w:rsid w:val="00987479"/>
    <w:rsid w:val="00991031"/>
    <w:rsid w:val="0099105C"/>
    <w:rsid w:val="009929DE"/>
    <w:rsid w:val="0099455F"/>
    <w:rsid w:val="009960EE"/>
    <w:rsid w:val="009A0CA2"/>
    <w:rsid w:val="009A4E46"/>
    <w:rsid w:val="009A5D5D"/>
    <w:rsid w:val="009A7E32"/>
    <w:rsid w:val="009B1D5D"/>
    <w:rsid w:val="009B6EEB"/>
    <w:rsid w:val="009B75F2"/>
    <w:rsid w:val="009C07D4"/>
    <w:rsid w:val="009C1D40"/>
    <w:rsid w:val="009C2F0E"/>
    <w:rsid w:val="009C38C6"/>
    <w:rsid w:val="009C6873"/>
    <w:rsid w:val="009C6D49"/>
    <w:rsid w:val="009D132B"/>
    <w:rsid w:val="009D29B9"/>
    <w:rsid w:val="009D2C0E"/>
    <w:rsid w:val="009D2C45"/>
    <w:rsid w:val="009E04D4"/>
    <w:rsid w:val="009F0817"/>
    <w:rsid w:val="009F685E"/>
    <w:rsid w:val="00A04D66"/>
    <w:rsid w:val="00A06436"/>
    <w:rsid w:val="00A068F7"/>
    <w:rsid w:val="00A10859"/>
    <w:rsid w:val="00A23155"/>
    <w:rsid w:val="00A30670"/>
    <w:rsid w:val="00A31591"/>
    <w:rsid w:val="00A421E2"/>
    <w:rsid w:val="00A42D9E"/>
    <w:rsid w:val="00A42DB1"/>
    <w:rsid w:val="00A43104"/>
    <w:rsid w:val="00A45559"/>
    <w:rsid w:val="00A6193C"/>
    <w:rsid w:val="00A70A26"/>
    <w:rsid w:val="00A76FA6"/>
    <w:rsid w:val="00AA040C"/>
    <w:rsid w:val="00AA13F9"/>
    <w:rsid w:val="00AC03B2"/>
    <w:rsid w:val="00AC1301"/>
    <w:rsid w:val="00AC22B8"/>
    <w:rsid w:val="00AD01CD"/>
    <w:rsid w:val="00AD295D"/>
    <w:rsid w:val="00AD2A38"/>
    <w:rsid w:val="00AE3A0A"/>
    <w:rsid w:val="00AE6313"/>
    <w:rsid w:val="00B02C30"/>
    <w:rsid w:val="00B05AD2"/>
    <w:rsid w:val="00B07820"/>
    <w:rsid w:val="00B079B3"/>
    <w:rsid w:val="00B07D9A"/>
    <w:rsid w:val="00B13764"/>
    <w:rsid w:val="00B21EA6"/>
    <w:rsid w:val="00B30C97"/>
    <w:rsid w:val="00B5083F"/>
    <w:rsid w:val="00B55323"/>
    <w:rsid w:val="00B5609A"/>
    <w:rsid w:val="00B64A6A"/>
    <w:rsid w:val="00B655DB"/>
    <w:rsid w:val="00B672B1"/>
    <w:rsid w:val="00B80F6C"/>
    <w:rsid w:val="00B8355D"/>
    <w:rsid w:val="00BA3BBE"/>
    <w:rsid w:val="00BA5746"/>
    <w:rsid w:val="00BB62F2"/>
    <w:rsid w:val="00BD4AF8"/>
    <w:rsid w:val="00BE1010"/>
    <w:rsid w:val="00BE1C0C"/>
    <w:rsid w:val="00BE2DF7"/>
    <w:rsid w:val="00BE5B77"/>
    <w:rsid w:val="00BE6F2F"/>
    <w:rsid w:val="00BF6246"/>
    <w:rsid w:val="00BF75BB"/>
    <w:rsid w:val="00BF7B67"/>
    <w:rsid w:val="00C01843"/>
    <w:rsid w:val="00C019C9"/>
    <w:rsid w:val="00C120FB"/>
    <w:rsid w:val="00C1397A"/>
    <w:rsid w:val="00C1494C"/>
    <w:rsid w:val="00C234CF"/>
    <w:rsid w:val="00C43FDD"/>
    <w:rsid w:val="00C4521B"/>
    <w:rsid w:val="00C51719"/>
    <w:rsid w:val="00C53921"/>
    <w:rsid w:val="00C56A5A"/>
    <w:rsid w:val="00C63B9A"/>
    <w:rsid w:val="00C762D6"/>
    <w:rsid w:val="00C82EA5"/>
    <w:rsid w:val="00C85271"/>
    <w:rsid w:val="00C86D8F"/>
    <w:rsid w:val="00C906EC"/>
    <w:rsid w:val="00C93F2E"/>
    <w:rsid w:val="00C969FD"/>
    <w:rsid w:val="00C97BFD"/>
    <w:rsid w:val="00CA481F"/>
    <w:rsid w:val="00CA491F"/>
    <w:rsid w:val="00CA5C66"/>
    <w:rsid w:val="00CB0D36"/>
    <w:rsid w:val="00CB3059"/>
    <w:rsid w:val="00CB354D"/>
    <w:rsid w:val="00CB7CB9"/>
    <w:rsid w:val="00CC13B7"/>
    <w:rsid w:val="00CC1829"/>
    <w:rsid w:val="00CC41D7"/>
    <w:rsid w:val="00CC6E10"/>
    <w:rsid w:val="00CD5D88"/>
    <w:rsid w:val="00CD602C"/>
    <w:rsid w:val="00CE0048"/>
    <w:rsid w:val="00CE37BA"/>
    <w:rsid w:val="00D029EF"/>
    <w:rsid w:val="00D05221"/>
    <w:rsid w:val="00D12581"/>
    <w:rsid w:val="00D12F9E"/>
    <w:rsid w:val="00D21655"/>
    <w:rsid w:val="00D26BFF"/>
    <w:rsid w:val="00D27EE9"/>
    <w:rsid w:val="00D30BF7"/>
    <w:rsid w:val="00D34905"/>
    <w:rsid w:val="00D367E2"/>
    <w:rsid w:val="00D36C57"/>
    <w:rsid w:val="00D41FBE"/>
    <w:rsid w:val="00D42466"/>
    <w:rsid w:val="00D42B69"/>
    <w:rsid w:val="00D43C2E"/>
    <w:rsid w:val="00D45405"/>
    <w:rsid w:val="00D45DB3"/>
    <w:rsid w:val="00D469B6"/>
    <w:rsid w:val="00D50598"/>
    <w:rsid w:val="00D514F1"/>
    <w:rsid w:val="00D5279F"/>
    <w:rsid w:val="00D647EB"/>
    <w:rsid w:val="00D75DBC"/>
    <w:rsid w:val="00D9565F"/>
    <w:rsid w:val="00DA1F15"/>
    <w:rsid w:val="00DB2F57"/>
    <w:rsid w:val="00DC199F"/>
    <w:rsid w:val="00DC24AF"/>
    <w:rsid w:val="00DC3CB3"/>
    <w:rsid w:val="00DC4131"/>
    <w:rsid w:val="00DD1AC7"/>
    <w:rsid w:val="00DD2F68"/>
    <w:rsid w:val="00DD3716"/>
    <w:rsid w:val="00DD6092"/>
    <w:rsid w:val="00DE3E51"/>
    <w:rsid w:val="00DE6D41"/>
    <w:rsid w:val="00DF1138"/>
    <w:rsid w:val="00DF1AED"/>
    <w:rsid w:val="00DF70D6"/>
    <w:rsid w:val="00E0071C"/>
    <w:rsid w:val="00E07BD9"/>
    <w:rsid w:val="00E111AC"/>
    <w:rsid w:val="00E12DE8"/>
    <w:rsid w:val="00E13C9F"/>
    <w:rsid w:val="00E17818"/>
    <w:rsid w:val="00E22699"/>
    <w:rsid w:val="00E26D9F"/>
    <w:rsid w:val="00E27D69"/>
    <w:rsid w:val="00E31F08"/>
    <w:rsid w:val="00E33B6F"/>
    <w:rsid w:val="00E44184"/>
    <w:rsid w:val="00E45BF4"/>
    <w:rsid w:val="00E471E1"/>
    <w:rsid w:val="00E47BA0"/>
    <w:rsid w:val="00E553FB"/>
    <w:rsid w:val="00E57BD6"/>
    <w:rsid w:val="00E66FAF"/>
    <w:rsid w:val="00E80D17"/>
    <w:rsid w:val="00E84B37"/>
    <w:rsid w:val="00E8517C"/>
    <w:rsid w:val="00E928DA"/>
    <w:rsid w:val="00EB367B"/>
    <w:rsid w:val="00EB4F31"/>
    <w:rsid w:val="00EB5DD3"/>
    <w:rsid w:val="00EC15E4"/>
    <w:rsid w:val="00EC3490"/>
    <w:rsid w:val="00ED074F"/>
    <w:rsid w:val="00ED3CBE"/>
    <w:rsid w:val="00ED4C45"/>
    <w:rsid w:val="00EE6129"/>
    <w:rsid w:val="00EF1333"/>
    <w:rsid w:val="00EF229D"/>
    <w:rsid w:val="00EF2AFE"/>
    <w:rsid w:val="00EF429E"/>
    <w:rsid w:val="00EF582A"/>
    <w:rsid w:val="00F00CB0"/>
    <w:rsid w:val="00F01313"/>
    <w:rsid w:val="00F01950"/>
    <w:rsid w:val="00F04C59"/>
    <w:rsid w:val="00F10F49"/>
    <w:rsid w:val="00F13474"/>
    <w:rsid w:val="00F26B46"/>
    <w:rsid w:val="00F306EA"/>
    <w:rsid w:val="00F34B6D"/>
    <w:rsid w:val="00F45717"/>
    <w:rsid w:val="00F50210"/>
    <w:rsid w:val="00F53E77"/>
    <w:rsid w:val="00F56D2B"/>
    <w:rsid w:val="00F610F0"/>
    <w:rsid w:val="00F62DE7"/>
    <w:rsid w:val="00F63743"/>
    <w:rsid w:val="00F6593D"/>
    <w:rsid w:val="00F67C1B"/>
    <w:rsid w:val="00F77631"/>
    <w:rsid w:val="00F84CD0"/>
    <w:rsid w:val="00F8784D"/>
    <w:rsid w:val="00F9019A"/>
    <w:rsid w:val="00F92A1F"/>
    <w:rsid w:val="00F96AFE"/>
    <w:rsid w:val="00F9794F"/>
    <w:rsid w:val="00FA3EBF"/>
    <w:rsid w:val="00FA4FDB"/>
    <w:rsid w:val="00FB6ECB"/>
    <w:rsid w:val="00FD18D9"/>
    <w:rsid w:val="00FD1997"/>
    <w:rsid w:val="00FD4277"/>
    <w:rsid w:val="00FD5E2C"/>
    <w:rsid w:val="00FE4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8BA21"/>
  <w15:chartTrackingRefBased/>
  <w15:docId w15:val="{44581933-4225-4F23-8D5F-AB1943CC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B24"/>
    <w:pPr>
      <w:widowControl w:val="0"/>
      <w:jc w:val="both"/>
    </w:pPr>
  </w:style>
  <w:style w:type="paragraph" w:styleId="1">
    <w:name w:val="heading 1"/>
    <w:basedOn w:val="a"/>
    <w:next w:val="a"/>
    <w:link w:val="1Char"/>
    <w:qFormat/>
    <w:rsid w:val="00D9565F"/>
    <w:pPr>
      <w:keepNext/>
      <w:keepLines/>
      <w:spacing w:before="340" w:after="330" w:line="578" w:lineRule="auto"/>
      <w:outlineLvl w:val="0"/>
    </w:pPr>
    <w:rPr>
      <w:rFonts w:ascii="宋体" w:eastAsia="宋体" w:cs="Times New Roman"/>
      <w:b/>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7B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7BA0"/>
    <w:rPr>
      <w:sz w:val="18"/>
      <w:szCs w:val="18"/>
    </w:rPr>
  </w:style>
  <w:style w:type="paragraph" w:styleId="a4">
    <w:name w:val="footer"/>
    <w:basedOn w:val="a"/>
    <w:link w:val="Char0"/>
    <w:uiPriority w:val="99"/>
    <w:unhideWhenUsed/>
    <w:rsid w:val="00E47BA0"/>
    <w:pPr>
      <w:tabs>
        <w:tab w:val="center" w:pos="4153"/>
        <w:tab w:val="right" w:pos="8306"/>
      </w:tabs>
      <w:snapToGrid w:val="0"/>
      <w:jc w:val="left"/>
    </w:pPr>
    <w:rPr>
      <w:sz w:val="18"/>
      <w:szCs w:val="18"/>
    </w:rPr>
  </w:style>
  <w:style w:type="character" w:customStyle="1" w:styleId="Char0">
    <w:name w:val="页脚 Char"/>
    <w:basedOn w:val="a0"/>
    <w:link w:val="a4"/>
    <w:uiPriority w:val="99"/>
    <w:rsid w:val="00E47BA0"/>
    <w:rPr>
      <w:sz w:val="18"/>
      <w:szCs w:val="18"/>
    </w:rPr>
  </w:style>
  <w:style w:type="table" w:styleId="a5">
    <w:name w:val="Table Grid"/>
    <w:basedOn w:val="a1"/>
    <w:uiPriority w:val="39"/>
    <w:rsid w:val="00800D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3308C7"/>
    <w:rPr>
      <w:rFonts w:ascii="宋体" w:eastAsia="宋体" w:hAnsi="宋体" w:hint="eastAsia"/>
      <w:b w:val="0"/>
      <w:bCs w:val="0"/>
      <w:i w:val="0"/>
      <w:iCs w:val="0"/>
      <w:color w:val="000000"/>
      <w:sz w:val="24"/>
      <w:szCs w:val="24"/>
    </w:rPr>
  </w:style>
  <w:style w:type="paragraph" w:styleId="a6">
    <w:name w:val="List Paragraph"/>
    <w:basedOn w:val="a"/>
    <w:uiPriority w:val="34"/>
    <w:qFormat/>
    <w:rsid w:val="005C38F0"/>
    <w:pPr>
      <w:ind w:firstLineChars="200" w:firstLine="420"/>
    </w:pPr>
  </w:style>
  <w:style w:type="character" w:styleId="a7">
    <w:name w:val="annotation reference"/>
    <w:basedOn w:val="a0"/>
    <w:unhideWhenUsed/>
    <w:qFormat/>
    <w:rsid w:val="001D4A5E"/>
    <w:rPr>
      <w:sz w:val="21"/>
      <w:szCs w:val="21"/>
    </w:rPr>
  </w:style>
  <w:style w:type="paragraph" w:styleId="a8">
    <w:name w:val="annotation text"/>
    <w:basedOn w:val="a"/>
    <w:link w:val="Char1"/>
    <w:unhideWhenUsed/>
    <w:rsid w:val="001D4A5E"/>
    <w:pPr>
      <w:jc w:val="left"/>
    </w:pPr>
  </w:style>
  <w:style w:type="character" w:customStyle="1" w:styleId="Char1">
    <w:name w:val="批注文字 Char"/>
    <w:basedOn w:val="a0"/>
    <w:link w:val="a8"/>
    <w:qFormat/>
    <w:rsid w:val="001D4A5E"/>
  </w:style>
  <w:style w:type="paragraph" w:styleId="a9">
    <w:name w:val="annotation subject"/>
    <w:basedOn w:val="a8"/>
    <w:next w:val="a8"/>
    <w:link w:val="Char2"/>
    <w:uiPriority w:val="99"/>
    <w:semiHidden/>
    <w:unhideWhenUsed/>
    <w:rsid w:val="001D4A5E"/>
    <w:rPr>
      <w:b/>
      <w:bCs/>
    </w:rPr>
  </w:style>
  <w:style w:type="character" w:customStyle="1" w:styleId="Char2">
    <w:name w:val="批注主题 Char"/>
    <w:basedOn w:val="Char1"/>
    <w:link w:val="a9"/>
    <w:uiPriority w:val="99"/>
    <w:semiHidden/>
    <w:rsid w:val="001D4A5E"/>
    <w:rPr>
      <w:b/>
      <w:bCs/>
    </w:rPr>
  </w:style>
  <w:style w:type="paragraph" w:styleId="aa">
    <w:name w:val="Balloon Text"/>
    <w:basedOn w:val="a"/>
    <w:link w:val="Char3"/>
    <w:uiPriority w:val="99"/>
    <w:semiHidden/>
    <w:unhideWhenUsed/>
    <w:rsid w:val="001D4A5E"/>
    <w:rPr>
      <w:sz w:val="18"/>
      <w:szCs w:val="18"/>
    </w:rPr>
  </w:style>
  <w:style w:type="character" w:customStyle="1" w:styleId="Char3">
    <w:name w:val="批注框文本 Char"/>
    <w:basedOn w:val="a0"/>
    <w:link w:val="aa"/>
    <w:uiPriority w:val="99"/>
    <w:semiHidden/>
    <w:rsid w:val="001D4A5E"/>
    <w:rPr>
      <w:sz w:val="18"/>
      <w:szCs w:val="18"/>
    </w:rPr>
  </w:style>
  <w:style w:type="character" w:customStyle="1" w:styleId="1Char">
    <w:name w:val="标题 1 Char"/>
    <w:basedOn w:val="a0"/>
    <w:link w:val="1"/>
    <w:rsid w:val="00D9565F"/>
    <w:rPr>
      <w:rFonts w:ascii="宋体" w:eastAsia="宋体" w:cs="Times New Roman"/>
      <w:b/>
      <w:color w:val="000000"/>
      <w:kern w:val="0"/>
      <w:sz w:val="24"/>
    </w:rPr>
  </w:style>
  <w:style w:type="paragraph" w:styleId="HTML">
    <w:name w:val="HTML Preformatted"/>
    <w:basedOn w:val="a"/>
    <w:link w:val="HTMLChar"/>
    <w:uiPriority w:val="99"/>
    <w:semiHidden/>
    <w:unhideWhenUsed/>
    <w:rsid w:val="00D9565F"/>
    <w:rPr>
      <w:rFonts w:ascii="Courier New" w:hAnsi="Courier New" w:cs="Courier New"/>
      <w:sz w:val="20"/>
      <w:szCs w:val="20"/>
    </w:rPr>
  </w:style>
  <w:style w:type="character" w:customStyle="1" w:styleId="HTMLChar">
    <w:name w:val="HTML 预设格式 Char"/>
    <w:basedOn w:val="a0"/>
    <w:link w:val="HTML"/>
    <w:uiPriority w:val="99"/>
    <w:semiHidden/>
    <w:rsid w:val="00D9565F"/>
    <w:rPr>
      <w:rFonts w:ascii="Courier New" w:hAnsi="Courier New" w:cs="Courier New"/>
      <w:sz w:val="20"/>
      <w:szCs w:val="20"/>
    </w:rPr>
  </w:style>
  <w:style w:type="character" w:styleId="ab">
    <w:name w:val="Hyperlink"/>
    <w:basedOn w:val="a0"/>
    <w:uiPriority w:val="99"/>
    <w:unhideWhenUsed/>
    <w:rsid w:val="00D9565F"/>
    <w:rPr>
      <w:color w:val="0563C1" w:themeColor="hyperlink"/>
      <w:u w:val="single"/>
    </w:rPr>
  </w:style>
  <w:style w:type="table" w:customStyle="1" w:styleId="10">
    <w:name w:val="网格型1"/>
    <w:basedOn w:val="a1"/>
    <w:next w:val="a5"/>
    <w:uiPriority w:val="59"/>
    <w:rsid w:val="00D956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标题 11"/>
    <w:basedOn w:val="a"/>
    <w:next w:val="a"/>
    <w:qFormat/>
    <w:rsid w:val="00D9565F"/>
    <w:pPr>
      <w:keepNext/>
      <w:keepLines/>
      <w:spacing w:before="120" w:after="120" w:line="360" w:lineRule="auto"/>
      <w:outlineLvl w:val="0"/>
    </w:pPr>
    <w:rPr>
      <w:rFonts w:ascii="宋体" w:eastAsia="宋体" w:cs="Times New Roman"/>
      <w:b/>
      <w:color w:val="000000"/>
      <w:kern w:val="0"/>
      <w:sz w:val="24"/>
      <w:szCs w:val="24"/>
    </w:rPr>
  </w:style>
  <w:style w:type="numbering" w:customStyle="1" w:styleId="12">
    <w:name w:val="无列表1"/>
    <w:next w:val="a2"/>
    <w:uiPriority w:val="99"/>
    <w:semiHidden/>
    <w:unhideWhenUsed/>
    <w:rsid w:val="00D9565F"/>
  </w:style>
  <w:style w:type="paragraph" w:styleId="ac">
    <w:name w:val="Revision"/>
    <w:hidden/>
    <w:uiPriority w:val="99"/>
    <w:semiHidden/>
    <w:rsid w:val="00D9565F"/>
    <w:rPr>
      <w:rFonts w:ascii="Times New Roman" w:eastAsia="宋体" w:hAnsi="Times New Roman" w:cs="Times New Roman"/>
      <w:szCs w:val="20"/>
    </w:rPr>
  </w:style>
  <w:style w:type="character" w:customStyle="1" w:styleId="Char10">
    <w:name w:val="批注文字 Char1"/>
    <w:basedOn w:val="a0"/>
    <w:uiPriority w:val="99"/>
    <w:qFormat/>
    <w:rsid w:val="00D9565F"/>
    <w:rPr>
      <w:rFonts w:eastAsia="宋体" w:cs="Times New Roman"/>
    </w:rPr>
  </w:style>
  <w:style w:type="character" w:customStyle="1" w:styleId="1Char1">
    <w:name w:val="标题 1 Char1"/>
    <w:basedOn w:val="a0"/>
    <w:uiPriority w:val="9"/>
    <w:rsid w:val="00D9565F"/>
    <w:rPr>
      <w:b/>
      <w:bCs/>
      <w:kern w:val="44"/>
      <w:sz w:val="44"/>
      <w:szCs w:val="44"/>
    </w:rPr>
  </w:style>
  <w:style w:type="numbering" w:customStyle="1" w:styleId="2">
    <w:name w:val="无列表2"/>
    <w:next w:val="a2"/>
    <w:uiPriority w:val="99"/>
    <w:semiHidden/>
    <w:unhideWhenUsed/>
    <w:rsid w:val="00D95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18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562</Words>
  <Characters>3205</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戴聪子</dc:creator>
  <cp:keywords/>
  <dc:description/>
  <cp:lastModifiedBy>戴聪子</cp:lastModifiedBy>
  <cp:revision>16</cp:revision>
  <dcterms:created xsi:type="dcterms:W3CDTF">2021-07-01T07:47:00Z</dcterms:created>
  <dcterms:modified xsi:type="dcterms:W3CDTF">2021-09-08T03:17:00Z</dcterms:modified>
</cp:coreProperties>
</file>