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D56" w:rsidRDefault="005A4198">
      <w:pPr>
        <w:jc w:val="center"/>
        <w:rPr>
          <w:rFonts w:ascii="宋体" w:eastAsia="宋体" w:hAnsi="宋体"/>
          <w:b/>
          <w:color w:val="000000"/>
          <w:sz w:val="32"/>
          <w:szCs w:val="24"/>
        </w:rPr>
      </w:pPr>
      <w:r>
        <w:rPr>
          <w:rFonts w:ascii="宋体" w:eastAsia="宋体" w:hAnsi="宋体" w:hint="eastAsia"/>
          <w:b/>
          <w:color w:val="000000"/>
          <w:sz w:val="32"/>
          <w:szCs w:val="24"/>
        </w:rPr>
        <w:t>东方阿尔法基金管理有限公司</w:t>
      </w:r>
    </w:p>
    <w:p w:rsidR="00C65E07" w:rsidRDefault="005A4198">
      <w:pPr>
        <w:jc w:val="center"/>
        <w:rPr>
          <w:rFonts w:ascii="宋体" w:eastAsia="宋体" w:hAnsi="宋体"/>
          <w:b/>
          <w:color w:val="000000"/>
          <w:sz w:val="32"/>
          <w:szCs w:val="24"/>
        </w:rPr>
      </w:pPr>
      <w:r>
        <w:rPr>
          <w:rFonts w:ascii="宋体" w:eastAsia="宋体" w:hAnsi="宋体" w:hint="eastAsia"/>
          <w:b/>
          <w:color w:val="000000"/>
          <w:sz w:val="32"/>
          <w:szCs w:val="24"/>
        </w:rPr>
        <w:t>关于在网上直销系统开通</w:t>
      </w:r>
      <w:r>
        <w:rPr>
          <w:rFonts w:ascii="宋体" w:eastAsia="宋体" w:hAnsi="宋体"/>
          <w:b/>
          <w:color w:val="000000"/>
          <w:sz w:val="32"/>
          <w:szCs w:val="24"/>
        </w:rPr>
        <w:t>中国工商银行快捷支付业务</w:t>
      </w:r>
    </w:p>
    <w:p w:rsidR="002B5D56" w:rsidRDefault="00A105B0">
      <w:pPr>
        <w:jc w:val="center"/>
        <w:rPr>
          <w:rFonts w:ascii="宋体" w:eastAsia="宋体" w:hAnsi="宋体"/>
          <w:color w:val="000000"/>
          <w:sz w:val="24"/>
          <w:szCs w:val="24"/>
        </w:rPr>
      </w:pPr>
      <w:r>
        <w:rPr>
          <w:rFonts w:ascii="宋体" w:eastAsia="宋体" w:hAnsi="宋体" w:hint="eastAsia"/>
          <w:b/>
          <w:color w:val="000000"/>
          <w:sz w:val="32"/>
          <w:szCs w:val="24"/>
        </w:rPr>
        <w:t>并</w:t>
      </w:r>
      <w:r w:rsidR="006C11D7">
        <w:rPr>
          <w:rFonts w:ascii="宋体" w:eastAsia="宋体" w:hAnsi="宋体" w:hint="eastAsia"/>
          <w:b/>
          <w:color w:val="000000"/>
          <w:sz w:val="32"/>
          <w:szCs w:val="24"/>
        </w:rPr>
        <w:t>开展</w:t>
      </w:r>
      <w:r w:rsidR="005A4198">
        <w:rPr>
          <w:rFonts w:ascii="宋体" w:eastAsia="宋体" w:hAnsi="宋体" w:hint="eastAsia"/>
          <w:b/>
          <w:color w:val="000000"/>
          <w:sz w:val="32"/>
          <w:szCs w:val="24"/>
        </w:rPr>
        <w:t>费率优惠</w:t>
      </w:r>
      <w:r w:rsidR="006C11D7">
        <w:rPr>
          <w:rFonts w:ascii="宋体" w:eastAsia="宋体" w:hAnsi="宋体" w:hint="eastAsia"/>
          <w:b/>
          <w:color w:val="000000"/>
          <w:sz w:val="32"/>
          <w:szCs w:val="24"/>
        </w:rPr>
        <w:t>活动</w:t>
      </w:r>
      <w:r w:rsidR="005A4198">
        <w:rPr>
          <w:rFonts w:ascii="宋体" w:eastAsia="宋体" w:hAnsi="宋体" w:hint="eastAsia"/>
          <w:b/>
          <w:color w:val="000000"/>
          <w:sz w:val="32"/>
          <w:szCs w:val="24"/>
        </w:rPr>
        <w:t>的公告</w:t>
      </w:r>
    </w:p>
    <w:p w:rsidR="002B5D56" w:rsidRDefault="002B5D56">
      <w:pPr>
        <w:spacing w:line="360" w:lineRule="auto"/>
        <w:ind w:firstLineChars="200" w:firstLine="480"/>
        <w:rPr>
          <w:rFonts w:ascii="宋体" w:eastAsia="宋体" w:hAnsi="宋体"/>
          <w:color w:val="000000"/>
          <w:sz w:val="24"/>
          <w:szCs w:val="24"/>
        </w:rPr>
      </w:pPr>
    </w:p>
    <w:p w:rsidR="002B5D56" w:rsidRDefault="005A4198">
      <w:pPr>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为进一步方便投资者通过网上直销交易系统投资基金，东方阿尔法基金管理有限公司（以下简称“本公司”）与中国工商银行股份有限公司协商一致，决定自</w:t>
      </w:r>
      <w:r>
        <w:rPr>
          <w:rFonts w:ascii="宋体" w:eastAsia="宋体" w:hAnsi="宋体"/>
          <w:color w:val="000000"/>
          <w:sz w:val="24"/>
          <w:szCs w:val="24"/>
        </w:rPr>
        <w:t>2021</w:t>
      </w:r>
      <w:r>
        <w:rPr>
          <w:rFonts w:ascii="宋体" w:eastAsia="宋体" w:hAnsi="宋体" w:hint="eastAsia"/>
          <w:color w:val="000000"/>
          <w:sz w:val="24"/>
          <w:szCs w:val="24"/>
        </w:rPr>
        <w:t>年10月18日起，在本公司网上直销交易系统开通中国工商银行快捷支付业务并实施申购费率优惠活动，详情如下：</w:t>
      </w:r>
    </w:p>
    <w:p w:rsidR="002B5D56" w:rsidRDefault="002B5D56">
      <w:pPr>
        <w:spacing w:line="360" w:lineRule="auto"/>
        <w:ind w:firstLineChars="200" w:firstLine="480"/>
        <w:rPr>
          <w:rFonts w:ascii="宋体" w:eastAsia="宋体" w:hAnsi="宋体"/>
          <w:color w:val="000000"/>
          <w:sz w:val="24"/>
          <w:szCs w:val="24"/>
        </w:rPr>
      </w:pPr>
    </w:p>
    <w:p w:rsidR="002B5D56" w:rsidRDefault="005A4198">
      <w:pPr>
        <w:spacing w:line="360" w:lineRule="auto"/>
        <w:ind w:firstLineChars="200" w:firstLine="482"/>
        <w:rPr>
          <w:rFonts w:ascii="宋体" w:eastAsia="宋体" w:hAnsi="宋体"/>
          <w:b/>
          <w:color w:val="000000"/>
          <w:sz w:val="24"/>
          <w:szCs w:val="24"/>
        </w:rPr>
      </w:pPr>
      <w:r>
        <w:rPr>
          <w:rFonts w:ascii="宋体" w:eastAsia="宋体" w:hAnsi="宋体" w:hint="eastAsia"/>
          <w:b/>
          <w:color w:val="000000"/>
          <w:sz w:val="24"/>
          <w:szCs w:val="24"/>
        </w:rPr>
        <w:t>一、适用投资者范围</w:t>
      </w:r>
    </w:p>
    <w:p w:rsidR="002B5D56" w:rsidRDefault="005A4198">
      <w:pPr>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在本公司网上直销交易系统，通过中国工商银行支付渠道进行交易的投资者。</w:t>
      </w:r>
    </w:p>
    <w:p w:rsidR="00FC5768" w:rsidRDefault="00FC5768">
      <w:pPr>
        <w:spacing w:line="360" w:lineRule="auto"/>
        <w:ind w:firstLineChars="200" w:firstLine="480"/>
        <w:rPr>
          <w:rFonts w:ascii="宋体" w:eastAsia="宋体" w:hAnsi="宋体"/>
          <w:color w:val="000000"/>
          <w:sz w:val="24"/>
          <w:szCs w:val="24"/>
        </w:rPr>
      </w:pPr>
    </w:p>
    <w:p w:rsidR="002B5D56" w:rsidRDefault="005A4198">
      <w:pPr>
        <w:spacing w:line="360" w:lineRule="auto"/>
        <w:ind w:firstLineChars="200" w:firstLine="482"/>
        <w:rPr>
          <w:rFonts w:ascii="宋体" w:eastAsia="宋体" w:hAnsi="宋体"/>
          <w:b/>
          <w:color w:val="000000"/>
          <w:sz w:val="24"/>
          <w:szCs w:val="24"/>
        </w:rPr>
      </w:pPr>
      <w:r>
        <w:rPr>
          <w:rFonts w:ascii="宋体" w:eastAsia="宋体" w:hAnsi="宋体" w:hint="eastAsia"/>
          <w:b/>
          <w:color w:val="000000"/>
          <w:sz w:val="24"/>
          <w:szCs w:val="24"/>
        </w:rPr>
        <w:t>二、适用基金范围</w:t>
      </w:r>
    </w:p>
    <w:p w:rsidR="002B5D56" w:rsidRDefault="005A4198" w:rsidP="006F2786">
      <w:pPr>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本公司管理的开通网上直销交易方式的所有开放式基金</w:t>
      </w:r>
      <w:r w:rsidR="00511774">
        <w:rPr>
          <w:rFonts w:ascii="宋体" w:eastAsia="宋体" w:hAnsi="宋体" w:hint="eastAsia"/>
          <w:color w:val="000000"/>
          <w:sz w:val="24"/>
          <w:szCs w:val="24"/>
        </w:rPr>
        <w:t>。</w:t>
      </w:r>
      <w:r>
        <w:rPr>
          <w:rFonts w:ascii="宋体" w:eastAsia="宋体" w:hAnsi="宋体" w:hint="eastAsia"/>
          <w:color w:val="000000"/>
          <w:sz w:val="24"/>
          <w:szCs w:val="24"/>
        </w:rPr>
        <w:t>本公司今后发行的其他开放式基金开通网上直销交易方式的，也适用于本业务。</w:t>
      </w:r>
    </w:p>
    <w:p w:rsidR="00FC5768" w:rsidRDefault="00FC5768">
      <w:pPr>
        <w:spacing w:line="360" w:lineRule="auto"/>
        <w:ind w:firstLineChars="200" w:firstLine="480"/>
        <w:rPr>
          <w:rFonts w:ascii="宋体" w:eastAsia="宋体" w:hAnsi="宋体"/>
          <w:color w:val="000000"/>
          <w:sz w:val="24"/>
          <w:szCs w:val="24"/>
        </w:rPr>
      </w:pPr>
    </w:p>
    <w:p w:rsidR="002B5D56" w:rsidRDefault="005A4198">
      <w:pPr>
        <w:spacing w:line="360" w:lineRule="auto"/>
        <w:ind w:firstLineChars="200" w:firstLine="482"/>
        <w:rPr>
          <w:rFonts w:ascii="宋体" w:eastAsia="宋体" w:hAnsi="宋体"/>
          <w:b/>
          <w:color w:val="000000"/>
          <w:sz w:val="24"/>
          <w:szCs w:val="24"/>
        </w:rPr>
      </w:pPr>
      <w:r>
        <w:rPr>
          <w:rFonts w:ascii="宋体" w:eastAsia="宋体" w:hAnsi="宋体" w:hint="eastAsia"/>
          <w:b/>
          <w:color w:val="000000"/>
          <w:sz w:val="24"/>
          <w:szCs w:val="24"/>
        </w:rPr>
        <w:t>三、适用业务范围</w:t>
      </w:r>
    </w:p>
    <w:p w:rsidR="002B5D56" w:rsidRDefault="005A4198">
      <w:pPr>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基金开户、认购、申购、赎回、转换、定期定额投资、撤单、修改分红方式等业务。</w:t>
      </w:r>
    </w:p>
    <w:p w:rsidR="002B5D56" w:rsidRDefault="005A4198">
      <w:pPr>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个人投资者通过网上直销交易办理上述业务时，应符合有关法律法规的要求与基金合同、招募说明书及相关公告的规定。</w:t>
      </w:r>
    </w:p>
    <w:p w:rsidR="002B5D56" w:rsidRDefault="002B5D56">
      <w:pPr>
        <w:spacing w:line="360" w:lineRule="auto"/>
        <w:ind w:firstLineChars="200" w:firstLine="480"/>
        <w:rPr>
          <w:rFonts w:ascii="宋体" w:eastAsia="宋体" w:hAnsi="宋体"/>
          <w:color w:val="000000"/>
          <w:sz w:val="24"/>
          <w:szCs w:val="24"/>
        </w:rPr>
      </w:pPr>
    </w:p>
    <w:p w:rsidR="002B5D56" w:rsidRDefault="005A4198">
      <w:pPr>
        <w:spacing w:line="360" w:lineRule="auto"/>
        <w:ind w:firstLineChars="200" w:firstLine="482"/>
        <w:rPr>
          <w:rFonts w:ascii="宋体" w:eastAsia="宋体" w:hAnsi="宋体"/>
          <w:b/>
          <w:color w:val="000000"/>
          <w:sz w:val="24"/>
          <w:szCs w:val="24"/>
        </w:rPr>
      </w:pPr>
      <w:r>
        <w:rPr>
          <w:rFonts w:ascii="宋体" w:eastAsia="宋体" w:hAnsi="宋体" w:hint="eastAsia"/>
          <w:b/>
          <w:color w:val="000000"/>
          <w:sz w:val="24"/>
          <w:szCs w:val="24"/>
        </w:rPr>
        <w:t>四、业务办理流程</w:t>
      </w:r>
    </w:p>
    <w:p w:rsidR="002B5D56" w:rsidRDefault="005A4198">
      <w:pPr>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1、投资者办理业务前，须仔细阅读《</w:t>
      </w:r>
      <w:hyperlink r:id="rId7" w:tgtFrame="_blank" w:tooltip="东方阿尔法基金管理有限公司开放式基金直销网上交易业务规则" w:history="1">
        <w:r w:rsidRPr="00A47645">
          <w:rPr>
            <w:rFonts w:ascii="宋体" w:eastAsia="宋体" w:hAnsi="宋体" w:hint="eastAsia"/>
            <w:color w:val="000000"/>
            <w:sz w:val="24"/>
            <w:szCs w:val="24"/>
          </w:rPr>
          <w:t>东方阿尔法基金管理有限公司开放式基金直销网上交易业务规则</w:t>
        </w:r>
      </w:hyperlink>
      <w:r>
        <w:rPr>
          <w:rFonts w:ascii="宋体" w:eastAsia="宋体" w:hAnsi="宋体" w:hint="eastAsia"/>
          <w:color w:val="000000"/>
          <w:sz w:val="24"/>
          <w:szCs w:val="24"/>
        </w:rPr>
        <w:t>》。</w:t>
      </w:r>
    </w:p>
    <w:p w:rsidR="002B5D56" w:rsidRDefault="005A4198">
      <w:pPr>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2、投资者办理定期定额投资业务前，还请务必仔细阅读《东方阿尔法管理有限公司网上直销定期定额申购业务规则》。</w:t>
      </w:r>
    </w:p>
    <w:p w:rsidR="002B5D56" w:rsidRDefault="002B5D56">
      <w:pPr>
        <w:spacing w:line="360" w:lineRule="auto"/>
        <w:ind w:firstLineChars="200" w:firstLine="480"/>
        <w:rPr>
          <w:rFonts w:ascii="宋体" w:eastAsia="宋体" w:hAnsi="宋体"/>
          <w:color w:val="000000"/>
          <w:sz w:val="24"/>
          <w:szCs w:val="24"/>
        </w:rPr>
      </w:pPr>
    </w:p>
    <w:p w:rsidR="002B5D56" w:rsidRDefault="005A4198">
      <w:pPr>
        <w:spacing w:line="360" w:lineRule="auto"/>
        <w:ind w:firstLineChars="200" w:firstLine="482"/>
        <w:rPr>
          <w:rFonts w:ascii="宋体" w:eastAsia="宋体" w:hAnsi="宋体"/>
          <w:b/>
          <w:color w:val="000000"/>
          <w:sz w:val="24"/>
          <w:szCs w:val="24"/>
        </w:rPr>
      </w:pPr>
      <w:r>
        <w:rPr>
          <w:rFonts w:ascii="宋体" w:eastAsia="宋体" w:hAnsi="宋体" w:hint="eastAsia"/>
          <w:b/>
          <w:color w:val="000000"/>
          <w:sz w:val="24"/>
          <w:szCs w:val="24"/>
        </w:rPr>
        <w:lastRenderedPageBreak/>
        <w:t>五、申购费率及其推广活动优惠方案</w:t>
      </w:r>
    </w:p>
    <w:p w:rsidR="002B5D56" w:rsidRDefault="005A4198">
      <w:pPr>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1、自</w:t>
      </w:r>
      <w:r>
        <w:rPr>
          <w:rFonts w:ascii="宋体" w:eastAsia="宋体" w:hAnsi="宋体"/>
          <w:color w:val="000000"/>
          <w:sz w:val="24"/>
          <w:szCs w:val="24"/>
        </w:rPr>
        <w:t>2021</w:t>
      </w:r>
      <w:r>
        <w:rPr>
          <w:rFonts w:ascii="宋体" w:eastAsia="宋体" w:hAnsi="宋体" w:hint="eastAsia"/>
          <w:color w:val="000000"/>
          <w:sz w:val="24"/>
          <w:szCs w:val="24"/>
        </w:rPr>
        <w:t>年10月18日起，投资者通过中国工商银行快捷支付渠道认/申购（含定投）我司旗下基金，可享受原认/申购费率</w:t>
      </w:r>
      <w:r w:rsidR="005F11F2">
        <w:rPr>
          <w:rFonts w:ascii="宋体" w:eastAsia="宋体" w:hAnsi="宋体" w:hint="eastAsia"/>
          <w:color w:val="000000"/>
          <w:sz w:val="24"/>
          <w:szCs w:val="24"/>
        </w:rPr>
        <w:t>4</w:t>
      </w:r>
      <w:r>
        <w:rPr>
          <w:rFonts w:ascii="宋体" w:eastAsia="宋体" w:hAnsi="宋体" w:hint="eastAsia"/>
          <w:color w:val="000000"/>
          <w:sz w:val="24"/>
          <w:szCs w:val="24"/>
        </w:rPr>
        <w:t>折优惠，若优惠后的费率低于0.6%，则按0.6%执行；原认购、申购（含定投）费率等于或低于0.6%的或为固定费用的，不享受优惠，按原费率（用）执行。</w:t>
      </w:r>
    </w:p>
    <w:p w:rsidR="002B5D56" w:rsidRDefault="005A4198">
      <w:pPr>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投资者通过本公司网上直销交易系统的中国工商银行快捷支付渠道办理转换业务时，申购补差费享受</w:t>
      </w:r>
      <w:r w:rsidR="005F11F2">
        <w:rPr>
          <w:rFonts w:ascii="宋体" w:eastAsia="宋体" w:hAnsi="宋体" w:hint="eastAsia"/>
          <w:color w:val="000000"/>
          <w:sz w:val="24"/>
          <w:szCs w:val="24"/>
        </w:rPr>
        <w:t>4</w:t>
      </w:r>
      <w:r>
        <w:rPr>
          <w:rFonts w:ascii="宋体" w:eastAsia="宋体" w:hAnsi="宋体" w:hint="eastAsia"/>
          <w:color w:val="000000"/>
          <w:sz w:val="24"/>
          <w:szCs w:val="24"/>
        </w:rPr>
        <w:t>折优惠。</w:t>
      </w:r>
    </w:p>
    <w:p w:rsidR="002B5D56" w:rsidRDefault="005A4198">
      <w:pPr>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后端收费模式的费率按标准费率执行。</w:t>
      </w:r>
    </w:p>
    <w:p w:rsidR="002B5D56" w:rsidRDefault="005A4198">
      <w:pPr>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2、各基金具体申购费率和计算方法参见各基金《基金合同》、招募说明书（含更新）、基金产品资料概要及相关公告。</w:t>
      </w:r>
    </w:p>
    <w:p w:rsidR="002B5D56" w:rsidRDefault="005A4198">
      <w:pPr>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3、本公司可根据法律法规、相关基金基金合同以及招募说明书的有关规定，对上述费率及推广活动优惠方案进行调整，并依据相关法规的要求进行公告。</w:t>
      </w:r>
    </w:p>
    <w:p w:rsidR="002B5D56" w:rsidRDefault="002B5D56">
      <w:pPr>
        <w:spacing w:line="360" w:lineRule="auto"/>
        <w:ind w:firstLineChars="200" w:firstLine="480"/>
        <w:rPr>
          <w:rFonts w:ascii="宋体" w:eastAsia="宋体" w:hAnsi="宋体"/>
          <w:color w:val="000000"/>
          <w:sz w:val="24"/>
          <w:szCs w:val="24"/>
        </w:rPr>
      </w:pPr>
    </w:p>
    <w:p w:rsidR="002B5D56" w:rsidRDefault="005A4198">
      <w:pPr>
        <w:spacing w:line="360" w:lineRule="auto"/>
        <w:ind w:firstLineChars="200" w:firstLine="482"/>
        <w:rPr>
          <w:rFonts w:ascii="宋体" w:eastAsia="宋体" w:hAnsi="宋体"/>
          <w:b/>
          <w:color w:val="000000"/>
          <w:sz w:val="24"/>
          <w:szCs w:val="24"/>
        </w:rPr>
      </w:pPr>
      <w:r>
        <w:rPr>
          <w:rFonts w:ascii="宋体" w:eastAsia="宋体" w:hAnsi="宋体" w:hint="eastAsia"/>
          <w:b/>
          <w:color w:val="000000"/>
          <w:sz w:val="24"/>
          <w:szCs w:val="24"/>
        </w:rPr>
        <w:t>六、重要提示</w:t>
      </w:r>
    </w:p>
    <w:p w:rsidR="002B5D56" w:rsidRDefault="005A4198">
      <w:pPr>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1、本公告的解释权归本公司所有。</w:t>
      </w:r>
    </w:p>
    <w:p w:rsidR="002B5D56" w:rsidRDefault="005A4198">
      <w:pPr>
        <w:spacing w:line="360" w:lineRule="auto"/>
        <w:ind w:firstLineChars="200" w:firstLine="480"/>
        <w:rPr>
          <w:rFonts w:ascii="宋体" w:eastAsia="宋体" w:hAnsi="宋体"/>
          <w:color w:val="000000"/>
          <w:sz w:val="24"/>
          <w:szCs w:val="24"/>
        </w:rPr>
      </w:pPr>
      <w:r>
        <w:rPr>
          <w:rFonts w:ascii="宋体" w:eastAsia="宋体" w:hAnsi="宋体"/>
          <w:color w:val="000000"/>
          <w:sz w:val="24"/>
          <w:szCs w:val="24"/>
        </w:rPr>
        <w:t>2</w:t>
      </w:r>
      <w:r>
        <w:rPr>
          <w:rFonts w:ascii="宋体" w:eastAsia="宋体" w:hAnsi="宋体" w:hint="eastAsia"/>
          <w:color w:val="000000"/>
          <w:sz w:val="24"/>
          <w:szCs w:val="24"/>
        </w:rPr>
        <w:t>、投资者采用网上直销交易方式进行基金交易时，所发生的银行转账费用遵循谁划款谁承担的原则，即认购、申购基金时发生的银行划款手续费由投资者自行承担；赎回、分红等业务发生的汇款手续费由本公司承担。</w:t>
      </w:r>
    </w:p>
    <w:p w:rsidR="002B5D56" w:rsidRDefault="005A4198" w:rsidP="005F11F2">
      <w:pPr>
        <w:spacing w:line="360" w:lineRule="auto"/>
        <w:ind w:firstLineChars="200" w:firstLine="480"/>
        <w:rPr>
          <w:rFonts w:ascii="宋体" w:eastAsia="宋体" w:hAnsi="宋体"/>
          <w:color w:val="000000"/>
          <w:sz w:val="24"/>
          <w:szCs w:val="24"/>
        </w:rPr>
      </w:pPr>
      <w:r>
        <w:rPr>
          <w:rFonts w:ascii="宋体" w:eastAsia="宋体" w:hAnsi="宋体"/>
          <w:color w:val="000000"/>
          <w:sz w:val="24"/>
          <w:szCs w:val="24"/>
        </w:rPr>
        <w:t>3</w:t>
      </w:r>
      <w:r>
        <w:rPr>
          <w:rFonts w:ascii="宋体" w:eastAsia="宋体" w:hAnsi="宋体" w:hint="eastAsia"/>
          <w:color w:val="000000"/>
          <w:sz w:val="24"/>
          <w:szCs w:val="24"/>
        </w:rPr>
        <w:t>、本公司将根据基金网上交易业务的发展状况，适时扩大可用于基金网上交易的基金品种等，具体的调整方案将会及时公布。</w:t>
      </w:r>
    </w:p>
    <w:p w:rsidR="002B5D56" w:rsidRDefault="005A4198">
      <w:pPr>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4、投资者可通过以下途径了解或咨询详情</w:t>
      </w:r>
    </w:p>
    <w:p w:rsidR="002B5D56" w:rsidRDefault="005A4198">
      <w:pPr>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（1）东方阿尔法基金管理有限公司：网址www.dfa</w:t>
      </w:r>
      <w:r>
        <w:rPr>
          <w:rFonts w:ascii="宋体" w:eastAsia="宋体" w:hAnsi="宋体"/>
          <w:color w:val="000000"/>
          <w:sz w:val="24"/>
          <w:szCs w:val="24"/>
        </w:rPr>
        <w:t>66</w:t>
      </w:r>
      <w:r>
        <w:rPr>
          <w:rFonts w:ascii="宋体" w:eastAsia="宋体" w:hAnsi="宋体" w:hint="eastAsia"/>
          <w:color w:val="000000"/>
          <w:sz w:val="24"/>
          <w:szCs w:val="24"/>
        </w:rPr>
        <w:t>.com；客户服务电话：400-</w:t>
      </w:r>
      <w:r>
        <w:rPr>
          <w:rFonts w:ascii="宋体" w:eastAsia="宋体" w:hAnsi="宋体"/>
          <w:color w:val="000000"/>
          <w:sz w:val="24"/>
          <w:szCs w:val="24"/>
        </w:rPr>
        <w:t>930</w:t>
      </w:r>
      <w:r>
        <w:rPr>
          <w:rFonts w:ascii="宋体" w:eastAsia="宋体" w:hAnsi="宋体" w:hint="eastAsia"/>
          <w:color w:val="000000"/>
          <w:sz w:val="24"/>
          <w:szCs w:val="24"/>
        </w:rPr>
        <w:t>-6677。</w:t>
      </w:r>
    </w:p>
    <w:p w:rsidR="002B5D56" w:rsidRDefault="005A4198">
      <w:pPr>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（2）中国工商银行客服电话：</w:t>
      </w:r>
      <w:r>
        <w:rPr>
          <w:rFonts w:ascii="宋体" w:eastAsia="宋体" w:hAnsi="宋体"/>
          <w:color w:val="000000"/>
          <w:sz w:val="24"/>
          <w:szCs w:val="24"/>
        </w:rPr>
        <w:t>95588</w:t>
      </w:r>
      <w:r>
        <w:rPr>
          <w:rFonts w:ascii="宋体" w:eastAsia="宋体" w:hAnsi="宋体" w:hint="eastAsia"/>
          <w:color w:val="000000"/>
          <w:sz w:val="24"/>
          <w:szCs w:val="24"/>
        </w:rPr>
        <w:t>，网址：</w:t>
      </w:r>
      <w:r>
        <w:t>www.icbc.com.cn</w:t>
      </w:r>
      <w:r>
        <w:rPr>
          <w:rFonts w:ascii="宋体" w:eastAsia="宋体" w:hAnsi="宋体" w:hint="eastAsia"/>
          <w:color w:val="000000"/>
          <w:sz w:val="24"/>
          <w:szCs w:val="24"/>
        </w:rPr>
        <w:t>。</w:t>
      </w:r>
    </w:p>
    <w:p w:rsidR="002B5D56" w:rsidRDefault="002B5D56">
      <w:pPr>
        <w:spacing w:line="360" w:lineRule="auto"/>
        <w:ind w:firstLineChars="200" w:firstLine="480"/>
        <w:rPr>
          <w:rFonts w:ascii="宋体" w:eastAsia="宋体" w:hAnsi="宋体"/>
          <w:color w:val="000000"/>
          <w:sz w:val="24"/>
          <w:szCs w:val="24"/>
        </w:rPr>
      </w:pPr>
    </w:p>
    <w:p w:rsidR="002B5D56" w:rsidRDefault="005A4198">
      <w:pPr>
        <w:spacing w:line="360" w:lineRule="auto"/>
        <w:ind w:firstLineChars="200" w:firstLine="482"/>
        <w:rPr>
          <w:rFonts w:ascii="宋体" w:eastAsia="宋体" w:hAnsi="宋体"/>
          <w:color w:val="000000"/>
          <w:sz w:val="24"/>
          <w:szCs w:val="24"/>
        </w:rPr>
      </w:pPr>
      <w:r>
        <w:rPr>
          <w:rFonts w:ascii="宋体" w:eastAsia="宋体" w:hAnsi="宋体"/>
          <w:b/>
          <w:color w:val="000000"/>
          <w:sz w:val="24"/>
          <w:szCs w:val="24"/>
        </w:rPr>
        <w:t>风险提示</w:t>
      </w:r>
      <w:r>
        <w:rPr>
          <w:rFonts w:ascii="宋体" w:eastAsia="宋体" w:hAnsi="宋体" w:hint="eastAsia"/>
          <w:b/>
          <w:color w:val="000000"/>
          <w:sz w:val="24"/>
          <w:szCs w:val="24"/>
        </w:rPr>
        <w:t>：本公司承诺以诚实信用、勤勉尽责的原则管理和运用基金资产，但不保证基金一定盈利，也不保证最低收益。投资者办理基金网上交易前应认真阅读相关的基金合同、招募说明书（含更新）、基金产品资料概要和基金网上交易的相关业务规则和指南等相关法律文件，并确保遵循其规定。敬请投资者注意</w:t>
      </w:r>
      <w:r>
        <w:rPr>
          <w:rFonts w:ascii="宋体" w:eastAsia="宋体" w:hAnsi="宋体" w:hint="eastAsia"/>
          <w:b/>
          <w:color w:val="000000"/>
          <w:sz w:val="24"/>
          <w:szCs w:val="24"/>
        </w:rPr>
        <w:lastRenderedPageBreak/>
        <w:t>投资风险。</w:t>
      </w:r>
    </w:p>
    <w:p w:rsidR="002B5D56" w:rsidRDefault="002B5D56">
      <w:pPr>
        <w:spacing w:line="360" w:lineRule="auto"/>
        <w:ind w:firstLineChars="200" w:firstLine="480"/>
        <w:rPr>
          <w:rFonts w:ascii="宋体" w:eastAsia="宋体" w:hAnsi="宋体"/>
          <w:color w:val="000000"/>
          <w:sz w:val="24"/>
          <w:szCs w:val="24"/>
        </w:rPr>
      </w:pPr>
    </w:p>
    <w:p w:rsidR="002B5D56" w:rsidRDefault="005A4198">
      <w:pPr>
        <w:spacing w:line="360" w:lineRule="auto"/>
        <w:ind w:firstLineChars="200" w:firstLine="480"/>
        <w:jc w:val="left"/>
        <w:rPr>
          <w:rFonts w:ascii="宋体" w:eastAsia="宋体" w:hAnsi="宋体"/>
          <w:color w:val="000000"/>
          <w:sz w:val="24"/>
          <w:szCs w:val="24"/>
        </w:rPr>
      </w:pPr>
      <w:r>
        <w:rPr>
          <w:rFonts w:ascii="宋体" w:eastAsia="宋体" w:hAnsi="宋体" w:hint="eastAsia"/>
          <w:color w:val="000000"/>
          <w:sz w:val="24"/>
          <w:szCs w:val="24"/>
        </w:rPr>
        <w:t>特此公告。</w:t>
      </w:r>
    </w:p>
    <w:p w:rsidR="002B5D56" w:rsidRDefault="005A4198">
      <w:pPr>
        <w:spacing w:line="360" w:lineRule="auto"/>
        <w:ind w:firstLineChars="200" w:firstLine="480"/>
        <w:jc w:val="right"/>
        <w:rPr>
          <w:rFonts w:ascii="宋体" w:eastAsia="宋体" w:hAnsi="宋体"/>
          <w:color w:val="000000"/>
          <w:sz w:val="24"/>
          <w:szCs w:val="24"/>
        </w:rPr>
      </w:pPr>
      <w:r>
        <w:rPr>
          <w:rFonts w:ascii="宋体" w:eastAsia="宋体" w:hAnsi="宋体" w:hint="eastAsia"/>
          <w:color w:val="000000"/>
          <w:sz w:val="24"/>
          <w:szCs w:val="24"/>
        </w:rPr>
        <w:br/>
        <w:t>东方阿尔法基金管理有限公司</w:t>
      </w:r>
      <w:r>
        <w:rPr>
          <w:rFonts w:ascii="宋体" w:eastAsia="宋体" w:hAnsi="宋体" w:hint="eastAsia"/>
          <w:color w:val="000000"/>
          <w:sz w:val="24"/>
          <w:szCs w:val="24"/>
        </w:rPr>
        <w:br/>
        <w:t>2</w:t>
      </w:r>
      <w:r>
        <w:rPr>
          <w:rFonts w:ascii="宋体" w:eastAsia="宋体" w:hAnsi="宋体"/>
          <w:color w:val="000000"/>
          <w:sz w:val="24"/>
          <w:szCs w:val="24"/>
        </w:rPr>
        <w:t>021</w:t>
      </w:r>
      <w:r>
        <w:rPr>
          <w:rFonts w:ascii="宋体" w:eastAsia="宋体" w:hAnsi="宋体" w:hint="eastAsia"/>
          <w:color w:val="000000"/>
          <w:sz w:val="24"/>
          <w:szCs w:val="24"/>
        </w:rPr>
        <w:t>年10月</w:t>
      </w:r>
      <w:r w:rsidR="00F05585">
        <w:rPr>
          <w:rFonts w:ascii="宋体" w:eastAsia="宋体" w:hAnsi="宋体"/>
          <w:color w:val="000000"/>
          <w:sz w:val="24"/>
          <w:szCs w:val="24"/>
        </w:rPr>
        <w:t>12</w:t>
      </w:r>
      <w:bookmarkStart w:id="0" w:name="_GoBack"/>
      <w:bookmarkEnd w:id="0"/>
      <w:r>
        <w:rPr>
          <w:rFonts w:ascii="宋体" w:eastAsia="宋体" w:hAnsi="宋体" w:hint="eastAsia"/>
          <w:color w:val="000000"/>
          <w:sz w:val="24"/>
          <w:szCs w:val="24"/>
        </w:rPr>
        <w:t>日</w:t>
      </w:r>
    </w:p>
    <w:sectPr w:rsidR="002B5D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0C2" w:rsidRDefault="00C220C2" w:rsidP="00C65E07">
      <w:r>
        <w:separator/>
      </w:r>
    </w:p>
  </w:endnote>
  <w:endnote w:type="continuationSeparator" w:id="0">
    <w:p w:rsidR="00C220C2" w:rsidRDefault="00C220C2" w:rsidP="00C6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0C2" w:rsidRDefault="00C220C2" w:rsidP="00C65E07">
      <w:r>
        <w:separator/>
      </w:r>
    </w:p>
  </w:footnote>
  <w:footnote w:type="continuationSeparator" w:id="0">
    <w:p w:rsidR="00C220C2" w:rsidRDefault="00C220C2" w:rsidP="00C65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AF6"/>
    <w:rsid w:val="00175547"/>
    <w:rsid w:val="001A116C"/>
    <w:rsid w:val="001A71E0"/>
    <w:rsid w:val="001D0F4E"/>
    <w:rsid w:val="001E61A6"/>
    <w:rsid w:val="002B5D56"/>
    <w:rsid w:val="002F3536"/>
    <w:rsid w:val="00311658"/>
    <w:rsid w:val="003775C5"/>
    <w:rsid w:val="003F78C7"/>
    <w:rsid w:val="00454794"/>
    <w:rsid w:val="004639D9"/>
    <w:rsid w:val="00473B23"/>
    <w:rsid w:val="00482427"/>
    <w:rsid w:val="004E38C7"/>
    <w:rsid w:val="00511774"/>
    <w:rsid w:val="00522EF8"/>
    <w:rsid w:val="005A4198"/>
    <w:rsid w:val="005F11F2"/>
    <w:rsid w:val="00662012"/>
    <w:rsid w:val="006C11D7"/>
    <w:rsid w:val="006F2786"/>
    <w:rsid w:val="007D3E3E"/>
    <w:rsid w:val="008A3133"/>
    <w:rsid w:val="008E2ADA"/>
    <w:rsid w:val="008E4DBF"/>
    <w:rsid w:val="009078CE"/>
    <w:rsid w:val="0092267E"/>
    <w:rsid w:val="00931458"/>
    <w:rsid w:val="009D7AF6"/>
    <w:rsid w:val="009F22B8"/>
    <w:rsid w:val="00A105B0"/>
    <w:rsid w:val="00A47645"/>
    <w:rsid w:val="00A634F9"/>
    <w:rsid w:val="00A719EE"/>
    <w:rsid w:val="00AB1353"/>
    <w:rsid w:val="00AC58B3"/>
    <w:rsid w:val="00B41207"/>
    <w:rsid w:val="00B639B1"/>
    <w:rsid w:val="00B66C76"/>
    <w:rsid w:val="00B67DF3"/>
    <w:rsid w:val="00B85089"/>
    <w:rsid w:val="00BC6BE7"/>
    <w:rsid w:val="00BC750D"/>
    <w:rsid w:val="00BD10C8"/>
    <w:rsid w:val="00C14679"/>
    <w:rsid w:val="00C220C2"/>
    <w:rsid w:val="00C34D57"/>
    <w:rsid w:val="00C65E07"/>
    <w:rsid w:val="00CD50CE"/>
    <w:rsid w:val="00CE3BD0"/>
    <w:rsid w:val="00D11358"/>
    <w:rsid w:val="00E219E9"/>
    <w:rsid w:val="00E438F7"/>
    <w:rsid w:val="00E45584"/>
    <w:rsid w:val="00F05585"/>
    <w:rsid w:val="00F6113D"/>
    <w:rsid w:val="00FC5768"/>
    <w:rsid w:val="6D6D0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6A32E5-DA32-4613-A5C9-B887041C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Hyperlink"/>
    <w:basedOn w:val="a0"/>
    <w:uiPriority w:val="99"/>
    <w:unhideWhenUsed/>
    <w:qFormat/>
    <w:rPr>
      <w:color w:val="0563C1" w:themeColor="hyperlink"/>
      <w:u w:val="single"/>
    </w:rPr>
  </w:style>
  <w:style w:type="character" w:styleId="a9">
    <w:name w:val="annotation reference"/>
    <w:basedOn w:val="a0"/>
    <w:uiPriority w:val="99"/>
    <w:semiHidden/>
    <w:unhideWhenUsed/>
    <w:qFormat/>
    <w:rPr>
      <w:sz w:val="21"/>
      <w:szCs w:val="21"/>
    </w:rPr>
  </w:style>
  <w:style w:type="character" w:customStyle="1" w:styleId="Char">
    <w:name w:val="批注文字 Char"/>
    <w:basedOn w:val="a0"/>
    <w:link w:val="a3"/>
    <w:uiPriority w:val="99"/>
    <w:semiHidden/>
    <w:qFormat/>
  </w:style>
  <w:style w:type="character" w:customStyle="1" w:styleId="Char3">
    <w:name w:val="批注主题 Char"/>
    <w:basedOn w:val="Char"/>
    <w:link w:val="a7"/>
    <w:uiPriority w:val="99"/>
    <w:semiHidden/>
    <w:qFormat/>
    <w:rPr>
      <w:b/>
      <w:bCs/>
    </w:rPr>
  </w:style>
  <w:style w:type="character" w:customStyle="1" w:styleId="Char0">
    <w:name w:val="批注框文本 Char"/>
    <w:basedOn w:val="a0"/>
    <w:link w:val="a4"/>
    <w:uiPriority w:val="99"/>
    <w:semiHidden/>
    <w:qFormat/>
    <w:rPr>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fa66.com/dfaets/contents/2020/4/14-56435e4629ec4b4780a0535684f7be11.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3</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王洁琼</dc:creator>
  <cp:lastModifiedBy>戴聪子</cp:lastModifiedBy>
  <cp:revision>26</cp:revision>
  <dcterms:created xsi:type="dcterms:W3CDTF">2021-09-07T09:53:00Z</dcterms:created>
  <dcterms:modified xsi:type="dcterms:W3CDTF">2021-10-11T05:04:00Z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87D00372479F4303827727603287A82B</vt:lpwstr>
  </property>
</Properties>
</file>