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PWMQ6GQ79TQ0TBG9GR8KL0J7NM0OYYREE0XXJDTXFGRTQ5TZ0BRVC0HFYRTPFRRBOM69OZ8ZI7D8MJJRUFTKFFZ8RF0WL5B8SODQHB3862513FD1099636C7A7602A298589030" Type="http://schemas.microsoft.com/office/2006/relationships/officeDocumentMain" Target="docProps/core.xml"/><Relationship Id="rId1" Type="http://schemas.openxmlformats.org/officeDocument/2006/relationships/officeDocument" Target="word/document.xml"/><Relationship Id="DQWMP6GK79TQ069GQKR80L0S7N80OXYREJ06WJEEXGH8TQWTZDBJIC0IFY9TP88RBEM6COLIZI678IJJQUFT6FFX89CMWOLBAEOOQHB3FE864D6057FCFED21ACA8AA3F4153E39"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E1696" w14:textId="77777777" w:rsidR="003557EA" w:rsidRDefault="008369F2">
      <w:pPr>
        <w:jc w:val="center"/>
        <w:rPr>
          <w:rFonts w:ascii="黑体" w:eastAsia="黑体" w:hAnsi="黑体" w:cs="Times New Roman"/>
          <w:sz w:val="32"/>
          <w:szCs w:val="44"/>
        </w:rPr>
      </w:pPr>
      <w:r>
        <w:rPr>
          <w:rFonts w:ascii="黑体" w:eastAsia="黑体" w:hAnsi="黑体" w:cs="Times New Roman" w:hint="eastAsia"/>
          <w:sz w:val="32"/>
          <w:szCs w:val="44"/>
        </w:rPr>
        <w:t>东方</w:t>
      </w:r>
      <w:r>
        <w:rPr>
          <w:rFonts w:ascii="黑体" w:eastAsia="黑体" w:hAnsi="黑体" w:cs="Times New Roman"/>
          <w:sz w:val="32"/>
          <w:szCs w:val="44"/>
        </w:rPr>
        <w:t>阿尔法</w:t>
      </w:r>
      <w:r>
        <w:rPr>
          <w:rFonts w:ascii="黑体" w:eastAsia="黑体" w:hAnsi="黑体" w:cs="Times New Roman" w:hint="eastAsia"/>
          <w:sz w:val="32"/>
          <w:szCs w:val="44"/>
        </w:rPr>
        <w:t>优选</w:t>
      </w:r>
      <w:r>
        <w:rPr>
          <w:rFonts w:ascii="黑体" w:eastAsia="黑体" w:hAnsi="黑体" w:cs="Times New Roman"/>
          <w:sz w:val="32"/>
          <w:szCs w:val="44"/>
        </w:rPr>
        <w:t>混合型发起式证券投资基金（</w:t>
      </w:r>
      <w:r>
        <w:rPr>
          <w:rFonts w:ascii="黑体" w:eastAsia="黑体" w:hAnsi="黑体" w:cs="Times New Roman"/>
          <w:sz w:val="32"/>
          <w:szCs w:val="44"/>
        </w:rPr>
        <w:t>C</w:t>
      </w:r>
      <w:r>
        <w:rPr>
          <w:rFonts w:ascii="黑体" w:eastAsia="黑体" w:hAnsi="黑体" w:cs="Times New Roman"/>
          <w:sz w:val="32"/>
          <w:szCs w:val="44"/>
        </w:rPr>
        <w:t>类份额）</w:t>
      </w:r>
    </w:p>
    <w:p w14:paraId="73C568E2" w14:textId="77777777" w:rsidR="003557EA" w:rsidRDefault="008369F2">
      <w:pPr>
        <w:jc w:val="center"/>
        <w:rPr>
          <w:rFonts w:ascii="黑体" w:eastAsia="黑体" w:hAnsi="黑体" w:cs="Times New Roman"/>
          <w:sz w:val="32"/>
          <w:szCs w:val="44"/>
        </w:rPr>
      </w:pPr>
      <w:r>
        <w:rPr>
          <w:rFonts w:ascii="黑体" w:eastAsia="黑体" w:hAnsi="黑体" w:cs="Times New Roman"/>
          <w:sz w:val="32"/>
          <w:szCs w:val="44"/>
        </w:rPr>
        <w:t>基金产品资料概要</w:t>
      </w:r>
      <w:r>
        <w:rPr>
          <w:rFonts w:ascii="黑体" w:eastAsia="黑体" w:hAnsi="黑体" w:cs="Times New Roman" w:hint="eastAsia"/>
          <w:sz w:val="32"/>
          <w:szCs w:val="44"/>
        </w:rPr>
        <w:t>更新</w:t>
      </w:r>
    </w:p>
    <w:p w14:paraId="7755919F" w14:textId="77777777" w:rsidR="003557EA" w:rsidRDefault="008369F2">
      <w:pPr>
        <w:spacing w:afterLines="50" w:after="156"/>
        <w:jc w:val="right"/>
        <w:rPr>
          <w:rFonts w:asciiTheme="minorEastAsia" w:hAnsiTheme="minorEastAsia"/>
        </w:rPr>
      </w:pPr>
      <w:r>
        <w:rPr>
          <w:rFonts w:asciiTheme="minorEastAsia" w:hAnsiTheme="minorEastAsia" w:hint="eastAsia"/>
        </w:rPr>
        <w:t>编制日期：</w:t>
      </w:r>
      <w:r>
        <w:rPr>
          <w:rFonts w:asciiTheme="minorEastAsia" w:hAnsiTheme="minorEastAsia" w:hint="eastAsia"/>
        </w:rPr>
        <w:t>2</w:t>
      </w:r>
      <w:r>
        <w:rPr>
          <w:rFonts w:asciiTheme="minorEastAsia" w:hAnsiTheme="minorEastAsia"/>
        </w:rPr>
        <w:t>021</w:t>
      </w:r>
      <w:r>
        <w:rPr>
          <w:rFonts w:asciiTheme="minorEastAsia" w:hAnsiTheme="minorEastAsia" w:hint="eastAsia"/>
        </w:rPr>
        <w:t>年</w:t>
      </w:r>
      <w:r>
        <w:rPr>
          <w:rFonts w:asciiTheme="minorEastAsia" w:hAnsiTheme="minorEastAsia"/>
        </w:rPr>
        <w:t>12</w:t>
      </w:r>
      <w:r>
        <w:rPr>
          <w:rFonts w:asciiTheme="minorEastAsia" w:hAnsiTheme="minorEastAsia" w:hint="eastAsia"/>
        </w:rPr>
        <w:t>月</w:t>
      </w:r>
      <w:r>
        <w:rPr>
          <w:rFonts w:asciiTheme="minorEastAsia" w:hAnsiTheme="minorEastAsia"/>
        </w:rPr>
        <w:t>7</w:t>
      </w:r>
      <w:r>
        <w:rPr>
          <w:rFonts w:asciiTheme="minorEastAsia" w:hAnsiTheme="minorEastAsia" w:hint="eastAsia"/>
        </w:rPr>
        <w:t>日</w:t>
      </w:r>
    </w:p>
    <w:p w14:paraId="28C073C7" w14:textId="77777777" w:rsidR="003557EA" w:rsidRDefault="008369F2">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107EF85B" w14:textId="77777777" w:rsidR="003557EA" w:rsidRDefault="008369F2">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720A6949" w14:textId="77777777" w:rsidR="003557EA" w:rsidRDefault="008369F2">
                            <w:pPr>
                              <w:spacing w:afterLines="10" w:after="31"/>
                              <w:jc w:val="distribute"/>
                              <w:rPr>
                                <w:rFonts w:asciiTheme="minorEastAsia" w:hAnsiTheme="minorEastAsia"/>
                                <w:b/>
                                <w:sz w:val="28"/>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VbBE9kA&#10;AAAJAQAADwAAAAAAAAABACAAAAAiAAAAZHJzL2Rvd25yZXYueG1sUEsBAhQAFAAAAAgAh07iQHt1&#10;ZeceAgAABwQAAA4AAAAAAAAAAQAgAAAAKAEAAGRycy9lMm9Eb2MueG1sUEsFBgAAAAAGAAYAWQEA&#10;ALgFA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w:t>
      </w:r>
      <w:r>
        <w:rPr>
          <w:rFonts w:asciiTheme="minorEastAsia" w:hAnsiTheme="minorEastAsia"/>
        </w:rPr>
        <w:t>2021</w:t>
      </w:r>
      <w:r>
        <w:rPr>
          <w:rFonts w:asciiTheme="minorEastAsia" w:hAnsiTheme="minorEastAsia"/>
        </w:rPr>
        <w:t>年</w:t>
      </w:r>
      <w:r>
        <w:rPr>
          <w:rFonts w:asciiTheme="minorEastAsia" w:hAnsiTheme="minorEastAsia"/>
        </w:rPr>
        <w:t>12</w:t>
      </w:r>
      <w:r>
        <w:rPr>
          <w:rFonts w:asciiTheme="minorEastAsia" w:hAnsiTheme="minorEastAsia"/>
        </w:rPr>
        <w:t>月</w:t>
      </w:r>
      <w:r>
        <w:rPr>
          <w:rFonts w:asciiTheme="minorEastAsia" w:hAnsiTheme="minorEastAsia"/>
        </w:rPr>
        <w:t>9</w:t>
      </w:r>
      <w:r>
        <w:rPr>
          <w:rFonts w:asciiTheme="minorEastAsia" w:hAnsiTheme="minorEastAsia"/>
        </w:rPr>
        <w:t>日</w:t>
      </w:r>
    </w:p>
    <w:p w14:paraId="1476187F" w14:textId="77777777" w:rsidR="003557EA" w:rsidRDefault="003557EA">
      <w:pPr>
        <w:spacing w:afterLines="50" w:after="156"/>
        <w:jc w:val="right"/>
        <w:rPr>
          <w:rFonts w:ascii="华文仿宋" w:eastAsia="华文仿宋" w:hAnsi="华文仿宋"/>
        </w:rPr>
      </w:pPr>
    </w:p>
    <w:p w14:paraId="11968719" w14:textId="77777777" w:rsidR="003557EA" w:rsidRDefault="003557EA">
      <w:pPr>
        <w:spacing w:afterLines="50" w:after="156"/>
        <w:ind w:right="840"/>
      </w:pPr>
    </w:p>
    <w:p w14:paraId="56C97E15" w14:textId="77777777" w:rsidR="003557EA" w:rsidRDefault="008369F2">
      <w:pPr>
        <w:rPr>
          <w:rStyle w:val="1"/>
          <w:rFonts w:asciiTheme="minorEastAsia" w:hAnsiTheme="minorEastAsia"/>
          <w:b/>
          <w:i w:val="0"/>
          <w:color w:val="auto"/>
          <w:szCs w:val="21"/>
          <w14:textFill>
            <w14:solidFill>
              <w14:srgbClr w14:val="000000">
                <w14:lumMod w14:val="75000"/>
                <w14:lumOff w14:val="25000"/>
              </w14:srgbClr>
            </w14:solidFill>
          </w14:textFill>
        </w:rPr>
      </w:pPr>
      <w:r>
        <w:rPr>
          <w:rStyle w:val="1"/>
          <w:rFonts w:asciiTheme="minorEastAsia" w:hAnsiTheme="minorEastAsia" w:hint="eastAsia"/>
          <w:b/>
          <w:i w:val="0"/>
          <w:color w:val="auto"/>
          <w:szCs w:val="21"/>
          <w14:textFill>
            <w14:solidFill>
              <w14:srgbClr w14:val="000000">
                <w14:lumMod w14:val="75000"/>
                <w14:lumOff w14:val="25000"/>
              </w14:srgbClr>
            </w14:solidFill>
          </w14:textFill>
        </w:rPr>
        <w:t>一、产品概况</w:t>
      </w:r>
    </w:p>
    <w:tbl>
      <w:tblPr>
        <w:tblStyle w:val="a9"/>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3557EA" w14:paraId="4F180ABC" w14:textId="77777777">
        <w:trPr>
          <w:trHeight w:val="20"/>
        </w:trPr>
        <w:tc>
          <w:tcPr>
            <w:tcW w:w="1985" w:type="dxa"/>
          </w:tcPr>
          <w:p w14:paraId="0AF6C7B8"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14:paraId="38589A63"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优选</w:t>
            </w:r>
            <w:r>
              <w:rPr>
                <w:rFonts w:asciiTheme="minorEastAsia" w:hAnsiTheme="minorEastAsia"/>
                <w:szCs w:val="21"/>
              </w:rPr>
              <w:t>混合</w:t>
            </w:r>
          </w:p>
        </w:tc>
        <w:tc>
          <w:tcPr>
            <w:tcW w:w="2551" w:type="dxa"/>
          </w:tcPr>
          <w:p w14:paraId="3A2798D0"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410" w:type="dxa"/>
          </w:tcPr>
          <w:p w14:paraId="1C1E3D08"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007518</w:t>
            </w:r>
          </w:p>
        </w:tc>
      </w:tr>
      <w:tr w:rsidR="003557EA" w14:paraId="0FC5F689" w14:textId="77777777">
        <w:trPr>
          <w:trHeight w:val="20"/>
        </w:trPr>
        <w:tc>
          <w:tcPr>
            <w:tcW w:w="1985" w:type="dxa"/>
          </w:tcPr>
          <w:p w14:paraId="6860BC4A"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14:paraId="62245599"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szCs w:val="21"/>
              </w:rPr>
              <w:t>东方阿尔法优选混合</w:t>
            </w:r>
            <w:r>
              <w:rPr>
                <w:rFonts w:asciiTheme="minorEastAsia" w:hAnsiTheme="minorEastAsia"/>
                <w:szCs w:val="21"/>
              </w:rPr>
              <w:t>C</w:t>
            </w:r>
          </w:p>
        </w:tc>
        <w:tc>
          <w:tcPr>
            <w:tcW w:w="2551" w:type="dxa"/>
          </w:tcPr>
          <w:p w14:paraId="26F4ABF2"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410" w:type="dxa"/>
          </w:tcPr>
          <w:p w14:paraId="137522D5" w14:textId="77777777" w:rsidR="003557EA" w:rsidRDefault="008369F2">
            <w:pPr>
              <w:pStyle w:val="ad"/>
              <w:spacing w:line="360" w:lineRule="exact"/>
              <w:ind w:firstLineChars="0" w:firstLine="0"/>
              <w:rPr>
                <w:rFonts w:asciiTheme="minorEastAsia" w:hAnsiTheme="minorEastAsia"/>
                <w:szCs w:val="21"/>
                <w:highlight w:val="yellow"/>
              </w:rPr>
            </w:pPr>
            <w:r>
              <w:rPr>
                <w:rFonts w:asciiTheme="minorEastAsia" w:hAnsiTheme="minorEastAsia"/>
                <w:szCs w:val="21"/>
              </w:rPr>
              <w:t>007519</w:t>
            </w:r>
          </w:p>
        </w:tc>
      </w:tr>
      <w:tr w:rsidR="003557EA" w14:paraId="55DEF185" w14:textId="77777777">
        <w:trPr>
          <w:trHeight w:val="20"/>
        </w:trPr>
        <w:tc>
          <w:tcPr>
            <w:tcW w:w="1985" w:type="dxa"/>
          </w:tcPr>
          <w:p w14:paraId="388F9F3E"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Pr>
          <w:p w14:paraId="78DCCD36"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14:paraId="49B97997"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410" w:type="dxa"/>
            <w:tcBorders>
              <w:bottom w:val="single" w:sz="4" w:space="0" w:color="auto"/>
            </w:tcBorders>
          </w:tcPr>
          <w:p w14:paraId="6B7A8220"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3557EA" w14:paraId="4AF336A0" w14:textId="77777777">
        <w:trPr>
          <w:trHeight w:val="20"/>
        </w:trPr>
        <w:tc>
          <w:tcPr>
            <w:tcW w:w="1985" w:type="dxa"/>
          </w:tcPr>
          <w:p w14:paraId="64E46ABC"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14:paraId="29DF8BF5"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年</w:t>
            </w:r>
            <w:r>
              <w:rPr>
                <w:rFonts w:asciiTheme="minorEastAsia" w:hAnsiTheme="minorEastAsia"/>
                <w:szCs w:val="21"/>
              </w:rPr>
              <w:t>9</w:t>
            </w:r>
            <w:r>
              <w:rPr>
                <w:rFonts w:asciiTheme="minorEastAsia" w:hAnsiTheme="minorEastAsia" w:hint="eastAsia"/>
                <w:szCs w:val="21"/>
              </w:rPr>
              <w:t>月</w:t>
            </w:r>
            <w:r>
              <w:rPr>
                <w:rFonts w:asciiTheme="minorEastAsia" w:hAnsiTheme="minorEastAsia"/>
                <w:szCs w:val="21"/>
              </w:rPr>
              <w:t>12</w:t>
            </w:r>
            <w:r>
              <w:rPr>
                <w:rFonts w:asciiTheme="minorEastAsia" w:hAnsiTheme="minorEastAsia" w:hint="eastAsia"/>
                <w:szCs w:val="21"/>
              </w:rPr>
              <w:t>日</w:t>
            </w:r>
          </w:p>
        </w:tc>
        <w:tc>
          <w:tcPr>
            <w:tcW w:w="2551" w:type="dxa"/>
            <w:tcBorders>
              <w:left w:val="nil"/>
              <w:right w:val="nil"/>
            </w:tcBorders>
          </w:tcPr>
          <w:p w14:paraId="000911CC"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410" w:type="dxa"/>
            <w:tcBorders>
              <w:left w:val="nil"/>
            </w:tcBorders>
          </w:tcPr>
          <w:p w14:paraId="76FC5FC6"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3557EA" w14:paraId="0723A6A8" w14:textId="77777777">
        <w:trPr>
          <w:trHeight w:val="20"/>
        </w:trPr>
        <w:tc>
          <w:tcPr>
            <w:tcW w:w="1985" w:type="dxa"/>
          </w:tcPr>
          <w:p w14:paraId="6F837DCD"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14:paraId="227E0DF9"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14:paraId="58EABD88"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410" w:type="dxa"/>
            <w:tcBorders>
              <w:left w:val="nil"/>
            </w:tcBorders>
          </w:tcPr>
          <w:p w14:paraId="4075ED76"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3557EA" w14:paraId="1AC33F70" w14:textId="77777777">
        <w:trPr>
          <w:trHeight w:val="20"/>
        </w:trPr>
        <w:tc>
          <w:tcPr>
            <w:tcW w:w="1985" w:type="dxa"/>
          </w:tcPr>
          <w:p w14:paraId="7DBD25E3"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14:paraId="5C6371C5"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14:paraId="6E107997"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410" w:type="dxa"/>
          </w:tcPr>
          <w:p w14:paraId="09158CB2"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3557EA" w14:paraId="7A509237" w14:textId="77777777">
        <w:trPr>
          <w:trHeight w:val="20"/>
        </w:trPr>
        <w:tc>
          <w:tcPr>
            <w:tcW w:w="1985" w:type="dxa"/>
            <w:vMerge w:val="restart"/>
            <w:vAlign w:val="center"/>
          </w:tcPr>
          <w:p w14:paraId="4F657D0F" w14:textId="77777777" w:rsidR="003557EA" w:rsidRDefault="008369F2">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14:paraId="037B8C55" w14:textId="77777777" w:rsidR="003557EA" w:rsidRDefault="008369F2">
            <w:pPr>
              <w:pStyle w:val="ad"/>
              <w:spacing w:line="360" w:lineRule="exact"/>
              <w:ind w:firstLineChars="0" w:firstLine="0"/>
              <w:jc w:val="left"/>
              <w:rPr>
                <w:rFonts w:asciiTheme="minorEastAsia" w:hAnsiTheme="minorEastAsia"/>
                <w:szCs w:val="21"/>
              </w:rPr>
            </w:pPr>
            <w:r>
              <w:rPr>
                <w:rFonts w:asciiTheme="minorEastAsia" w:hAnsiTheme="minorEastAsia"/>
                <w:szCs w:val="21"/>
              </w:rPr>
              <w:t>乔春</w:t>
            </w:r>
          </w:p>
        </w:tc>
        <w:tc>
          <w:tcPr>
            <w:tcW w:w="2551" w:type="dxa"/>
          </w:tcPr>
          <w:p w14:paraId="35C3513A"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开始担任本基金基金经理的日期</w:t>
            </w:r>
          </w:p>
        </w:tc>
        <w:tc>
          <w:tcPr>
            <w:tcW w:w="2410" w:type="dxa"/>
          </w:tcPr>
          <w:p w14:paraId="210FE854"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2021-08-25</w:t>
            </w:r>
          </w:p>
        </w:tc>
      </w:tr>
      <w:tr w:rsidR="003557EA" w14:paraId="5C589EA3" w14:textId="77777777">
        <w:trPr>
          <w:trHeight w:val="20"/>
        </w:trPr>
        <w:tc>
          <w:tcPr>
            <w:tcW w:w="1985" w:type="dxa"/>
            <w:vMerge/>
          </w:tcPr>
          <w:p w14:paraId="00062E90" w14:textId="77777777" w:rsidR="003557EA" w:rsidRDefault="003557EA">
            <w:pPr>
              <w:pStyle w:val="ad"/>
              <w:spacing w:line="360" w:lineRule="exact"/>
              <w:ind w:firstLineChars="0" w:firstLine="0"/>
              <w:rPr>
                <w:rFonts w:asciiTheme="minorEastAsia" w:hAnsiTheme="minorEastAsia"/>
                <w:b/>
                <w:szCs w:val="21"/>
              </w:rPr>
            </w:pPr>
          </w:p>
        </w:tc>
        <w:tc>
          <w:tcPr>
            <w:tcW w:w="2977" w:type="dxa"/>
            <w:vMerge/>
          </w:tcPr>
          <w:p w14:paraId="0834F10E" w14:textId="77777777" w:rsidR="003557EA" w:rsidRDefault="003557EA">
            <w:pPr>
              <w:pStyle w:val="ad"/>
              <w:spacing w:line="360" w:lineRule="exact"/>
              <w:ind w:firstLineChars="0" w:firstLine="0"/>
              <w:rPr>
                <w:rFonts w:asciiTheme="minorEastAsia" w:hAnsiTheme="minorEastAsia"/>
                <w:b/>
                <w:szCs w:val="21"/>
              </w:rPr>
            </w:pPr>
          </w:p>
        </w:tc>
        <w:tc>
          <w:tcPr>
            <w:tcW w:w="2551" w:type="dxa"/>
          </w:tcPr>
          <w:p w14:paraId="7210560A" w14:textId="77777777"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410" w:type="dxa"/>
          </w:tcPr>
          <w:p w14:paraId="77C1AEB7" w14:textId="77777777"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14:paraId="4ECAAC4E" w14:textId="77777777" w:rsidR="003557EA" w:rsidRDefault="003557EA">
      <w:pPr>
        <w:spacing w:line="340" w:lineRule="exact"/>
        <w:rPr>
          <w:rFonts w:asciiTheme="minorEastAsia" w:hAnsiTheme="minorEastAsia"/>
          <w:b/>
          <w:szCs w:val="21"/>
        </w:rPr>
      </w:pPr>
    </w:p>
    <w:p w14:paraId="5041050D" w14:textId="77777777" w:rsidR="003557EA" w:rsidRDefault="008369F2">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14:paraId="696B9FF5" w14:textId="77777777" w:rsidR="003557EA" w:rsidRDefault="008369F2">
      <w:pPr>
        <w:spacing w:line="340" w:lineRule="exact"/>
        <w:rPr>
          <w:rFonts w:asciiTheme="minorEastAsia" w:hAnsiTheme="minorEastAsia"/>
          <w:b/>
          <w:szCs w:val="21"/>
        </w:rPr>
      </w:pPr>
      <w:r>
        <w:rPr>
          <w:rFonts w:asciiTheme="minorEastAsia" w:hAnsiTheme="minorEastAsia" w:hint="eastAsia"/>
          <w:b/>
          <w:szCs w:val="21"/>
        </w:rPr>
        <w:t>（一）投资目标与投资策略</w:t>
      </w:r>
    </w:p>
    <w:p w14:paraId="60E46AD8" w14:textId="77777777" w:rsidR="003557EA" w:rsidRDefault="008369F2">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3557EA" w14:paraId="4BAFCD11" w14:textId="77777777">
        <w:tc>
          <w:tcPr>
            <w:tcW w:w="1940" w:type="dxa"/>
          </w:tcPr>
          <w:p w14:paraId="35E3CF70" w14:textId="77777777" w:rsidR="003557EA" w:rsidRDefault="008369F2">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14:paraId="7F99D5E6" w14:textId="77777777"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在严格控制风险的基础之上，通过深入研究、优选个股、主动的投资管理方式力求实现组合资产的稳健增值。</w:t>
            </w:r>
          </w:p>
        </w:tc>
      </w:tr>
      <w:tr w:rsidR="003557EA" w14:paraId="4DA365B8" w14:textId="77777777">
        <w:tc>
          <w:tcPr>
            <w:tcW w:w="1940" w:type="dxa"/>
          </w:tcPr>
          <w:p w14:paraId="325AF066" w14:textId="77777777" w:rsidR="003557EA" w:rsidRDefault="008369F2">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14:paraId="65C5501F" w14:textId="77777777"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w:t>
            </w:r>
            <w:r>
              <w:rPr>
                <w:rFonts w:asciiTheme="minorEastAsia" w:hAnsiTheme="minorEastAsia" w:hint="eastAsia"/>
                <w:bCs/>
                <w:szCs w:val="21"/>
              </w:rPr>
              <w:t>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5D9F91A6" w14:textId="77777777"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w:t>
            </w:r>
            <w:r>
              <w:rPr>
                <w:rFonts w:asciiTheme="minorEastAsia" w:hAnsiTheme="minorEastAsia" w:hint="eastAsia"/>
                <w:bCs/>
                <w:szCs w:val="21"/>
              </w:rPr>
              <w:t>60%-95%</w:t>
            </w:r>
            <w:r>
              <w:rPr>
                <w:rFonts w:asciiTheme="minorEastAsia" w:hAnsiTheme="minorEastAsia" w:hint="eastAsia"/>
                <w:bCs/>
                <w:szCs w:val="21"/>
              </w:rPr>
              <w:t>；其中对港股通标的股票（包括沪港通股票及深港通股票）的投资比例不超过股票资产的</w:t>
            </w:r>
            <w:r>
              <w:rPr>
                <w:rFonts w:asciiTheme="minorEastAsia" w:hAnsiTheme="minorEastAsia" w:hint="eastAsia"/>
                <w:bCs/>
                <w:szCs w:val="21"/>
              </w:rPr>
              <w:t>50%</w:t>
            </w:r>
            <w:r>
              <w:rPr>
                <w:rFonts w:asciiTheme="minorEastAsia" w:hAnsiTheme="minorEastAsia" w:hint="eastAsia"/>
                <w:bCs/>
                <w:szCs w:val="21"/>
              </w:rPr>
              <w:t>。本基金每个交易日日终在扣除股指期货及国债期货合约需缴纳的交易保证金后，保持现金或者到期日在一年以内的政府债券投资比例</w:t>
            </w:r>
            <w:r>
              <w:rPr>
                <w:rFonts w:asciiTheme="minorEastAsia" w:hAnsiTheme="minorEastAsia" w:hint="eastAsia"/>
                <w:bCs/>
                <w:szCs w:val="21"/>
              </w:rPr>
              <w:t>合计不低于基金资产净值的</w:t>
            </w:r>
            <w:r>
              <w:rPr>
                <w:rFonts w:asciiTheme="minorEastAsia" w:hAnsiTheme="minorEastAsia" w:hint="eastAsia"/>
                <w:bCs/>
                <w:szCs w:val="21"/>
              </w:rPr>
              <w:t>5%</w:t>
            </w:r>
            <w:r>
              <w:rPr>
                <w:rFonts w:asciiTheme="minorEastAsia" w:hAnsiTheme="minorEastAsia" w:hint="eastAsia"/>
                <w:bCs/>
                <w:szCs w:val="21"/>
              </w:rPr>
              <w:t>，其中现金不包括结算备付金、存出保证金、应收申购款等。</w:t>
            </w:r>
          </w:p>
        </w:tc>
      </w:tr>
      <w:tr w:rsidR="003557EA" w14:paraId="03C83379" w14:textId="77777777">
        <w:tc>
          <w:tcPr>
            <w:tcW w:w="1940" w:type="dxa"/>
          </w:tcPr>
          <w:p w14:paraId="10822A93" w14:textId="77777777" w:rsidR="003557EA" w:rsidRDefault="008369F2">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14:paraId="6CA7FE00" w14:textId="77777777"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asciiTheme="minorEastAsia" w:hAnsiTheme="minorEastAsia"/>
                <w:bCs/>
                <w:szCs w:val="21"/>
              </w:rPr>
              <w:t>恢复</w:t>
            </w:r>
            <w:r>
              <w:rPr>
                <w:rFonts w:asciiTheme="minorEastAsia" w:hAnsiTheme="minorEastAsia" w:hint="eastAsia"/>
                <w:bCs/>
                <w:szCs w:val="21"/>
              </w:rPr>
              <w:t>到合理价值的过程中，分享股价提升带来的超额收益。</w:t>
            </w:r>
          </w:p>
        </w:tc>
      </w:tr>
      <w:tr w:rsidR="003557EA" w14:paraId="628B51D0" w14:textId="77777777">
        <w:tc>
          <w:tcPr>
            <w:tcW w:w="1940" w:type="dxa"/>
          </w:tcPr>
          <w:p w14:paraId="326B6AF8" w14:textId="77777777" w:rsidR="003557EA" w:rsidRDefault="008369F2">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14:paraId="5DF386E8" w14:textId="77777777" w:rsidR="003557EA" w:rsidRDefault="008369F2">
            <w:pPr>
              <w:spacing w:line="360" w:lineRule="exact"/>
              <w:rPr>
                <w:rFonts w:asciiTheme="minorEastAsia" w:hAnsiTheme="minorEastAsia"/>
                <w:szCs w:val="21"/>
              </w:rPr>
            </w:pPr>
            <w:r>
              <w:rPr>
                <w:rFonts w:asciiTheme="minorEastAsia" w:hAnsiTheme="minorEastAsia" w:hint="eastAsia"/>
                <w:bCs/>
                <w:szCs w:val="21"/>
              </w:rPr>
              <w:t>中证</w:t>
            </w:r>
            <w:r>
              <w:rPr>
                <w:rFonts w:asciiTheme="minorEastAsia" w:hAnsiTheme="minorEastAsia" w:hint="eastAsia"/>
                <w:bCs/>
                <w:szCs w:val="21"/>
              </w:rPr>
              <w:t>800</w:t>
            </w:r>
            <w:r>
              <w:rPr>
                <w:rFonts w:asciiTheme="minorEastAsia" w:hAnsiTheme="minorEastAsia" w:hint="eastAsia"/>
                <w:bCs/>
                <w:szCs w:val="21"/>
              </w:rPr>
              <w:t>指数收益率×</w:t>
            </w:r>
            <w:r>
              <w:rPr>
                <w:rFonts w:asciiTheme="minorEastAsia" w:hAnsiTheme="minorEastAsia" w:hint="eastAsia"/>
                <w:bCs/>
                <w:szCs w:val="21"/>
              </w:rPr>
              <w:t>80%+</w:t>
            </w:r>
            <w:r>
              <w:rPr>
                <w:rFonts w:asciiTheme="minorEastAsia" w:hAnsiTheme="minorEastAsia" w:hint="eastAsia"/>
                <w:bCs/>
                <w:szCs w:val="21"/>
              </w:rPr>
              <w:t>中证综合债券指数收益率×</w:t>
            </w:r>
            <w:r>
              <w:rPr>
                <w:rFonts w:asciiTheme="minorEastAsia" w:hAnsiTheme="minorEastAsia" w:hint="eastAsia"/>
                <w:bCs/>
                <w:szCs w:val="21"/>
              </w:rPr>
              <w:t>10%+</w:t>
            </w:r>
            <w:r>
              <w:rPr>
                <w:rFonts w:asciiTheme="minorEastAsia" w:hAnsiTheme="minorEastAsia" w:hint="eastAsia"/>
                <w:bCs/>
                <w:szCs w:val="21"/>
              </w:rPr>
              <w:t>恒生指数收益率×</w:t>
            </w:r>
            <w:r>
              <w:rPr>
                <w:rFonts w:asciiTheme="minorEastAsia" w:hAnsiTheme="minorEastAsia" w:hint="eastAsia"/>
                <w:bCs/>
                <w:szCs w:val="21"/>
              </w:rPr>
              <w:t>10%</w:t>
            </w:r>
          </w:p>
        </w:tc>
      </w:tr>
      <w:tr w:rsidR="003557EA" w14:paraId="4292BF9E" w14:textId="77777777">
        <w:tc>
          <w:tcPr>
            <w:tcW w:w="1940" w:type="dxa"/>
          </w:tcPr>
          <w:p w14:paraId="15CE891C" w14:textId="77777777" w:rsidR="003557EA" w:rsidRDefault="008369F2">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14:paraId="2F6EA3E8" w14:textId="77777777"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14:paraId="12CDDD0E"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EA60E97" w14:textId="77777777" w:rsidR="003557EA" w:rsidRDefault="003557EA">
      <w:pPr>
        <w:spacing w:line="340" w:lineRule="exact"/>
        <w:contextualSpacing/>
        <w:rPr>
          <w:rFonts w:asciiTheme="minorEastAsia" w:hAnsiTheme="minorEastAsia"/>
          <w:b/>
          <w:szCs w:val="21"/>
        </w:rPr>
      </w:pPr>
    </w:p>
    <w:p w14:paraId="438AB303"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w:t>
      </w:r>
      <w:r>
        <w:rPr>
          <w:rFonts w:asciiTheme="minorEastAsia" w:hAnsiTheme="minorEastAsia" w:hint="eastAsia"/>
          <w:b/>
          <w:szCs w:val="21"/>
        </w:rPr>
        <w:t>/</w:t>
      </w:r>
      <w:r>
        <w:rPr>
          <w:rFonts w:asciiTheme="minorEastAsia" w:hAnsiTheme="minorEastAsia" w:hint="eastAsia"/>
          <w:b/>
          <w:szCs w:val="21"/>
        </w:rPr>
        <w:t>区域配置图表</w:t>
      </w:r>
    </w:p>
    <w:p w14:paraId="02F9AD3A" w14:textId="0678DB0C" w:rsidR="003557EA" w:rsidRDefault="00AD5326">
      <w:pPr>
        <w:spacing w:line="340" w:lineRule="exact"/>
        <w:contextualSpacing/>
        <w:rPr>
          <w:rFonts w:asciiTheme="minorEastAsia" w:hAnsiTheme="minorEastAsia" w:hint="eastAsia"/>
          <w:b/>
          <w:szCs w:val="21"/>
        </w:rPr>
      </w:pPr>
      <w:bookmarkStart w:id="0" w:name="_GoBack"/>
      <w:r>
        <w:rPr>
          <w:rFonts w:ascii="宋体" w:eastAsia="宋体" w:hAnsi="Calibri" w:cs="宋体" w:hint="eastAsia"/>
          <w:noProof/>
          <w:color w:val="000000"/>
          <w:kern w:val="0"/>
          <w:szCs w:val="21"/>
        </w:rPr>
        <w:drawing>
          <wp:anchor distT="0" distB="0" distL="114300" distR="114300" simplePos="0" relativeHeight="251660288" behindDoc="0" locked="0" layoutInCell="1" allowOverlap="1" wp14:editId="58787302">
            <wp:simplePos x="0" y="0"/>
            <wp:positionH relativeFrom="column">
              <wp:posOffset>-10160</wp:posOffset>
            </wp:positionH>
            <wp:positionV relativeFrom="paragraph">
              <wp:posOffset>234315</wp:posOffset>
            </wp:positionV>
            <wp:extent cx="4953000" cy="2476500"/>
            <wp:effectExtent l="0" t="0" r="0" b="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r:link="rId9"/>
                    <a:stretch>
                      <a:fillRect/>
                    </a:stretch>
                  </pic:blipFill>
                  <pic:spPr>
                    <a:xfrm>
                      <a:off x="0" y="0"/>
                      <a:ext cx="495300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8369F2">
        <w:rPr>
          <w:rFonts w:asciiTheme="minorEastAsia" w:hAnsiTheme="minorEastAsia" w:hint="eastAsia"/>
          <w:b/>
          <w:szCs w:val="21"/>
        </w:rPr>
        <w:t>投资组合资产配置图表</w:t>
      </w:r>
    </w:p>
    <w:p w14:paraId="53B6EAB8" w14:textId="5B133BD5" w:rsidR="003557EA" w:rsidRDefault="008369F2">
      <w:pPr>
        <w:spacing w:line="340" w:lineRule="exact"/>
        <w:contextualSpacing/>
        <w:rPr>
          <w:rFonts w:asciiTheme="minorEastAsia" w:hAnsiTheme="minorEastAsia" w:hint="eastAsia"/>
          <w:b/>
          <w:szCs w:val="21"/>
        </w:rPr>
      </w:pPr>
      <w:r>
        <w:rPr>
          <w:rFonts w:asciiTheme="minorEastAsia" w:hAnsiTheme="minorEastAsia" w:hint="eastAsia"/>
          <w:b/>
          <w:szCs w:val="21"/>
        </w:rPr>
        <w:t>（三）自基金合同生效以来基金每年的净值增长率与同期业绩比较基准的比较图</w:t>
      </w:r>
    </w:p>
    <w:p w14:paraId="2B5772CE" w14:textId="77777777" w:rsidR="003557EA" w:rsidRDefault="003557EA">
      <w:pPr>
        <w:spacing w:line="340" w:lineRule="exact"/>
        <w:contextualSpacing/>
        <w:rPr>
          <w:rFonts w:asciiTheme="minorEastAsia" w:hAnsiTheme="minorEastAsia"/>
          <w:b/>
          <w:szCs w:val="21"/>
        </w:rPr>
      </w:pPr>
    </w:p>
    <w:p w14:paraId="54DC1A22" w14:textId="79F342E3" w:rsidR="003557EA" w:rsidRDefault="00AD5326">
      <w:pPr>
        <w:spacing w:line="340" w:lineRule="exact"/>
        <w:contextualSpacing/>
        <w:rPr>
          <w:rFonts w:asciiTheme="minorEastAsia" w:hAnsiTheme="minorEastAsia"/>
          <w:b/>
          <w:szCs w:val="21"/>
        </w:rPr>
      </w:pPr>
      <w:r>
        <w:rPr>
          <w:rFonts w:ascii="宋体" w:eastAsia="宋体" w:hAnsi="Calibri" w:cs="宋体" w:hint="eastAsia"/>
          <w:noProof/>
          <w:color w:val="000000"/>
          <w:kern w:val="0"/>
          <w:szCs w:val="21"/>
        </w:rPr>
        <w:drawing>
          <wp:anchor distT="0" distB="0" distL="114300" distR="114300" simplePos="0" relativeHeight="251661312" behindDoc="0" locked="0" layoutInCell="1" allowOverlap="1" wp14:editId="787E5086">
            <wp:simplePos x="0" y="0"/>
            <wp:positionH relativeFrom="margin">
              <wp:posOffset>-635</wp:posOffset>
            </wp:positionH>
            <wp:positionV relativeFrom="paragraph">
              <wp:posOffset>-181610</wp:posOffset>
            </wp:positionV>
            <wp:extent cx="5715000" cy="3371850"/>
            <wp:effectExtent l="0" t="0" r="0" b="0"/>
            <wp:wrapNone/>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0" r:link="rId11"/>
                    <a:stretch>
                      <a:fillRect/>
                    </a:stretch>
                  </pic:blipFill>
                  <pic:spPr>
                    <a:xfrm>
                      <a:off x="0" y="0"/>
                      <a:ext cx="5715000" cy="3371850"/>
                    </a:xfrm>
                    <a:prstGeom prst="rect">
                      <a:avLst/>
                    </a:prstGeom>
                    <a:noFill/>
                    <a:ln>
                      <a:noFill/>
                    </a:ln>
                  </pic:spPr>
                </pic:pic>
              </a:graphicData>
            </a:graphic>
            <wp14:sizeRelV relativeFrom="margin">
              <wp14:pctHeight>0</wp14:pctHeight>
            </wp14:sizeRelV>
          </wp:anchor>
        </w:drawing>
      </w:r>
    </w:p>
    <w:p w14:paraId="1AE36744" w14:textId="77777777" w:rsidR="003557EA" w:rsidRDefault="003557EA">
      <w:pPr>
        <w:spacing w:line="340" w:lineRule="exact"/>
        <w:contextualSpacing/>
        <w:rPr>
          <w:rFonts w:asciiTheme="minorEastAsia" w:hAnsiTheme="minorEastAsia"/>
          <w:b/>
          <w:szCs w:val="21"/>
        </w:rPr>
      </w:pPr>
    </w:p>
    <w:p w14:paraId="20FD582C" w14:textId="77777777" w:rsidR="003557EA" w:rsidRDefault="003557EA">
      <w:pPr>
        <w:spacing w:line="340" w:lineRule="exact"/>
        <w:contextualSpacing/>
        <w:rPr>
          <w:rFonts w:asciiTheme="minorEastAsia" w:hAnsiTheme="minorEastAsia"/>
          <w:b/>
          <w:szCs w:val="21"/>
        </w:rPr>
      </w:pPr>
    </w:p>
    <w:p w14:paraId="322C59DD" w14:textId="77777777" w:rsidR="003557EA" w:rsidRDefault="003557EA">
      <w:pPr>
        <w:spacing w:line="340" w:lineRule="exact"/>
        <w:contextualSpacing/>
        <w:rPr>
          <w:rFonts w:asciiTheme="minorEastAsia" w:hAnsiTheme="minorEastAsia"/>
          <w:b/>
          <w:szCs w:val="21"/>
        </w:rPr>
      </w:pPr>
    </w:p>
    <w:p w14:paraId="6A8050DE" w14:textId="77777777" w:rsidR="003557EA" w:rsidRDefault="003557EA">
      <w:pPr>
        <w:spacing w:line="340" w:lineRule="exact"/>
        <w:contextualSpacing/>
        <w:rPr>
          <w:rFonts w:asciiTheme="minorEastAsia" w:hAnsiTheme="minorEastAsia"/>
          <w:b/>
          <w:szCs w:val="21"/>
        </w:rPr>
      </w:pPr>
    </w:p>
    <w:p w14:paraId="57AB4FD4" w14:textId="77777777" w:rsidR="003557EA" w:rsidRDefault="003557EA">
      <w:pPr>
        <w:spacing w:line="340" w:lineRule="exact"/>
        <w:contextualSpacing/>
        <w:rPr>
          <w:rFonts w:asciiTheme="minorEastAsia" w:hAnsiTheme="minorEastAsia"/>
          <w:b/>
          <w:szCs w:val="21"/>
        </w:rPr>
      </w:pPr>
    </w:p>
    <w:p w14:paraId="62226988" w14:textId="77777777" w:rsidR="003557EA" w:rsidRDefault="003557EA">
      <w:pPr>
        <w:spacing w:line="340" w:lineRule="exact"/>
        <w:contextualSpacing/>
        <w:rPr>
          <w:rFonts w:asciiTheme="minorEastAsia" w:hAnsiTheme="minorEastAsia"/>
          <w:b/>
          <w:szCs w:val="21"/>
        </w:rPr>
      </w:pPr>
    </w:p>
    <w:p w14:paraId="5D37675D" w14:textId="77777777" w:rsidR="003557EA" w:rsidRDefault="003557EA">
      <w:pPr>
        <w:spacing w:line="340" w:lineRule="exact"/>
        <w:contextualSpacing/>
        <w:rPr>
          <w:rFonts w:asciiTheme="minorEastAsia" w:hAnsiTheme="minorEastAsia"/>
          <w:b/>
          <w:szCs w:val="21"/>
        </w:rPr>
      </w:pPr>
    </w:p>
    <w:p w14:paraId="31853646" w14:textId="77777777" w:rsidR="003557EA" w:rsidRDefault="003557EA">
      <w:pPr>
        <w:spacing w:line="340" w:lineRule="exact"/>
        <w:contextualSpacing/>
        <w:rPr>
          <w:rFonts w:asciiTheme="minorEastAsia" w:hAnsiTheme="minorEastAsia"/>
          <w:b/>
          <w:szCs w:val="21"/>
        </w:rPr>
      </w:pPr>
    </w:p>
    <w:p w14:paraId="5E7FECF3" w14:textId="77777777" w:rsidR="003557EA" w:rsidRDefault="003557EA">
      <w:pPr>
        <w:spacing w:line="340" w:lineRule="exact"/>
        <w:contextualSpacing/>
        <w:rPr>
          <w:rFonts w:asciiTheme="minorEastAsia" w:hAnsiTheme="minorEastAsia"/>
          <w:b/>
          <w:szCs w:val="21"/>
        </w:rPr>
      </w:pPr>
    </w:p>
    <w:p w14:paraId="6CB21817" w14:textId="77777777" w:rsidR="003557EA" w:rsidRDefault="003557EA">
      <w:pPr>
        <w:spacing w:line="340" w:lineRule="exact"/>
        <w:contextualSpacing/>
        <w:rPr>
          <w:rFonts w:asciiTheme="minorEastAsia" w:hAnsiTheme="minorEastAsia"/>
          <w:b/>
          <w:szCs w:val="21"/>
        </w:rPr>
      </w:pPr>
    </w:p>
    <w:p w14:paraId="07532731" w14:textId="77777777" w:rsidR="003557EA" w:rsidRDefault="003557EA">
      <w:pPr>
        <w:spacing w:line="340" w:lineRule="exact"/>
        <w:contextualSpacing/>
        <w:rPr>
          <w:rFonts w:asciiTheme="minorEastAsia" w:hAnsiTheme="minorEastAsia"/>
          <w:b/>
          <w:szCs w:val="21"/>
        </w:rPr>
      </w:pPr>
    </w:p>
    <w:p w14:paraId="1C132798" w14:textId="77777777" w:rsidR="003557EA" w:rsidRDefault="003557EA">
      <w:pPr>
        <w:spacing w:line="340" w:lineRule="exact"/>
        <w:contextualSpacing/>
        <w:rPr>
          <w:rFonts w:asciiTheme="minorEastAsia" w:hAnsiTheme="minorEastAsia"/>
          <w:b/>
          <w:szCs w:val="21"/>
        </w:rPr>
      </w:pPr>
    </w:p>
    <w:p w14:paraId="25E2ACD1" w14:textId="77777777" w:rsidR="003557EA" w:rsidRDefault="003557EA">
      <w:pPr>
        <w:spacing w:line="340" w:lineRule="exact"/>
        <w:contextualSpacing/>
        <w:rPr>
          <w:rFonts w:asciiTheme="minorEastAsia" w:hAnsiTheme="minorEastAsia"/>
          <w:b/>
          <w:szCs w:val="21"/>
        </w:rPr>
      </w:pPr>
    </w:p>
    <w:p w14:paraId="040C830E" w14:textId="77777777" w:rsidR="003557EA" w:rsidRDefault="003557EA">
      <w:pPr>
        <w:spacing w:line="340" w:lineRule="exact"/>
        <w:contextualSpacing/>
        <w:rPr>
          <w:rFonts w:asciiTheme="minorEastAsia" w:hAnsiTheme="minorEastAsia"/>
          <w:b/>
          <w:szCs w:val="21"/>
        </w:rPr>
      </w:pPr>
    </w:p>
    <w:p w14:paraId="6F0C5B3E" w14:textId="77777777" w:rsidR="003557EA" w:rsidRDefault="003557EA">
      <w:pPr>
        <w:spacing w:line="340" w:lineRule="exact"/>
        <w:contextualSpacing/>
        <w:rPr>
          <w:rFonts w:asciiTheme="minorEastAsia" w:hAnsiTheme="minorEastAsia"/>
          <w:b/>
          <w:szCs w:val="21"/>
        </w:rPr>
      </w:pPr>
    </w:p>
    <w:p w14:paraId="48154B57" w14:textId="6CAE68B1" w:rsidR="003557EA" w:rsidRDefault="003557EA">
      <w:pPr>
        <w:spacing w:line="340" w:lineRule="exact"/>
        <w:contextualSpacing/>
        <w:rPr>
          <w:rFonts w:asciiTheme="minorEastAsia" w:hAnsiTheme="minorEastAsia"/>
          <w:b/>
          <w:szCs w:val="21"/>
        </w:rPr>
      </w:pPr>
    </w:p>
    <w:p w14:paraId="73F81F25" w14:textId="77777777" w:rsidR="003557EA" w:rsidRDefault="003557EA">
      <w:pPr>
        <w:spacing w:line="340" w:lineRule="exact"/>
        <w:contextualSpacing/>
        <w:rPr>
          <w:rFonts w:asciiTheme="minorEastAsia" w:hAnsiTheme="minorEastAsia"/>
          <w:b/>
          <w:szCs w:val="21"/>
        </w:rPr>
      </w:pPr>
    </w:p>
    <w:p w14:paraId="10CFC6C8"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三</w:t>
      </w:r>
      <w:r>
        <w:rPr>
          <w:rFonts w:asciiTheme="minorEastAsia" w:hAnsiTheme="minorEastAsia" w:hint="eastAsia"/>
          <w:b/>
          <w:szCs w:val="21"/>
        </w:rPr>
        <w:t>、</w:t>
      </w:r>
      <w:r>
        <w:rPr>
          <w:rFonts w:asciiTheme="minorEastAsia" w:hAnsiTheme="minorEastAsia"/>
          <w:b/>
          <w:szCs w:val="21"/>
        </w:rPr>
        <w:t>投资本基金涉及的费用</w:t>
      </w:r>
    </w:p>
    <w:p w14:paraId="0E098F58"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14:paraId="1FCCEEA6"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w:t>
      </w:r>
      <w:r>
        <w:rPr>
          <w:rFonts w:asciiTheme="minorEastAsia" w:hAnsiTheme="minorEastAsia" w:hint="eastAsia"/>
          <w:szCs w:val="21"/>
        </w:rPr>
        <w:t>赎回基金过程中收取：</w:t>
      </w:r>
    </w:p>
    <w:p w14:paraId="13EC1B51"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东方阿尔法优选混合</w:t>
      </w:r>
      <w:r>
        <w:rPr>
          <w:rFonts w:asciiTheme="minorEastAsia" w:hAnsiTheme="minorEastAsia" w:hint="eastAsia"/>
          <w:szCs w:val="21"/>
        </w:rPr>
        <w:t>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3557EA" w14:paraId="5BB220EB" w14:textId="77777777">
        <w:tc>
          <w:tcPr>
            <w:tcW w:w="2552" w:type="dxa"/>
          </w:tcPr>
          <w:p w14:paraId="63E0B110"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977" w:type="dxa"/>
          </w:tcPr>
          <w:p w14:paraId="3DF5AD52"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金额（</w:t>
            </w:r>
            <w:r>
              <w:rPr>
                <w:rFonts w:asciiTheme="minorEastAsia" w:hAnsiTheme="minorEastAsia" w:hint="eastAsia"/>
                <w:b/>
                <w:szCs w:val="21"/>
              </w:rPr>
              <w:t>M</w:t>
            </w:r>
            <w:r>
              <w:rPr>
                <w:rFonts w:asciiTheme="minorEastAsia" w:hAnsiTheme="minorEastAsia" w:hint="eastAsia"/>
                <w:b/>
                <w:szCs w:val="21"/>
              </w:rPr>
              <w:t>）</w:t>
            </w:r>
            <w:r>
              <w:rPr>
                <w:rFonts w:asciiTheme="minorEastAsia" w:hAnsiTheme="minorEastAsia" w:hint="eastAsia"/>
                <w:b/>
                <w:szCs w:val="21"/>
              </w:rPr>
              <w:t>/</w:t>
            </w:r>
          </w:p>
          <w:p w14:paraId="1506FBF5"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持有期间（</w:t>
            </w:r>
            <w:r>
              <w:rPr>
                <w:rFonts w:asciiTheme="minorEastAsia" w:hAnsiTheme="minorEastAsia" w:hint="eastAsia"/>
                <w:b/>
                <w:szCs w:val="21"/>
              </w:rPr>
              <w:t>N</w:t>
            </w:r>
            <w:r>
              <w:rPr>
                <w:rFonts w:asciiTheme="minorEastAsia" w:hAnsiTheme="minorEastAsia" w:hint="eastAsia"/>
                <w:b/>
                <w:szCs w:val="21"/>
              </w:rPr>
              <w:t>）</w:t>
            </w:r>
          </w:p>
        </w:tc>
        <w:tc>
          <w:tcPr>
            <w:tcW w:w="1701" w:type="dxa"/>
          </w:tcPr>
          <w:p w14:paraId="47FC9F53"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收费方式</w:t>
            </w:r>
            <w:r>
              <w:rPr>
                <w:rFonts w:asciiTheme="minorEastAsia" w:hAnsiTheme="minorEastAsia" w:hint="eastAsia"/>
                <w:b/>
                <w:szCs w:val="21"/>
              </w:rPr>
              <w:t>/</w:t>
            </w:r>
            <w:r>
              <w:rPr>
                <w:rFonts w:asciiTheme="minorEastAsia" w:hAnsiTheme="minorEastAsia" w:hint="eastAsia"/>
                <w:b/>
                <w:szCs w:val="21"/>
              </w:rPr>
              <w:t>费率</w:t>
            </w:r>
          </w:p>
        </w:tc>
        <w:tc>
          <w:tcPr>
            <w:tcW w:w="1984" w:type="dxa"/>
          </w:tcPr>
          <w:p w14:paraId="41790B45"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3557EA" w14:paraId="044C7501" w14:textId="77777777">
        <w:tc>
          <w:tcPr>
            <w:tcW w:w="2552" w:type="dxa"/>
          </w:tcPr>
          <w:p w14:paraId="5BA5C2D1"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977" w:type="dxa"/>
          </w:tcPr>
          <w:p w14:paraId="012FB7E7"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w:t>
            </w:r>
          </w:p>
        </w:tc>
        <w:tc>
          <w:tcPr>
            <w:tcW w:w="1701" w:type="dxa"/>
          </w:tcPr>
          <w:p w14:paraId="1EAEC295"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w:t>
            </w:r>
          </w:p>
        </w:tc>
        <w:tc>
          <w:tcPr>
            <w:tcW w:w="1984" w:type="dxa"/>
          </w:tcPr>
          <w:p w14:paraId="316B814F" w14:textId="77777777" w:rsidR="003557EA" w:rsidRDefault="008369F2">
            <w:pPr>
              <w:contextualSpacing/>
              <w:rPr>
                <w:rFonts w:asciiTheme="minorEastAsia" w:hAnsiTheme="minorEastAsia"/>
                <w:szCs w:val="21"/>
              </w:rPr>
            </w:pPr>
            <w:r>
              <w:rPr>
                <w:rFonts w:asciiTheme="minorEastAsia" w:hAnsiTheme="minorEastAsia" w:hint="eastAsia"/>
                <w:szCs w:val="21"/>
              </w:rPr>
              <w:t>C</w:t>
            </w:r>
            <w:r>
              <w:rPr>
                <w:rFonts w:asciiTheme="minorEastAsia" w:hAnsiTheme="minorEastAsia" w:hint="eastAsia"/>
                <w:szCs w:val="21"/>
              </w:rPr>
              <w:t>类份额无申购费</w:t>
            </w:r>
          </w:p>
        </w:tc>
      </w:tr>
      <w:tr w:rsidR="003557EA" w14:paraId="2F2A0DB6" w14:textId="77777777">
        <w:tc>
          <w:tcPr>
            <w:tcW w:w="2552" w:type="dxa"/>
            <w:vMerge w:val="restart"/>
          </w:tcPr>
          <w:p w14:paraId="0431532A"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977" w:type="dxa"/>
          </w:tcPr>
          <w:p w14:paraId="73501908"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hint="eastAsia"/>
                <w:szCs w:val="21"/>
              </w:rPr>
              <w:t>＜</w:t>
            </w:r>
            <w:r>
              <w:rPr>
                <w:rFonts w:asciiTheme="minorEastAsia" w:hAnsiTheme="minorEastAsia" w:hint="eastAsia"/>
                <w:szCs w:val="21"/>
              </w:rPr>
              <w:t>N</w:t>
            </w: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天</w:t>
            </w:r>
          </w:p>
        </w:tc>
        <w:tc>
          <w:tcPr>
            <w:tcW w:w="1701" w:type="dxa"/>
          </w:tcPr>
          <w:p w14:paraId="62DD34E3"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14:paraId="5B42DD20" w14:textId="77777777" w:rsidR="003557EA" w:rsidRDefault="003557EA">
            <w:pPr>
              <w:contextualSpacing/>
              <w:rPr>
                <w:rFonts w:asciiTheme="minorEastAsia" w:hAnsiTheme="minorEastAsia"/>
                <w:szCs w:val="21"/>
              </w:rPr>
            </w:pPr>
          </w:p>
        </w:tc>
      </w:tr>
      <w:tr w:rsidR="003557EA" w14:paraId="694EECF0" w14:textId="77777777">
        <w:tc>
          <w:tcPr>
            <w:tcW w:w="2552" w:type="dxa"/>
            <w:vMerge/>
          </w:tcPr>
          <w:p w14:paraId="7B5CC6F8" w14:textId="77777777" w:rsidR="003557EA" w:rsidRDefault="003557EA">
            <w:pPr>
              <w:spacing w:line="340" w:lineRule="exact"/>
              <w:contextualSpacing/>
              <w:rPr>
                <w:rFonts w:asciiTheme="minorEastAsia" w:hAnsiTheme="minorEastAsia"/>
                <w:b/>
                <w:szCs w:val="21"/>
              </w:rPr>
            </w:pPr>
          </w:p>
        </w:tc>
        <w:tc>
          <w:tcPr>
            <w:tcW w:w="2977" w:type="dxa"/>
          </w:tcPr>
          <w:p w14:paraId="314A1FB7"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天≤</w:t>
            </w:r>
            <w:r>
              <w:rPr>
                <w:rFonts w:asciiTheme="minorEastAsia" w:hAnsiTheme="minorEastAsia" w:hint="eastAsia"/>
                <w:szCs w:val="21"/>
              </w:rPr>
              <w:t>N</w:t>
            </w:r>
            <w:r>
              <w:rPr>
                <w:rFonts w:asciiTheme="minorEastAsia" w:hAnsiTheme="minorEastAsia" w:hint="eastAsia"/>
                <w:szCs w:val="21"/>
              </w:rPr>
              <w:t>＜</w:t>
            </w:r>
            <w:r>
              <w:rPr>
                <w:rFonts w:asciiTheme="minorEastAsia" w:hAnsiTheme="minorEastAsia" w:hint="eastAsia"/>
                <w:szCs w:val="21"/>
              </w:rPr>
              <w:t>30</w:t>
            </w:r>
            <w:r>
              <w:rPr>
                <w:rFonts w:asciiTheme="minorEastAsia" w:hAnsiTheme="minorEastAsia" w:hint="eastAsia"/>
                <w:szCs w:val="21"/>
              </w:rPr>
              <w:t>天</w:t>
            </w:r>
          </w:p>
        </w:tc>
        <w:tc>
          <w:tcPr>
            <w:tcW w:w="1701" w:type="dxa"/>
          </w:tcPr>
          <w:p w14:paraId="03AF80A2"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50</w:t>
            </w:r>
            <w:r>
              <w:rPr>
                <w:rFonts w:asciiTheme="minorEastAsia" w:hAnsiTheme="minorEastAsia" w:hint="eastAsia"/>
                <w:szCs w:val="21"/>
              </w:rPr>
              <w:t>%</w:t>
            </w:r>
          </w:p>
        </w:tc>
        <w:tc>
          <w:tcPr>
            <w:tcW w:w="1984" w:type="dxa"/>
          </w:tcPr>
          <w:p w14:paraId="7EE66F76" w14:textId="77777777" w:rsidR="003557EA" w:rsidRDefault="003557EA">
            <w:pPr>
              <w:contextualSpacing/>
              <w:rPr>
                <w:rFonts w:asciiTheme="minorEastAsia" w:hAnsiTheme="minorEastAsia"/>
                <w:szCs w:val="21"/>
              </w:rPr>
            </w:pPr>
          </w:p>
        </w:tc>
      </w:tr>
      <w:tr w:rsidR="003557EA" w14:paraId="213D3B93" w14:textId="77777777">
        <w:trPr>
          <w:trHeight w:val="258"/>
        </w:trPr>
        <w:tc>
          <w:tcPr>
            <w:tcW w:w="2552" w:type="dxa"/>
            <w:vMerge/>
          </w:tcPr>
          <w:p w14:paraId="13E4A2C2" w14:textId="77777777" w:rsidR="003557EA" w:rsidRDefault="003557EA">
            <w:pPr>
              <w:spacing w:line="340" w:lineRule="exact"/>
              <w:contextualSpacing/>
              <w:rPr>
                <w:rFonts w:asciiTheme="minorEastAsia" w:hAnsiTheme="minorEastAsia"/>
                <w:b/>
                <w:szCs w:val="21"/>
              </w:rPr>
            </w:pPr>
          </w:p>
        </w:tc>
        <w:tc>
          <w:tcPr>
            <w:tcW w:w="2977" w:type="dxa"/>
          </w:tcPr>
          <w:p w14:paraId="4544B1B6" w14:textId="77777777" w:rsidR="003557EA" w:rsidRDefault="008369F2">
            <w:pPr>
              <w:spacing w:line="340" w:lineRule="exact"/>
              <w:contextualSpacing/>
              <w:rPr>
                <w:rFonts w:asciiTheme="minorEastAsia" w:hAnsiTheme="minorEastAsia"/>
                <w:szCs w:val="21"/>
              </w:rPr>
            </w:pPr>
            <w:r>
              <w:rPr>
                <w:rFonts w:asciiTheme="minorEastAsia" w:hAnsiTheme="minorEastAsia"/>
                <w:szCs w:val="21"/>
              </w:rPr>
              <w:t>30</w:t>
            </w:r>
            <w:r>
              <w:rPr>
                <w:rFonts w:asciiTheme="minorEastAsia" w:hAnsiTheme="minorEastAsia" w:hint="eastAsia"/>
                <w:szCs w:val="21"/>
              </w:rPr>
              <w:t>天≤</w:t>
            </w:r>
            <w:r>
              <w:rPr>
                <w:rFonts w:asciiTheme="minorEastAsia" w:hAnsiTheme="minorEastAsia" w:hint="eastAsia"/>
                <w:szCs w:val="21"/>
              </w:rPr>
              <w:t>N</w:t>
            </w:r>
          </w:p>
        </w:tc>
        <w:tc>
          <w:tcPr>
            <w:tcW w:w="1701" w:type="dxa"/>
          </w:tcPr>
          <w:p w14:paraId="776266A9" w14:textId="77777777" w:rsidR="003557EA" w:rsidRDefault="008369F2">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w:t>
            </w:r>
          </w:p>
        </w:tc>
        <w:tc>
          <w:tcPr>
            <w:tcW w:w="1984" w:type="dxa"/>
          </w:tcPr>
          <w:p w14:paraId="15094F8B" w14:textId="77777777" w:rsidR="003557EA" w:rsidRDefault="003557EA">
            <w:pPr>
              <w:contextualSpacing/>
              <w:rPr>
                <w:rFonts w:asciiTheme="minorEastAsia" w:hAnsiTheme="minorEastAsia"/>
                <w:szCs w:val="21"/>
              </w:rPr>
            </w:pPr>
          </w:p>
        </w:tc>
      </w:tr>
    </w:tbl>
    <w:p w14:paraId="45233318"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14:paraId="726BFE80" w14:textId="77777777" w:rsidR="003557EA" w:rsidRDefault="008369F2">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3557EA" w14:paraId="2BCA80C7" w14:textId="77777777">
        <w:tc>
          <w:tcPr>
            <w:tcW w:w="2268" w:type="dxa"/>
          </w:tcPr>
          <w:p w14:paraId="340F6C16"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14:paraId="4EB25DEF" w14:textId="77777777"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收费方式</w:t>
            </w:r>
            <w:r>
              <w:rPr>
                <w:rFonts w:asciiTheme="minorEastAsia" w:hAnsiTheme="minorEastAsia" w:hint="eastAsia"/>
                <w:b/>
                <w:szCs w:val="21"/>
              </w:rPr>
              <w:t>/</w:t>
            </w:r>
            <w:r>
              <w:rPr>
                <w:rFonts w:asciiTheme="minorEastAsia" w:hAnsiTheme="minorEastAsia" w:hint="eastAsia"/>
                <w:b/>
                <w:szCs w:val="21"/>
              </w:rPr>
              <w:t>年费率</w:t>
            </w:r>
          </w:p>
        </w:tc>
      </w:tr>
      <w:tr w:rsidR="003557EA" w14:paraId="69C72167" w14:textId="77777777">
        <w:tc>
          <w:tcPr>
            <w:tcW w:w="2268" w:type="dxa"/>
          </w:tcPr>
          <w:p w14:paraId="12BB1BCD"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14:paraId="2F264238"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w:t>
            </w:r>
            <w:r>
              <w:rPr>
                <w:rFonts w:asciiTheme="minorEastAsia" w:hAnsiTheme="minorEastAsia" w:hint="eastAsia"/>
                <w:szCs w:val="21"/>
              </w:rPr>
              <w:t xml:space="preserve"> 1.50%</w:t>
            </w:r>
          </w:p>
        </w:tc>
      </w:tr>
      <w:tr w:rsidR="003557EA" w14:paraId="2313CEE1" w14:textId="77777777">
        <w:tc>
          <w:tcPr>
            <w:tcW w:w="2268" w:type="dxa"/>
          </w:tcPr>
          <w:p w14:paraId="17595C10"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14:paraId="5A2D9E03"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w:t>
            </w:r>
            <w:r>
              <w:rPr>
                <w:rFonts w:asciiTheme="minorEastAsia" w:hAnsiTheme="minorEastAsia" w:hint="eastAsia"/>
                <w:szCs w:val="21"/>
              </w:rPr>
              <w:t xml:space="preserve"> 0.25%</w:t>
            </w:r>
          </w:p>
        </w:tc>
      </w:tr>
      <w:tr w:rsidR="003557EA" w14:paraId="59B485E1" w14:textId="77777777">
        <w:tc>
          <w:tcPr>
            <w:tcW w:w="2268" w:type="dxa"/>
          </w:tcPr>
          <w:p w14:paraId="49F455E5"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14:paraId="3D9008F5" w14:textId="77777777"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w:t>
            </w:r>
            <w:r>
              <w:rPr>
                <w:rFonts w:asciiTheme="minorEastAsia" w:hAnsiTheme="minorEastAsia" w:hint="eastAsia"/>
                <w:szCs w:val="21"/>
              </w:rPr>
              <w:t xml:space="preserve"> </w:t>
            </w:r>
            <w:r>
              <w:rPr>
                <w:rFonts w:asciiTheme="minorEastAsia" w:hAnsiTheme="minorEastAsia" w:hint="eastAsia"/>
                <w:szCs w:val="21"/>
              </w:rPr>
              <w:t>0.</w:t>
            </w:r>
            <w:r>
              <w:rPr>
                <w:rFonts w:asciiTheme="minorEastAsia" w:hAnsiTheme="minorEastAsia"/>
                <w:szCs w:val="21"/>
              </w:rPr>
              <w:t>50</w:t>
            </w:r>
            <w:r>
              <w:rPr>
                <w:rFonts w:asciiTheme="minorEastAsia" w:hAnsiTheme="minorEastAsia" w:hint="eastAsia"/>
                <w:szCs w:val="21"/>
              </w:rPr>
              <w:t>%</w:t>
            </w:r>
          </w:p>
        </w:tc>
      </w:tr>
      <w:tr w:rsidR="003557EA" w14:paraId="0D02DB2E" w14:textId="77777777">
        <w:tc>
          <w:tcPr>
            <w:tcW w:w="2268" w:type="dxa"/>
          </w:tcPr>
          <w:p w14:paraId="7D80F1A2"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14:paraId="56C2DF71" w14:textId="77777777" w:rsidR="003557EA" w:rsidRDefault="008369F2">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14:paraId="419F211E"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注</w:t>
      </w:r>
      <w:r>
        <w:rPr>
          <w:rFonts w:asciiTheme="minorEastAsia" w:hAnsiTheme="minorEastAsia" w:hint="eastAsia"/>
          <w:szCs w:val="21"/>
        </w:rPr>
        <w:t>：本基金交易证券、基金等产生的费用和税负，按实际发生额从基金资产扣除。</w:t>
      </w:r>
    </w:p>
    <w:p w14:paraId="10C65897" w14:textId="77777777" w:rsidR="003557EA" w:rsidRDefault="003557EA">
      <w:pPr>
        <w:spacing w:line="340" w:lineRule="exact"/>
        <w:contextualSpacing/>
        <w:rPr>
          <w:rFonts w:asciiTheme="minorEastAsia" w:hAnsiTheme="minorEastAsia"/>
          <w:szCs w:val="21"/>
        </w:rPr>
      </w:pPr>
    </w:p>
    <w:p w14:paraId="2441406B"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14:paraId="76511F1C"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（一）风险揭示</w:t>
      </w:r>
    </w:p>
    <w:p w14:paraId="21237800"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本基金不提供任何保证。投资者可能损失本金。投资有风险，投资者购买基金时应认真阅读本基金的《招募说明书》等销售文件。</w:t>
      </w:r>
    </w:p>
    <w:p w14:paraId="68BF512B"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、本基金特有风险</w:t>
      </w:r>
    </w:p>
    <w:p w14:paraId="0E99CF2B"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）本基金投资于股票的比例占基金资产的</w:t>
      </w:r>
      <w:r>
        <w:rPr>
          <w:rFonts w:asciiTheme="minorEastAsia" w:hAnsiTheme="minorEastAsia" w:hint="eastAsia"/>
          <w:szCs w:val="21"/>
        </w:rPr>
        <w:t>60%-95%</w:t>
      </w:r>
      <w:r>
        <w:rPr>
          <w:rFonts w:asciiTheme="minorEastAsia" w:hAnsiTheme="minorEastAsia" w:hint="eastAsia"/>
          <w:szCs w:val="21"/>
        </w:rPr>
        <w:t>，投资集中度比较明显，股票市场的价格波动可能会导致基金净值发生剧烈波动的风险。</w:t>
      </w:r>
    </w:p>
    <w:p w14:paraId="3DAD515B"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）本基金为发起式基金</w:t>
      </w:r>
      <w:r>
        <w:rPr>
          <w:rFonts w:asciiTheme="minorEastAsia" w:hAnsiTheme="minorEastAsia"/>
          <w:szCs w:val="21"/>
        </w:rPr>
        <w:t>。基金合同生效日起满</w:t>
      </w:r>
      <w:r>
        <w:rPr>
          <w:rFonts w:asciiTheme="minorEastAsia" w:hAnsiTheme="minorEastAsia"/>
          <w:szCs w:val="21"/>
        </w:rPr>
        <w:t>3</w:t>
      </w:r>
      <w:r>
        <w:rPr>
          <w:rFonts w:asciiTheme="minorEastAsia" w:hAnsiTheme="minorEastAsia"/>
          <w:szCs w:val="21"/>
        </w:rPr>
        <w:t>年后，发起资金提供方将根据自身情况决定是否继续</w:t>
      </w:r>
      <w:r>
        <w:rPr>
          <w:rFonts w:asciiTheme="minorEastAsia" w:hAnsiTheme="minorEastAsia" w:hint="eastAsia"/>
          <w:szCs w:val="21"/>
        </w:rPr>
        <w:t>持有发起资金持有的份额。基金合同生效之日起</w:t>
      </w:r>
      <w:r>
        <w:rPr>
          <w:rFonts w:asciiTheme="minorEastAsia" w:hAnsiTheme="minorEastAsia" w:hint="eastAsia"/>
          <w:szCs w:val="21"/>
        </w:rPr>
        <w:t>3</w:t>
      </w:r>
      <w:r>
        <w:rPr>
          <w:rFonts w:asciiTheme="minorEastAsia" w:hAnsiTheme="minorEastAsia" w:hint="eastAsia"/>
          <w:szCs w:val="21"/>
        </w:rPr>
        <w:t>年后的对应日，若基金资产净值低于</w:t>
      </w:r>
      <w:r>
        <w:rPr>
          <w:rFonts w:asciiTheme="minorEastAsia" w:hAnsiTheme="minorEastAsia"/>
          <w:szCs w:val="21"/>
        </w:rPr>
        <w:t>2</w:t>
      </w:r>
      <w:r>
        <w:rPr>
          <w:rFonts w:asciiTheme="minorEastAsia" w:hAnsiTheme="minorEastAsia"/>
          <w:szCs w:val="21"/>
        </w:rPr>
        <w:t>亿元，基金合同自动终止。</w:t>
      </w:r>
      <w:r>
        <w:rPr>
          <w:rFonts w:asciiTheme="minorEastAsia" w:hAnsiTheme="minorEastAsia" w:hint="eastAsia"/>
          <w:szCs w:val="21"/>
        </w:rPr>
        <w:t>因此，投资人将面对基金合同终止的不确定风险。</w:t>
      </w:r>
    </w:p>
    <w:p w14:paraId="3D16D465"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）本基金可投资股指期货，可能会出现的风险包括基差风险、合约品种差异造成的风险、标的物风险、衍生品模型风险等。</w:t>
      </w:r>
    </w:p>
    <w:p w14:paraId="2FDEF358"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）本基金可投资国债期货，国债期货的风险主要包含市场风险、流动性风险、信用风险、合规性风险以及国债期货实物交割风险等。</w:t>
      </w:r>
    </w:p>
    <w:p w14:paraId="172A49D8"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）本基金可投资资产支持类证券，资产支持证券的风险主要包括信用风险、利率风险、流动性风险、提前偿付风险等。</w:t>
      </w:r>
    </w:p>
    <w:p w14:paraId="4C5F92E6"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hint="eastAsia"/>
          <w:szCs w:val="21"/>
        </w:rPr>
        <w:t>6</w:t>
      </w:r>
      <w:r>
        <w:rPr>
          <w:rFonts w:asciiTheme="minorEastAsia" w:hAnsiTheme="minorEastAsia" w:hint="eastAsia"/>
          <w:szCs w:val="21"/>
        </w:rPr>
        <w:t>）</w:t>
      </w:r>
      <w:r>
        <w:rPr>
          <w:rFonts w:asciiTheme="minorEastAsia" w:hAnsiTheme="minorEastAsia"/>
          <w:szCs w:val="21"/>
        </w:rPr>
        <w:t>本基金除了投资于</w:t>
      </w:r>
      <w:r>
        <w:rPr>
          <w:rFonts w:asciiTheme="minorEastAsia" w:hAnsiTheme="minorEastAsia"/>
          <w:szCs w:val="21"/>
        </w:rPr>
        <w:t>A</w:t>
      </w:r>
      <w:r>
        <w:rPr>
          <w:rFonts w:asciiTheme="minorEastAsia" w:hAnsiTheme="minorEastAsia"/>
          <w:szCs w:val="21"/>
        </w:rPr>
        <w:t>股市场优质企业外，还可在法律法规规定的范围内投资港股通标的股票，会面临港股通机制下因投资环境、投资标的、市场制度以及交易规则等差异带来的特有风险</w:t>
      </w:r>
      <w:r>
        <w:rPr>
          <w:rFonts w:asciiTheme="minorEastAsia" w:hAnsiTheme="minorEastAsia"/>
          <w:szCs w:val="21"/>
        </w:rPr>
        <w:t>。</w:t>
      </w:r>
    </w:p>
    <w:p w14:paraId="09935A93"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14:paraId="750664C8"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Pr>
          <w:rFonts w:asciiTheme="minorEastAsia" w:hAnsiTheme="minorEastAsia"/>
          <w:szCs w:val="21"/>
        </w:rPr>
        <w:t>本基金可参与融资交易，融资交易的风险主要包括流动性风险、信用风险等，这些风险可能会给基金净值带来一定的负面影响和损失。</w:t>
      </w:r>
    </w:p>
    <w:p w14:paraId="11555361"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w:t>
      </w:r>
      <w:r>
        <w:rPr>
          <w:rFonts w:asciiTheme="minorEastAsia" w:hAnsiTheme="minorEastAsia" w:hint="eastAsia"/>
          <w:szCs w:val="21"/>
        </w:rPr>
        <w:t>9</w:t>
      </w:r>
      <w:r>
        <w:rPr>
          <w:rFonts w:asciiTheme="minorEastAsia" w:hAnsiTheme="minorEastAsia"/>
          <w:szCs w:val="21"/>
        </w:rPr>
        <w:t>）</w:t>
      </w:r>
      <w:r>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116C7A7F"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09A40DD7"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、开放式基金的共有风险：市场风险、管理风险、职业道德风险、流动性风险、合规风险、投资管理风险、操作和技术风险以及不可抗力可能导致的其他风险。</w:t>
      </w:r>
    </w:p>
    <w:p w14:paraId="75B3B151" w14:textId="77777777"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（二）重要提示</w:t>
      </w:r>
    </w:p>
    <w:p w14:paraId="09A663D2"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中国证监会对本基金募集的</w:t>
      </w:r>
      <w:r>
        <w:rPr>
          <w:rFonts w:asciiTheme="minorEastAsia" w:hAnsiTheme="minorEastAsia"/>
          <w:szCs w:val="21"/>
        </w:rPr>
        <w:t>注册</w:t>
      </w:r>
      <w:r>
        <w:rPr>
          <w:rFonts w:asciiTheme="minorEastAsia" w:hAnsiTheme="minorEastAsia" w:hint="eastAsia"/>
          <w:szCs w:val="21"/>
        </w:rPr>
        <w:t>，并不表明其对本基金的价值和收益作出实质性判断或保证，也不表明投资于本基金没有风险。基金管理人依照恪尽职守、</w:t>
      </w:r>
      <w:r>
        <w:rPr>
          <w:rFonts w:asciiTheme="minorEastAsia" w:hAnsiTheme="minorEastAsia" w:hint="eastAsia"/>
          <w:szCs w:val="21"/>
        </w:rPr>
        <w:t>诚实信用、谨慎勤勉的原则管理和运用基金财产，但不保证基金一定盈利，也不保证最低收益。基金投资者依基金合同取得基金份额，即成为基金份额持有人和基金合同的当事人。</w:t>
      </w:r>
    </w:p>
    <w:p w14:paraId="4F501846"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EC01CFB"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w:t>
      </w:r>
      <w:r>
        <w:rPr>
          <w:rFonts w:asciiTheme="minorEastAsia" w:hAnsiTheme="minorEastAsia" w:hint="eastAsia"/>
          <w:szCs w:val="21"/>
        </w:rPr>
        <w:t>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14:paraId="3B24A412" w14:textId="77777777" w:rsidR="003557EA" w:rsidRDefault="003557EA">
      <w:pPr>
        <w:spacing w:line="340" w:lineRule="exact"/>
        <w:ind w:firstLineChars="200" w:firstLine="420"/>
        <w:contextualSpacing/>
        <w:rPr>
          <w:rFonts w:asciiTheme="minorEastAsia" w:hAnsiTheme="minorEastAsia"/>
          <w:szCs w:val="21"/>
        </w:rPr>
      </w:pPr>
    </w:p>
    <w:p w14:paraId="07B72D0B"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14:paraId="1947C50F"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t>
      </w:r>
      <w:r>
        <w:rPr>
          <w:rFonts w:asciiTheme="minorEastAsia" w:hAnsiTheme="minorEastAsia" w:hint="eastAsia"/>
          <w:szCs w:val="21"/>
        </w:rPr>
        <w:t>www.dfa66.com</w:t>
      </w:r>
      <w:r>
        <w:rPr>
          <w:rFonts w:asciiTheme="minorEastAsia" w:hAnsiTheme="minorEastAsia" w:hint="eastAsia"/>
          <w:szCs w:val="21"/>
        </w:rPr>
        <w:t>】【客服电话：</w:t>
      </w:r>
      <w:r>
        <w:rPr>
          <w:rFonts w:asciiTheme="minorEastAsia" w:hAnsiTheme="minorEastAsia" w:hint="eastAsia"/>
          <w:szCs w:val="21"/>
        </w:rPr>
        <w:t>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14:paraId="715F7D8E" w14:textId="77777777"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）基金合同、托管协议、招募说明书</w:t>
      </w:r>
    </w:p>
    <w:p w14:paraId="776097C2" w14:textId="77777777"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）定期报告，包括基金季度报告、中期报告和年度报告</w:t>
      </w:r>
    </w:p>
    <w:p w14:paraId="4FAAF253" w14:textId="77777777"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）基金份额净值</w:t>
      </w:r>
    </w:p>
    <w:p w14:paraId="6C1F35F0" w14:textId="77777777"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）基金销售机构及联系方式</w:t>
      </w:r>
    </w:p>
    <w:p w14:paraId="04652596" w14:textId="77777777"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w:t>
      </w:r>
      <w:r>
        <w:rPr>
          <w:rFonts w:asciiTheme="minorEastAsia" w:hAnsiTheme="minorEastAsia" w:hint="eastAsia"/>
          <w:szCs w:val="21"/>
        </w:rPr>
        <w:t>）其他重要资料</w:t>
      </w:r>
    </w:p>
    <w:p w14:paraId="375FA676" w14:textId="77777777" w:rsidR="003557EA" w:rsidRDefault="003557EA">
      <w:pPr>
        <w:spacing w:line="340" w:lineRule="exact"/>
        <w:contextualSpacing/>
        <w:rPr>
          <w:rFonts w:asciiTheme="minorEastAsia" w:hAnsiTheme="minorEastAsia"/>
          <w:szCs w:val="21"/>
        </w:rPr>
      </w:pPr>
    </w:p>
    <w:p w14:paraId="6B81D4D5" w14:textId="77777777" w:rsidR="003557EA" w:rsidRDefault="008369F2">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14:paraId="6ECED2A8" w14:textId="77777777" w:rsidR="003557EA" w:rsidRDefault="008369F2">
      <w:pPr>
        <w:spacing w:line="340" w:lineRule="exact"/>
        <w:ind w:firstLineChars="200" w:firstLine="420"/>
        <w:contextualSpacing/>
        <w:rPr>
          <w:rFonts w:asciiTheme="minorEastAsia" w:hAnsiTheme="minorEastAsia"/>
          <w:bCs/>
          <w:szCs w:val="21"/>
        </w:rPr>
      </w:pPr>
      <w:r>
        <w:rPr>
          <w:rFonts w:asciiTheme="minorEastAsia" w:hAnsiTheme="minorEastAsia"/>
          <w:szCs w:val="21"/>
        </w:rPr>
        <w:t>无</w:t>
      </w:r>
    </w:p>
    <w:sectPr w:rsidR="003557EA">
      <w:footerReference w:type="default" r:id="rId12"/>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27E5C" w14:textId="77777777" w:rsidR="008369F2" w:rsidRDefault="008369F2">
      <w:r>
        <w:separator/>
      </w:r>
    </w:p>
  </w:endnote>
  <w:endnote w:type="continuationSeparator" w:id="0">
    <w:p w14:paraId="0CBBE92A" w14:textId="77777777" w:rsidR="008369F2" w:rsidRDefault="0083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15ADA821" w14:textId="77777777" w:rsidR="003557EA" w:rsidRDefault="008369F2">
        <w:pPr>
          <w:pStyle w:val="a5"/>
          <w:jc w:val="center"/>
        </w:pPr>
        <w:r>
          <w:fldChar w:fldCharType="begin"/>
        </w:r>
        <w:r>
          <w:instrText>PAGE   \* MERGEFORMAT</w:instrText>
        </w:r>
        <w:r>
          <w:fldChar w:fldCharType="separate"/>
        </w:r>
        <w:r w:rsidR="00AD5326" w:rsidRPr="00AD5326">
          <w:rPr>
            <w:noProof/>
            <w:lang w:val="zh-CN"/>
          </w:rPr>
          <w:t>4</w:t>
        </w:r>
        <w:r>
          <w:fldChar w:fldCharType="end"/>
        </w:r>
      </w:p>
    </w:sdtContent>
  </w:sdt>
  <w:p w14:paraId="4217C9A3" w14:textId="77777777" w:rsidR="003557EA" w:rsidRDefault="003557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462B1" w14:textId="77777777" w:rsidR="008369F2" w:rsidRDefault="008369F2">
      <w:r>
        <w:separator/>
      </w:r>
    </w:p>
  </w:footnote>
  <w:footnote w:type="continuationSeparator" w:id="0">
    <w:p w14:paraId="3B344A1A" w14:textId="77777777" w:rsidR="008369F2" w:rsidRDefault="00836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704A"/>
    <w:rsid w:val="00035DF0"/>
    <w:rsid w:val="00057932"/>
    <w:rsid w:val="00074340"/>
    <w:rsid w:val="00075E30"/>
    <w:rsid w:val="000805FE"/>
    <w:rsid w:val="00095BBF"/>
    <w:rsid w:val="000C07A8"/>
    <w:rsid w:val="000C5026"/>
    <w:rsid w:val="000D7E21"/>
    <w:rsid w:val="00125549"/>
    <w:rsid w:val="001477E5"/>
    <w:rsid w:val="001575AE"/>
    <w:rsid w:val="00181AC7"/>
    <w:rsid w:val="0018376C"/>
    <w:rsid w:val="001A6B72"/>
    <w:rsid w:val="001A7C67"/>
    <w:rsid w:val="001B09D7"/>
    <w:rsid w:val="00207C7B"/>
    <w:rsid w:val="0021321D"/>
    <w:rsid w:val="0024041C"/>
    <w:rsid w:val="002662B4"/>
    <w:rsid w:val="00270214"/>
    <w:rsid w:val="0027117A"/>
    <w:rsid w:val="002876C1"/>
    <w:rsid w:val="002C4EA5"/>
    <w:rsid w:val="002D01C2"/>
    <w:rsid w:val="002E2EC1"/>
    <w:rsid w:val="002E330D"/>
    <w:rsid w:val="002F33D7"/>
    <w:rsid w:val="002F3421"/>
    <w:rsid w:val="00322DFB"/>
    <w:rsid w:val="00332F09"/>
    <w:rsid w:val="00335CDB"/>
    <w:rsid w:val="00352197"/>
    <w:rsid w:val="003557EA"/>
    <w:rsid w:val="00393690"/>
    <w:rsid w:val="003B3E2C"/>
    <w:rsid w:val="003B43CF"/>
    <w:rsid w:val="003B4DD2"/>
    <w:rsid w:val="003B769D"/>
    <w:rsid w:val="003D3559"/>
    <w:rsid w:val="003D7831"/>
    <w:rsid w:val="003E5CAE"/>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57796"/>
    <w:rsid w:val="00573E93"/>
    <w:rsid w:val="0058312A"/>
    <w:rsid w:val="00583E60"/>
    <w:rsid w:val="0059736C"/>
    <w:rsid w:val="005B0FEE"/>
    <w:rsid w:val="005B6D2B"/>
    <w:rsid w:val="0060634A"/>
    <w:rsid w:val="00626040"/>
    <w:rsid w:val="00633A06"/>
    <w:rsid w:val="00645988"/>
    <w:rsid w:val="00663768"/>
    <w:rsid w:val="00673585"/>
    <w:rsid w:val="006778AD"/>
    <w:rsid w:val="006878F5"/>
    <w:rsid w:val="006A19AA"/>
    <w:rsid w:val="006A305F"/>
    <w:rsid w:val="006E3305"/>
    <w:rsid w:val="006E5EC1"/>
    <w:rsid w:val="006F48B4"/>
    <w:rsid w:val="00702365"/>
    <w:rsid w:val="00735306"/>
    <w:rsid w:val="00762BC2"/>
    <w:rsid w:val="00796F91"/>
    <w:rsid w:val="007A0864"/>
    <w:rsid w:val="007E53B8"/>
    <w:rsid w:val="008002EC"/>
    <w:rsid w:val="008112DD"/>
    <w:rsid w:val="008369F2"/>
    <w:rsid w:val="008436C9"/>
    <w:rsid w:val="008478EE"/>
    <w:rsid w:val="00882D7D"/>
    <w:rsid w:val="00885682"/>
    <w:rsid w:val="00885970"/>
    <w:rsid w:val="00887F07"/>
    <w:rsid w:val="008A7C6C"/>
    <w:rsid w:val="008B349F"/>
    <w:rsid w:val="008B3DCC"/>
    <w:rsid w:val="008C613C"/>
    <w:rsid w:val="008D155B"/>
    <w:rsid w:val="008D39EF"/>
    <w:rsid w:val="00911345"/>
    <w:rsid w:val="00934096"/>
    <w:rsid w:val="00934DC4"/>
    <w:rsid w:val="00934ED3"/>
    <w:rsid w:val="00937FF3"/>
    <w:rsid w:val="00946A7B"/>
    <w:rsid w:val="00962944"/>
    <w:rsid w:val="00971779"/>
    <w:rsid w:val="00975C1D"/>
    <w:rsid w:val="00976C18"/>
    <w:rsid w:val="009B5CE5"/>
    <w:rsid w:val="009C6ABD"/>
    <w:rsid w:val="009D7A77"/>
    <w:rsid w:val="009F6BB0"/>
    <w:rsid w:val="00A049FC"/>
    <w:rsid w:val="00A12F39"/>
    <w:rsid w:val="00A17673"/>
    <w:rsid w:val="00A26548"/>
    <w:rsid w:val="00A4204A"/>
    <w:rsid w:val="00A66995"/>
    <w:rsid w:val="00A80AE6"/>
    <w:rsid w:val="00A85F79"/>
    <w:rsid w:val="00A9320D"/>
    <w:rsid w:val="00AA0C86"/>
    <w:rsid w:val="00AA6D5C"/>
    <w:rsid w:val="00AC0ADD"/>
    <w:rsid w:val="00AD5326"/>
    <w:rsid w:val="00AF4C00"/>
    <w:rsid w:val="00B0443E"/>
    <w:rsid w:val="00B0676F"/>
    <w:rsid w:val="00B13C49"/>
    <w:rsid w:val="00B1573C"/>
    <w:rsid w:val="00B161F0"/>
    <w:rsid w:val="00B20297"/>
    <w:rsid w:val="00B34F28"/>
    <w:rsid w:val="00B96F92"/>
    <w:rsid w:val="00BE5320"/>
    <w:rsid w:val="00BF0199"/>
    <w:rsid w:val="00C00884"/>
    <w:rsid w:val="00C04FCF"/>
    <w:rsid w:val="00C30C28"/>
    <w:rsid w:val="00C4764A"/>
    <w:rsid w:val="00C62F8F"/>
    <w:rsid w:val="00C725A0"/>
    <w:rsid w:val="00C83376"/>
    <w:rsid w:val="00C87C45"/>
    <w:rsid w:val="00C9276B"/>
    <w:rsid w:val="00CD5E5A"/>
    <w:rsid w:val="00D4452C"/>
    <w:rsid w:val="00D50B84"/>
    <w:rsid w:val="00D50D69"/>
    <w:rsid w:val="00D6161D"/>
    <w:rsid w:val="00D77ED9"/>
    <w:rsid w:val="00DC2E30"/>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46DC8"/>
    <w:rsid w:val="00F86B88"/>
    <w:rsid w:val="00F93A72"/>
    <w:rsid w:val="00FA0CFC"/>
    <w:rsid w:val="00FE117F"/>
    <w:rsid w:val="1D4C23D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F352A9B-A9DB-41AF-BDB8-3FB2660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D:\&#20844;&#21215;&#22806;&#21253;&#20272;&#20540;&#23458;&#25143;&#31471;\Bin\MOD\TMP\CN_51520000_007518_FA010080_20210009_7.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D:\&#20844;&#21215;&#22806;&#21253;&#20272;&#20540;&#23458;&#25143;&#31471;\Bin\MOD\TMP\CN_51520000_007518_FA010080_20210009_1.jp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3DCFC-3509-4647-AB6C-012D94B1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108</cp:revision>
  <cp:lastPrinted>2020-08-25T10:37:00Z</cp:lastPrinted>
  <dcterms:created xsi:type="dcterms:W3CDTF">2020-06-18T02:43:00Z</dcterms:created>
  <dcterms:modified xsi:type="dcterms:W3CDTF">2021-12-06T01:54:00Z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ies>
</file>