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CPWMQ6GQ79TQ0TBG9GR8KL0J7NM0OYYREE0XXJDTXFGRTQ5TZ0BRVC0HFYRTPFRRBOM69OZ8ZI7D8MJJRUFTKFFZ8RF0WL5B8SODQHB3862513FD1099636C7A7602A298589030" Type="http://schemas.microsoft.com/office/2006/relationships/officeDocumentMain" Target="docProps/core.xml"/><Relationship Id="rId1" Type="http://schemas.openxmlformats.org/officeDocument/2006/relationships/officeDocument" Target="word/document.xml"/><Relationship Id="DQWMP6GK79TQ069GQKR80L0S7N80OXYREJ06WJEEXGH8TQWTZDBJIC0IFY9TP88RBEM6COLIZI678IJJQUFT6FFX89CMWOLBAEOOQHB3FE864D6057FCFED21ACA8AA3F4153E39"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7EA" w:rsidRDefault="008369F2">
      <w:pPr>
        <w:jc w:val="center"/>
        <w:rPr>
          <w:rFonts w:ascii="黑体" w:eastAsia="黑体" w:hAnsi="黑体" w:cs="Times New Roman"/>
          <w:sz w:val="32"/>
          <w:szCs w:val="44"/>
        </w:rPr>
      </w:pPr>
      <w:r>
        <w:rPr>
          <w:rFonts w:ascii="黑体" w:eastAsia="黑体" w:hAnsi="黑体" w:cs="Times New Roman" w:hint="eastAsia"/>
          <w:sz w:val="32"/>
          <w:szCs w:val="44"/>
        </w:rPr>
        <w:t>东方</w:t>
      </w:r>
      <w:r>
        <w:rPr>
          <w:rFonts w:ascii="黑体" w:eastAsia="黑体" w:hAnsi="黑体" w:cs="Times New Roman"/>
          <w:sz w:val="32"/>
          <w:szCs w:val="44"/>
        </w:rPr>
        <w:t>阿尔法</w:t>
      </w:r>
      <w:r>
        <w:rPr>
          <w:rFonts w:ascii="黑体" w:eastAsia="黑体" w:hAnsi="黑体" w:cs="Times New Roman" w:hint="eastAsia"/>
          <w:sz w:val="32"/>
          <w:szCs w:val="44"/>
        </w:rPr>
        <w:t>优选</w:t>
      </w:r>
      <w:r>
        <w:rPr>
          <w:rFonts w:ascii="黑体" w:eastAsia="黑体" w:hAnsi="黑体" w:cs="Times New Roman"/>
          <w:sz w:val="32"/>
          <w:szCs w:val="44"/>
        </w:rPr>
        <w:t>混合型发起式证券投资基金（C类份额）</w:t>
      </w:r>
    </w:p>
    <w:p w:rsidR="003557EA" w:rsidRDefault="008369F2">
      <w:pPr>
        <w:jc w:val="center"/>
        <w:rPr>
          <w:rFonts w:ascii="黑体" w:eastAsia="黑体" w:hAnsi="黑体" w:cs="Times New Roman"/>
          <w:sz w:val="32"/>
          <w:szCs w:val="44"/>
        </w:rPr>
      </w:pPr>
      <w:r>
        <w:rPr>
          <w:rFonts w:ascii="黑体" w:eastAsia="黑体" w:hAnsi="黑体" w:cs="Times New Roman"/>
          <w:sz w:val="32"/>
          <w:szCs w:val="44"/>
        </w:rPr>
        <w:t>基金产品资料概要</w:t>
      </w:r>
      <w:r>
        <w:rPr>
          <w:rFonts w:ascii="黑体" w:eastAsia="黑体" w:hAnsi="黑体" w:cs="Times New Roman" w:hint="eastAsia"/>
          <w:sz w:val="32"/>
          <w:szCs w:val="44"/>
        </w:rPr>
        <w:t>更新</w:t>
      </w:r>
    </w:p>
    <w:p w:rsidR="003557EA" w:rsidRDefault="008369F2">
      <w:pPr>
        <w:spacing w:afterLines="50" w:after="156"/>
        <w:jc w:val="right"/>
        <w:rPr>
          <w:rFonts w:asciiTheme="minorEastAsia" w:hAnsiTheme="minorEastAsia"/>
        </w:rPr>
      </w:pPr>
      <w:r>
        <w:rPr>
          <w:rFonts w:asciiTheme="minorEastAsia" w:hAnsiTheme="minorEastAsia" w:hint="eastAsia"/>
        </w:rPr>
        <w:t>编制日期：</w:t>
      </w:r>
      <w:r w:rsidR="00323830">
        <w:rPr>
          <w:rFonts w:asciiTheme="minorEastAsia" w:hAnsiTheme="minorEastAsia"/>
        </w:rPr>
        <w:t>2022</w:t>
      </w:r>
      <w:r>
        <w:rPr>
          <w:rFonts w:asciiTheme="minorEastAsia" w:hAnsiTheme="minorEastAsia" w:hint="eastAsia"/>
        </w:rPr>
        <w:t>年</w:t>
      </w:r>
      <w:r w:rsidR="00323830">
        <w:rPr>
          <w:rFonts w:asciiTheme="minorEastAsia" w:hAnsiTheme="minorEastAsia"/>
        </w:rPr>
        <w:t>2</w:t>
      </w:r>
      <w:r>
        <w:rPr>
          <w:rFonts w:asciiTheme="minorEastAsia" w:hAnsiTheme="minorEastAsia" w:hint="eastAsia"/>
        </w:rPr>
        <w:t>月</w:t>
      </w:r>
      <w:r w:rsidR="00323830">
        <w:rPr>
          <w:rFonts w:asciiTheme="minorEastAsia" w:hAnsiTheme="minorEastAsia"/>
        </w:rPr>
        <w:t>23</w:t>
      </w:r>
      <w:r>
        <w:rPr>
          <w:rFonts w:asciiTheme="minorEastAsia" w:hAnsiTheme="minorEastAsia" w:hint="eastAsia"/>
        </w:rPr>
        <w:t>日</w:t>
      </w:r>
    </w:p>
    <w:p w:rsidR="003557EA" w:rsidRDefault="008369F2">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3557EA" w:rsidRDefault="008369F2">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3557EA" w:rsidRDefault="008369F2">
                            <w:pPr>
                              <w:spacing w:afterLines="10" w:after="31"/>
                              <w:jc w:val="distribute"/>
                              <w:rPr>
                                <w:rFonts w:asciiTheme="minorEastAsia" w:hAnsiTheme="minorEastAsia"/>
                                <w:b/>
                                <w:sz w:val="28"/>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VbBE9kA&#10;AAAJAQAADwAAAAAAAAABACAAAAAiAAAAZHJzL2Rvd25yZXYueG1sUEsBAhQAFAAAAAgAh07iQHt1&#10;ZeceAgAABwQAAA4AAAAAAAAAAQAgAAAAKAEAAGRycy9lMm9Eb2MueG1sUEsFBgAAAAAGAAYAWQEA&#10;ALgFA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rPr>
        <w:t>送出日期</w:t>
      </w:r>
      <w:r>
        <w:rPr>
          <w:rFonts w:asciiTheme="minorEastAsia" w:hAnsiTheme="minorEastAsia" w:hint="eastAsia"/>
        </w:rPr>
        <w:t>：</w:t>
      </w:r>
      <w:r w:rsidR="00323830">
        <w:rPr>
          <w:rFonts w:asciiTheme="minorEastAsia" w:hAnsiTheme="minorEastAsia"/>
        </w:rPr>
        <w:t>2022</w:t>
      </w:r>
      <w:r>
        <w:rPr>
          <w:rFonts w:asciiTheme="minorEastAsia" w:hAnsiTheme="minorEastAsia"/>
        </w:rPr>
        <w:t>年</w:t>
      </w:r>
      <w:r w:rsidR="00323830">
        <w:rPr>
          <w:rFonts w:asciiTheme="minorEastAsia" w:hAnsiTheme="minorEastAsia"/>
        </w:rPr>
        <w:t>2</w:t>
      </w:r>
      <w:r>
        <w:rPr>
          <w:rFonts w:asciiTheme="minorEastAsia" w:hAnsiTheme="minorEastAsia"/>
        </w:rPr>
        <w:t>月</w:t>
      </w:r>
      <w:r w:rsidR="00323830">
        <w:rPr>
          <w:rFonts w:asciiTheme="minorEastAsia" w:hAnsiTheme="minorEastAsia"/>
        </w:rPr>
        <w:t>25</w:t>
      </w:r>
      <w:r>
        <w:rPr>
          <w:rFonts w:asciiTheme="minorEastAsia" w:hAnsiTheme="minorEastAsia"/>
        </w:rPr>
        <w:t>日</w:t>
      </w:r>
    </w:p>
    <w:p w:rsidR="003557EA" w:rsidRDefault="003557EA">
      <w:pPr>
        <w:spacing w:afterLines="50" w:after="156"/>
        <w:jc w:val="right"/>
        <w:rPr>
          <w:rFonts w:ascii="华文仿宋" w:eastAsia="华文仿宋" w:hAnsi="华文仿宋"/>
        </w:rPr>
      </w:pPr>
    </w:p>
    <w:p w:rsidR="003557EA" w:rsidRDefault="003557EA">
      <w:pPr>
        <w:spacing w:afterLines="50" w:after="156"/>
        <w:ind w:right="840"/>
      </w:pPr>
    </w:p>
    <w:p w:rsidR="003557EA" w:rsidRDefault="008369F2">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410"/>
      </w:tblGrid>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优选</w:t>
            </w:r>
            <w:r>
              <w:rPr>
                <w:rFonts w:asciiTheme="minorEastAsia" w:hAnsiTheme="minorEastAsia"/>
                <w:szCs w:val="21"/>
              </w:rPr>
              <w:t>混合</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007518</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szCs w:val="21"/>
              </w:rPr>
              <w:t>东方阿尔法优选混合C</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410" w:type="dxa"/>
          </w:tcPr>
          <w:p w:rsidR="003557EA" w:rsidRDefault="008369F2">
            <w:pPr>
              <w:pStyle w:val="ad"/>
              <w:spacing w:line="360" w:lineRule="exact"/>
              <w:ind w:firstLineChars="0" w:firstLine="0"/>
              <w:rPr>
                <w:rFonts w:asciiTheme="minorEastAsia" w:hAnsiTheme="minorEastAsia"/>
                <w:szCs w:val="21"/>
                <w:highlight w:val="yellow"/>
              </w:rPr>
            </w:pPr>
            <w:r>
              <w:rPr>
                <w:rFonts w:asciiTheme="minorEastAsia" w:hAnsiTheme="minorEastAsia"/>
                <w:szCs w:val="21"/>
              </w:rPr>
              <w:t>007519</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410" w:type="dxa"/>
            <w:tcBorders>
              <w:bottom w:val="single" w:sz="4" w:space="0" w:color="auto"/>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2019</w:t>
            </w:r>
            <w:r>
              <w:rPr>
                <w:rFonts w:asciiTheme="minorEastAsia" w:hAnsiTheme="minorEastAsia" w:hint="eastAsia"/>
                <w:szCs w:val="21"/>
              </w:rPr>
              <w:t>年</w:t>
            </w:r>
            <w:r>
              <w:rPr>
                <w:rFonts w:asciiTheme="minorEastAsia" w:hAnsiTheme="minorEastAsia"/>
                <w:szCs w:val="21"/>
              </w:rPr>
              <w:t>9</w:t>
            </w:r>
            <w:r>
              <w:rPr>
                <w:rFonts w:asciiTheme="minorEastAsia" w:hAnsiTheme="minorEastAsia" w:hint="eastAsia"/>
                <w:szCs w:val="21"/>
              </w:rPr>
              <w:t>月</w:t>
            </w:r>
            <w:r>
              <w:rPr>
                <w:rFonts w:asciiTheme="minorEastAsia" w:hAnsiTheme="minorEastAsia"/>
                <w:szCs w:val="21"/>
              </w:rPr>
              <w:t>12</w:t>
            </w:r>
            <w:r>
              <w:rPr>
                <w:rFonts w:asciiTheme="minorEastAsia" w:hAnsiTheme="minorEastAsia" w:hint="eastAsia"/>
                <w:szCs w:val="21"/>
              </w:rPr>
              <w:t>日</w:t>
            </w:r>
          </w:p>
        </w:tc>
        <w:tc>
          <w:tcPr>
            <w:tcW w:w="2551" w:type="dxa"/>
            <w:tcBorders>
              <w:left w:val="nil"/>
              <w:right w:val="nil"/>
            </w:tcBorders>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410" w:type="dxa"/>
            <w:tcBorders>
              <w:lef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410" w:type="dxa"/>
            <w:tcBorders>
              <w:lef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3557EA">
        <w:trPr>
          <w:trHeight w:val="20"/>
        </w:trPr>
        <w:tc>
          <w:tcPr>
            <w:tcW w:w="1985" w:type="dxa"/>
            <w:vMerge w:val="restart"/>
            <w:vAlign w:val="center"/>
          </w:tcPr>
          <w:p w:rsidR="003557EA" w:rsidRDefault="008369F2">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rsidR="003557EA" w:rsidRDefault="008369F2">
            <w:pPr>
              <w:pStyle w:val="ad"/>
              <w:spacing w:line="360" w:lineRule="exact"/>
              <w:ind w:firstLineChars="0" w:firstLine="0"/>
              <w:jc w:val="left"/>
              <w:rPr>
                <w:rFonts w:asciiTheme="minorEastAsia" w:hAnsiTheme="minorEastAsia"/>
                <w:szCs w:val="21"/>
              </w:rPr>
            </w:pPr>
            <w:r>
              <w:rPr>
                <w:rFonts w:asciiTheme="minorEastAsia" w:hAnsiTheme="minorEastAsia"/>
                <w:szCs w:val="21"/>
              </w:rPr>
              <w:t>乔春</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w:t>
            </w:r>
            <w:proofErr w:type="gramStart"/>
            <w:r>
              <w:rPr>
                <w:rFonts w:asciiTheme="minorEastAsia" w:hAnsiTheme="minorEastAsia" w:hint="eastAsia"/>
                <w:b/>
                <w:szCs w:val="21"/>
              </w:rPr>
              <w:t>基金基金</w:t>
            </w:r>
            <w:proofErr w:type="gramEnd"/>
            <w:r>
              <w:rPr>
                <w:rFonts w:asciiTheme="minorEastAsia" w:hAnsiTheme="minorEastAsia" w:hint="eastAsia"/>
                <w:b/>
                <w:szCs w:val="21"/>
              </w:rPr>
              <w:t>经理的日期</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2021-08-25</w:t>
            </w:r>
          </w:p>
        </w:tc>
      </w:tr>
      <w:tr w:rsidR="003557EA">
        <w:trPr>
          <w:trHeight w:val="20"/>
        </w:trPr>
        <w:tc>
          <w:tcPr>
            <w:tcW w:w="1985" w:type="dxa"/>
            <w:vMerge/>
          </w:tcPr>
          <w:p w:rsidR="003557EA" w:rsidRDefault="003557EA">
            <w:pPr>
              <w:pStyle w:val="ad"/>
              <w:spacing w:line="360" w:lineRule="exact"/>
              <w:ind w:firstLineChars="0" w:firstLine="0"/>
              <w:rPr>
                <w:rFonts w:asciiTheme="minorEastAsia" w:hAnsiTheme="minorEastAsia"/>
                <w:b/>
                <w:szCs w:val="21"/>
              </w:rPr>
            </w:pPr>
          </w:p>
        </w:tc>
        <w:tc>
          <w:tcPr>
            <w:tcW w:w="2977" w:type="dxa"/>
            <w:vMerge/>
          </w:tcPr>
          <w:p w:rsidR="003557EA" w:rsidRDefault="003557EA">
            <w:pPr>
              <w:pStyle w:val="ad"/>
              <w:spacing w:line="360" w:lineRule="exact"/>
              <w:ind w:firstLineChars="0" w:firstLine="0"/>
              <w:rPr>
                <w:rFonts w:asciiTheme="minorEastAsia" w:hAnsiTheme="minorEastAsia"/>
                <w:b/>
                <w:szCs w:val="21"/>
              </w:rPr>
            </w:pP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31</w:t>
            </w:r>
          </w:p>
        </w:tc>
      </w:tr>
    </w:tbl>
    <w:p w:rsidR="003557EA" w:rsidRDefault="003557EA">
      <w:pPr>
        <w:spacing w:line="340" w:lineRule="exact"/>
        <w:rPr>
          <w:rFonts w:asciiTheme="minorEastAsia" w:hAnsiTheme="minorEastAsia"/>
          <w:b/>
          <w:szCs w:val="21"/>
        </w:rPr>
      </w:pPr>
    </w:p>
    <w:p w:rsidR="003557EA" w:rsidRDefault="008369F2">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rsidR="003557EA" w:rsidRDefault="008369F2">
      <w:pPr>
        <w:spacing w:line="340" w:lineRule="exact"/>
        <w:rPr>
          <w:rFonts w:asciiTheme="minorEastAsia" w:hAnsiTheme="minorEastAsia"/>
          <w:b/>
          <w:szCs w:val="21"/>
        </w:rPr>
      </w:pPr>
      <w:r>
        <w:rPr>
          <w:rFonts w:asciiTheme="minorEastAsia" w:hAnsiTheme="minorEastAsia" w:hint="eastAsia"/>
          <w:b/>
          <w:szCs w:val="21"/>
        </w:rPr>
        <w:t>（一）投资目标与投资策略</w:t>
      </w:r>
    </w:p>
    <w:p w:rsidR="003557EA" w:rsidRDefault="008369F2">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在严格控制风险的基础之上，通过深入研究、优选个股、主动的投资管理方式力求实现组合资产的稳健增值。</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Pr>
                <w:rFonts w:asciiTheme="minorEastAsia" w:hAnsiTheme="minorEastAsia" w:hint="eastAsia"/>
                <w:bCs/>
                <w:szCs w:val="21"/>
              </w:rPr>
              <w:t>的纯债部分</w:t>
            </w:r>
            <w:proofErr w:type="gramEnd"/>
            <w:r>
              <w:rPr>
                <w:rFonts w:asciiTheme="minorEastAsia" w:hAnsiTheme="minorEastAsia" w:hint="eastAsia"/>
                <w:bCs/>
                <w:szCs w:val="21"/>
              </w:rPr>
              <w:t>、可交换债、央行票据、中期票据、证券公司短期融资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asciiTheme="minorEastAsia" w:hAnsiTheme="minorEastAsia"/>
                <w:bCs/>
                <w:szCs w:val="21"/>
              </w:rPr>
              <w:t>恢复</w:t>
            </w:r>
            <w:r>
              <w:rPr>
                <w:rFonts w:asciiTheme="minorEastAsia" w:hAnsiTheme="minorEastAsia" w:hint="eastAsia"/>
                <w:bCs/>
                <w:szCs w:val="21"/>
              </w:rPr>
              <w:t>到合理价值的过程中，分享股价提升带来的超额收益。</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rsidR="003557EA" w:rsidRDefault="008369F2">
            <w:pPr>
              <w:spacing w:line="360" w:lineRule="exact"/>
              <w:rPr>
                <w:rFonts w:asciiTheme="minorEastAsia" w:hAnsiTheme="minorEastAsia"/>
                <w:szCs w:val="21"/>
              </w:rPr>
            </w:pPr>
            <w:r>
              <w:rPr>
                <w:rFonts w:asciiTheme="minorEastAsia" w:hAnsiTheme="minorEastAsia" w:hint="eastAsia"/>
                <w:bCs/>
                <w:szCs w:val="21"/>
              </w:rPr>
              <w:t>中证800指数收益率×80%+中证综合债券指数收益率×10%+恒生指数收益率×10%</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3557EA" w:rsidRDefault="008369F2">
      <w:pPr>
        <w:spacing w:line="340" w:lineRule="exact"/>
        <w:contextualSpacing/>
        <w:rPr>
          <w:rFonts w:asciiTheme="minorEastAsia" w:hAnsiTheme="minorEastAsia"/>
          <w:b/>
          <w:szCs w:val="21"/>
        </w:rPr>
      </w:pPr>
      <w:r>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rsidR="003557EA" w:rsidRDefault="003557EA">
      <w:pPr>
        <w:spacing w:line="340" w:lineRule="exact"/>
        <w:contextualSpacing/>
        <w:rPr>
          <w:rFonts w:asciiTheme="minorEastAsia" w:hAnsiTheme="minorEastAsia"/>
          <w:b/>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rsidR="00922C40" w:rsidRDefault="0034677D">
      <w:pPr>
        <w:spacing w:line="340" w:lineRule="exact"/>
        <w:contextualSpacing/>
        <w:rPr>
          <w:rFonts w:asciiTheme="minorEastAsia" w:hAnsiTheme="minorEastAsia"/>
          <w:b/>
          <w:szCs w:val="21"/>
        </w:rPr>
      </w:pPr>
      <w:bookmarkStart w:id="0" w:name="_GoBack"/>
      <w:r>
        <w:rPr>
          <w:rFonts w:asciiTheme="minorEastAsia" w:hAnsiTheme="minorEastAsia"/>
          <w:b/>
          <w:noProof/>
          <w:szCs w:val="21"/>
        </w:rPr>
        <w:drawing>
          <wp:anchor distT="0" distB="0" distL="114300" distR="114300" simplePos="0" relativeHeight="251662336" behindDoc="0" locked="0" layoutInCell="1" allowOverlap="1" wp14:anchorId="0507510C" wp14:editId="04BCDD8E">
            <wp:simplePos x="0" y="0"/>
            <wp:positionH relativeFrom="margin">
              <wp:align>center</wp:align>
            </wp:positionH>
            <wp:positionV relativeFrom="paragraph">
              <wp:posOffset>94615</wp:posOffset>
            </wp:positionV>
            <wp:extent cx="4832350" cy="2813538"/>
            <wp:effectExtent l="0" t="0" r="635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5545" cy="2815398"/>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C01282" w:rsidRDefault="00C01282">
      <w:pPr>
        <w:spacing w:line="340" w:lineRule="exact"/>
        <w:contextualSpacing/>
        <w:rPr>
          <w:rFonts w:asciiTheme="minorEastAsia" w:hAnsiTheme="minorEastAsia"/>
          <w:b/>
          <w:szCs w:val="21"/>
        </w:rPr>
      </w:pPr>
    </w:p>
    <w:p w:rsidR="00C01282" w:rsidRDefault="00C01282">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C01282" w:rsidRDefault="00C01282">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rsidR="003557EA" w:rsidRDefault="00C01282">
      <w:pPr>
        <w:spacing w:line="340" w:lineRule="exact"/>
        <w:contextualSpacing/>
        <w:rPr>
          <w:rFonts w:asciiTheme="minorEastAsia" w:hAnsiTheme="minorEastAsia"/>
          <w:b/>
          <w:szCs w:val="21"/>
        </w:rPr>
      </w:pPr>
      <w:r w:rsidRPr="00C01282">
        <w:rPr>
          <w:rFonts w:ascii="Calibri" w:eastAsia="宋体" w:hAnsi="Calibri" w:cs="Times New Roman"/>
          <w:noProof/>
          <w:color w:val="000000"/>
          <w:szCs w:val="21"/>
        </w:rPr>
        <w:drawing>
          <wp:anchor distT="0" distB="0" distL="114300" distR="114300" simplePos="0" relativeHeight="251661312" behindDoc="0" locked="0" layoutInCell="1" allowOverlap="1" wp14:anchorId="53DDCE49" wp14:editId="7F3FB170">
            <wp:simplePos x="0" y="0"/>
            <wp:positionH relativeFrom="margin">
              <wp:align>center</wp:align>
            </wp:positionH>
            <wp:positionV relativeFrom="paragraph">
              <wp:posOffset>10893</wp:posOffset>
            </wp:positionV>
            <wp:extent cx="5337175" cy="3051175"/>
            <wp:effectExtent l="0" t="0" r="0" b="0"/>
            <wp:wrapNone/>
            <wp:docPr id="2" name="图片 2" descr="说明: F:\公募外包估值客户端\Bin\MOD\TMP\CN_51520000_007518_FA010080_20220003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F:\公募外包估值客户端\Bin\MOD\TMP\CN_51520000_007518_FA010080_20220003_7.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7175"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lastRenderedPageBreak/>
        <w:t>三</w:t>
      </w:r>
      <w:r>
        <w:rPr>
          <w:rFonts w:asciiTheme="minorEastAsia" w:hAnsiTheme="minorEastAsia" w:hint="eastAsia"/>
          <w:b/>
          <w:szCs w:val="21"/>
        </w:rPr>
        <w:t>、</w:t>
      </w:r>
      <w:r>
        <w:rPr>
          <w:rFonts w:asciiTheme="minorEastAsia" w:hAnsiTheme="minorEastAsia"/>
          <w:b/>
          <w:szCs w:val="21"/>
        </w:rPr>
        <w:t>投资本基金涉及的费用</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/赎回基金过程中收取：</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东方阿尔法优选混合C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3557EA">
        <w:tc>
          <w:tcPr>
            <w:tcW w:w="2552"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977"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701"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1984"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3557EA">
        <w:tc>
          <w:tcPr>
            <w:tcW w:w="2552" w:type="dxa"/>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申购费（前收费）</w:t>
            </w: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w:t>
            </w:r>
          </w:p>
        </w:tc>
        <w:tc>
          <w:tcPr>
            <w:tcW w:w="1984" w:type="dxa"/>
          </w:tcPr>
          <w:p w:rsidR="003557EA" w:rsidRDefault="008369F2">
            <w:pPr>
              <w:contextualSpacing/>
              <w:rPr>
                <w:rFonts w:asciiTheme="minorEastAsia" w:hAnsiTheme="minorEastAsia"/>
                <w:szCs w:val="21"/>
              </w:rPr>
            </w:pPr>
            <w:r>
              <w:rPr>
                <w:rFonts w:asciiTheme="minorEastAsia" w:hAnsiTheme="minorEastAsia" w:hint="eastAsia"/>
                <w:szCs w:val="21"/>
              </w:rPr>
              <w:t>C类份额无申购费</w:t>
            </w:r>
          </w:p>
        </w:tc>
      </w:tr>
      <w:tr w:rsidR="003557EA">
        <w:tc>
          <w:tcPr>
            <w:tcW w:w="2552" w:type="dxa"/>
            <w:vMerge w:val="restart"/>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0＜N＜7天</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rsidR="003557EA" w:rsidRDefault="003557EA">
            <w:pPr>
              <w:contextualSpacing/>
              <w:rPr>
                <w:rFonts w:asciiTheme="minorEastAsia" w:hAnsiTheme="minorEastAsia"/>
                <w:szCs w:val="21"/>
              </w:rPr>
            </w:pPr>
          </w:p>
        </w:tc>
      </w:tr>
      <w:tr w:rsidR="003557EA">
        <w:tc>
          <w:tcPr>
            <w:tcW w:w="2552" w:type="dxa"/>
            <w:vMerge/>
          </w:tcPr>
          <w:p w:rsidR="003557EA" w:rsidRDefault="003557EA">
            <w:pPr>
              <w:spacing w:line="340" w:lineRule="exact"/>
              <w:contextualSpacing/>
              <w:rPr>
                <w:rFonts w:asciiTheme="minorEastAsia" w:hAnsiTheme="minorEastAsia"/>
                <w:b/>
                <w:szCs w:val="21"/>
              </w:rPr>
            </w:pP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7天≤N＜30天</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50</w:t>
            </w:r>
            <w:r>
              <w:rPr>
                <w:rFonts w:asciiTheme="minorEastAsia" w:hAnsiTheme="minorEastAsia" w:hint="eastAsia"/>
                <w:szCs w:val="21"/>
              </w:rPr>
              <w:t>%</w:t>
            </w:r>
          </w:p>
        </w:tc>
        <w:tc>
          <w:tcPr>
            <w:tcW w:w="1984" w:type="dxa"/>
          </w:tcPr>
          <w:p w:rsidR="003557EA" w:rsidRDefault="003557EA">
            <w:pPr>
              <w:contextualSpacing/>
              <w:rPr>
                <w:rFonts w:asciiTheme="minorEastAsia" w:hAnsiTheme="minorEastAsia"/>
                <w:szCs w:val="21"/>
              </w:rPr>
            </w:pPr>
          </w:p>
        </w:tc>
      </w:tr>
      <w:tr w:rsidR="003557EA">
        <w:trPr>
          <w:trHeight w:val="258"/>
        </w:trPr>
        <w:tc>
          <w:tcPr>
            <w:tcW w:w="2552" w:type="dxa"/>
            <w:vMerge/>
          </w:tcPr>
          <w:p w:rsidR="003557EA" w:rsidRDefault="003557EA">
            <w:pPr>
              <w:spacing w:line="340" w:lineRule="exact"/>
              <w:contextualSpacing/>
              <w:rPr>
                <w:rFonts w:asciiTheme="minorEastAsia" w:hAnsiTheme="minorEastAsia"/>
                <w:b/>
                <w:szCs w:val="21"/>
              </w:rPr>
            </w:pP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szCs w:val="21"/>
              </w:rPr>
              <w:t>30</w:t>
            </w:r>
            <w:r>
              <w:rPr>
                <w:rFonts w:asciiTheme="minorEastAsia" w:hAnsiTheme="minorEastAsia" w:hint="eastAsia"/>
                <w:szCs w:val="21"/>
              </w:rPr>
              <w:t>天≤N</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w:t>
            </w:r>
          </w:p>
        </w:tc>
        <w:tc>
          <w:tcPr>
            <w:tcW w:w="1984" w:type="dxa"/>
          </w:tcPr>
          <w:p w:rsidR="003557EA" w:rsidRDefault="003557EA">
            <w:pPr>
              <w:contextualSpacing/>
              <w:rPr>
                <w:rFonts w:asciiTheme="minorEastAsia" w:hAnsiTheme="minorEastAsia"/>
                <w:szCs w:val="21"/>
              </w:rPr>
            </w:pPr>
          </w:p>
        </w:tc>
      </w:tr>
    </w:tbl>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rsidR="003557EA" w:rsidRDefault="008369F2">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3557EA">
        <w:tc>
          <w:tcPr>
            <w:tcW w:w="2268"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 1.50%</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 0.25%</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 0.</w:t>
            </w:r>
            <w:r>
              <w:rPr>
                <w:rFonts w:asciiTheme="minorEastAsia" w:hAnsiTheme="minorEastAsia"/>
                <w:szCs w:val="21"/>
              </w:rPr>
              <w:t>50</w:t>
            </w:r>
            <w:r>
              <w:rPr>
                <w:rFonts w:asciiTheme="minorEastAsia" w:hAnsiTheme="minorEastAsia" w:hint="eastAsia"/>
                <w:szCs w:val="21"/>
              </w:rPr>
              <w:t>%</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rsidR="003557EA" w:rsidRDefault="008369F2">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w:t>
            </w:r>
          </w:p>
        </w:tc>
      </w:tr>
    </w:tbl>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注</w:t>
      </w:r>
      <w:r>
        <w:rPr>
          <w:rFonts w:asciiTheme="minorEastAsia" w:hAnsiTheme="minorEastAsia" w:hint="eastAsia"/>
          <w:szCs w:val="21"/>
        </w:rPr>
        <w:t>：本基金交易证券、基金等产生的费用和税负，按实际发生额从基金资产扣除。</w:t>
      </w:r>
    </w:p>
    <w:p w:rsidR="003557EA" w:rsidRDefault="003557EA">
      <w:pPr>
        <w:spacing w:line="340" w:lineRule="exact"/>
        <w:contextualSpacing/>
        <w:rPr>
          <w:rFonts w:asciiTheme="minorEastAsia" w:hAnsiTheme="minorEastAsia"/>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（一）风险揭示</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本基金不提供任何保证。投资者可能损失本金。投资有风险，投资者购买基金时应认真阅读本基金的《招募说明书》等销售文件。</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1、本基金特有风险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（2）本基金为发起式基金</w:t>
      </w:r>
      <w:r>
        <w:rPr>
          <w:rFonts w:asciiTheme="minorEastAsia" w:hAnsiTheme="minorEastAsia"/>
          <w:szCs w:val="21"/>
        </w:rPr>
        <w:t>。基金合同生效日起满3年后，发起资金提供方将根据自身情况决定是否继续</w:t>
      </w:r>
      <w:r>
        <w:rPr>
          <w:rFonts w:asciiTheme="minorEastAsia" w:hAnsiTheme="minorEastAsia" w:hint="eastAsia"/>
          <w:szCs w:val="21"/>
        </w:rPr>
        <w:t>持有发起资金持有的份额。基金合同生效之日起3年后的对应日，</w:t>
      </w:r>
      <w:proofErr w:type="gramStart"/>
      <w:r>
        <w:rPr>
          <w:rFonts w:asciiTheme="minorEastAsia" w:hAnsiTheme="minorEastAsia" w:hint="eastAsia"/>
          <w:szCs w:val="21"/>
        </w:rPr>
        <w:t>若基金</w:t>
      </w:r>
      <w:proofErr w:type="gramEnd"/>
      <w:r>
        <w:rPr>
          <w:rFonts w:asciiTheme="minorEastAsia" w:hAnsiTheme="minorEastAsia" w:hint="eastAsia"/>
          <w:szCs w:val="21"/>
        </w:rPr>
        <w:t>资产净值低于</w:t>
      </w:r>
      <w:r>
        <w:rPr>
          <w:rFonts w:asciiTheme="minorEastAsia" w:hAnsiTheme="minorEastAsia"/>
          <w:szCs w:val="21"/>
        </w:rPr>
        <w:t>2亿元，基金合同自动终止。</w:t>
      </w:r>
      <w:r>
        <w:rPr>
          <w:rFonts w:asciiTheme="minorEastAsia" w:hAnsiTheme="minorEastAsia" w:hint="eastAsia"/>
          <w:szCs w:val="21"/>
        </w:rPr>
        <w:t>因此，投资人将面对基金合同终止的不确定风险。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）本基金可投资股指期货，可能会出现的风险</w:t>
      </w:r>
      <w:proofErr w:type="gramStart"/>
      <w:r>
        <w:rPr>
          <w:rFonts w:asciiTheme="minorEastAsia" w:hAnsiTheme="minorEastAsia" w:hint="eastAsia"/>
          <w:szCs w:val="21"/>
        </w:rPr>
        <w:t>包括基差风险</w:t>
      </w:r>
      <w:proofErr w:type="gramEnd"/>
      <w:r>
        <w:rPr>
          <w:rFonts w:asciiTheme="minorEastAsia" w:hAnsiTheme="minorEastAsia" w:hint="eastAsia"/>
          <w:szCs w:val="21"/>
        </w:rPr>
        <w:t>、合约品种差异造成的风险、标的物风险、衍生品模型风险等。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）本基金可投资国债期货，国债期货的风险主要包含市场风险、流动性风险、信用风险、合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）本基金可投资资产支持类证券，资产支持证券的风险主要包括信用风险、利率风险、流动性风险、提前偿付风险等。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本基金除了投资于A股市场优质企业外，还可在法律法规规定的范围内投资港股通标的股票，会面临港股</w:t>
      </w:r>
      <w:proofErr w:type="gramStart"/>
      <w:r>
        <w:rPr>
          <w:rFonts w:asciiTheme="minorEastAsia" w:hAnsiTheme="minorEastAsia"/>
          <w:szCs w:val="21"/>
        </w:rPr>
        <w:t>通机制</w:t>
      </w:r>
      <w:proofErr w:type="gramEnd"/>
      <w:r>
        <w:rPr>
          <w:rFonts w:asciiTheme="minorEastAsia" w:hAnsiTheme="minorEastAsia"/>
          <w:szCs w:val="21"/>
        </w:rPr>
        <w:t>下因投资环境、投资标的、市场制度以及交易规则等差异带来的特有风险。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lastRenderedPageBreak/>
        <w:t>（7）本基金可投资</w:t>
      </w:r>
      <w:proofErr w:type="gramStart"/>
      <w:r>
        <w:rPr>
          <w:rFonts w:asciiTheme="minorEastAsia" w:hAnsiTheme="minorEastAsia" w:hint="eastAsia"/>
          <w:szCs w:val="21"/>
        </w:rPr>
        <w:t>科创板</w:t>
      </w:r>
      <w:proofErr w:type="gramEnd"/>
      <w:r>
        <w:rPr>
          <w:rFonts w:asciiTheme="minorEastAsia" w:hAnsiTheme="minorEastAsia" w:hint="eastAsia"/>
          <w:szCs w:val="21"/>
        </w:rPr>
        <w:t>上市交易股票，将承担因上市条件、交易规则、退市制度等差异带来的特有风险，包括流动性风险、退市风险、投资集中风险等。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Pr>
          <w:rFonts w:asciiTheme="minorEastAsia" w:hAnsiTheme="minorEastAsia"/>
          <w:szCs w:val="21"/>
        </w:rPr>
        <w:t>本基金可参与融资交易，融资交易的风险主要包括流动性风险、信用风险等，这些风险可能会给基金净值带来一定的负面影响和损失。</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w:t>
      </w:r>
      <w:r>
        <w:rPr>
          <w:rFonts w:asciiTheme="minorEastAsia" w:hAnsiTheme="minorEastAsia" w:hint="eastAsia"/>
          <w:szCs w:val="21"/>
        </w:rPr>
        <w:t>9</w:t>
      </w:r>
      <w:r>
        <w:rPr>
          <w:rFonts w:asciiTheme="minorEastAsia" w:hAnsiTheme="minorEastAsia"/>
          <w:szCs w:val="21"/>
        </w:rPr>
        <w:t>）</w:t>
      </w:r>
      <w:r>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2、开放式基金的共有风险：市场风险、管理风险、职业道德风险、流动性风险、合</w:t>
      </w:r>
      <w:proofErr w:type="gramStart"/>
      <w:r>
        <w:rPr>
          <w:rFonts w:asciiTheme="minorEastAsia" w:hAnsiTheme="minorEastAsia" w:hint="eastAsia"/>
          <w:szCs w:val="21"/>
        </w:rPr>
        <w:t>规</w:t>
      </w:r>
      <w:proofErr w:type="gramEnd"/>
      <w:r>
        <w:rPr>
          <w:rFonts w:asciiTheme="minorEastAsia" w:hAnsiTheme="minorEastAsia" w:hint="eastAsia"/>
          <w:szCs w:val="21"/>
        </w:rPr>
        <w:t>风险、投资管理风险、操作和技术风险以及不可抗力可能导致的其他风险。</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（二）重要提示</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中国证监会对本基金募集的</w:t>
      </w:r>
      <w:r>
        <w:rPr>
          <w:rFonts w:asciiTheme="minorEastAsia" w:hAnsiTheme="minorEastAsia"/>
          <w:szCs w:val="21"/>
        </w:rPr>
        <w:t>注册</w:t>
      </w:r>
      <w:r>
        <w:rPr>
          <w:rFonts w:asciiTheme="minorEastAsia" w:hAnsiTheme="minorEastAsia" w:hint="eastAsia"/>
          <w:szCs w:val="21"/>
        </w:rPr>
        <w:t>，并不表明其对本基金的价值和收益</w:t>
      </w:r>
      <w:proofErr w:type="gramStart"/>
      <w:r>
        <w:rPr>
          <w:rFonts w:asciiTheme="minorEastAsia" w:hAnsiTheme="minorEastAsia" w:hint="eastAsia"/>
          <w:szCs w:val="21"/>
        </w:rPr>
        <w:t>作出</w:t>
      </w:r>
      <w:proofErr w:type="gramEnd"/>
      <w:r>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rsidR="003557EA" w:rsidRDefault="003557EA">
      <w:pPr>
        <w:spacing w:line="340" w:lineRule="exact"/>
        <w:ind w:firstLineChars="200" w:firstLine="420"/>
        <w:contextualSpacing/>
        <w:rPr>
          <w:rFonts w:asciiTheme="minorEastAsia" w:hAnsiTheme="minorEastAsia"/>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rsidR="003557EA" w:rsidRDefault="003557EA">
      <w:pPr>
        <w:spacing w:line="340" w:lineRule="exact"/>
        <w:contextualSpacing/>
        <w:rPr>
          <w:rFonts w:asciiTheme="minorEastAsia" w:hAnsiTheme="minorEastAsia"/>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rsidR="003557EA" w:rsidRDefault="008369F2">
      <w:pPr>
        <w:spacing w:line="340" w:lineRule="exact"/>
        <w:ind w:firstLineChars="200" w:firstLine="420"/>
        <w:contextualSpacing/>
        <w:rPr>
          <w:rFonts w:asciiTheme="minorEastAsia" w:hAnsiTheme="minorEastAsia"/>
          <w:bCs/>
          <w:szCs w:val="21"/>
        </w:rPr>
      </w:pPr>
      <w:r>
        <w:rPr>
          <w:rFonts w:asciiTheme="minorEastAsia" w:hAnsiTheme="minorEastAsia"/>
          <w:szCs w:val="21"/>
        </w:rPr>
        <w:t>无</w:t>
      </w:r>
    </w:p>
    <w:sectPr w:rsidR="003557E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F6F" w:rsidRDefault="00764F6F">
      <w:r>
        <w:separator/>
      </w:r>
    </w:p>
  </w:endnote>
  <w:endnote w:type="continuationSeparator" w:id="0">
    <w:p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3557EA" w:rsidRDefault="008369F2">
        <w:pPr>
          <w:pStyle w:val="a5"/>
          <w:jc w:val="center"/>
        </w:pPr>
        <w:r>
          <w:fldChar w:fldCharType="begin"/>
        </w:r>
        <w:r>
          <w:instrText>PAGE   \* MERGEFORMAT</w:instrText>
        </w:r>
        <w:r>
          <w:fldChar w:fldCharType="separate"/>
        </w:r>
        <w:r w:rsidR="0034677D" w:rsidRPr="0034677D">
          <w:rPr>
            <w:noProof/>
            <w:lang w:val="zh-CN"/>
          </w:rPr>
          <w:t>4</w:t>
        </w:r>
        <w:r>
          <w:fldChar w:fldCharType="end"/>
        </w:r>
      </w:p>
    </w:sdtContent>
  </w:sdt>
  <w:p w:rsidR="003557EA" w:rsidRDefault="003557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F6F" w:rsidRDefault="00764F6F">
      <w:r>
        <w:separator/>
      </w:r>
    </w:p>
  </w:footnote>
  <w:footnote w:type="continuationSeparator" w:id="0">
    <w:p w:rsidR="00764F6F" w:rsidRDefault="00764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704A"/>
    <w:rsid w:val="00035DF0"/>
    <w:rsid w:val="000374CF"/>
    <w:rsid w:val="00040E86"/>
    <w:rsid w:val="00057932"/>
    <w:rsid w:val="00074340"/>
    <w:rsid w:val="00075E30"/>
    <w:rsid w:val="000805FE"/>
    <w:rsid w:val="00095BBF"/>
    <w:rsid w:val="000B6C60"/>
    <w:rsid w:val="000C07A8"/>
    <w:rsid w:val="000C5026"/>
    <w:rsid w:val="000D7E21"/>
    <w:rsid w:val="00125549"/>
    <w:rsid w:val="001477E5"/>
    <w:rsid w:val="001575AE"/>
    <w:rsid w:val="00181AC7"/>
    <w:rsid w:val="0018376C"/>
    <w:rsid w:val="001A6B72"/>
    <w:rsid w:val="001A7C67"/>
    <w:rsid w:val="001B09D7"/>
    <w:rsid w:val="00207C7B"/>
    <w:rsid w:val="0021321D"/>
    <w:rsid w:val="0024041C"/>
    <w:rsid w:val="002662B4"/>
    <w:rsid w:val="00270214"/>
    <w:rsid w:val="0027117A"/>
    <w:rsid w:val="002876C1"/>
    <w:rsid w:val="002C4EA5"/>
    <w:rsid w:val="002D01C2"/>
    <w:rsid w:val="002E2EC1"/>
    <w:rsid w:val="002E330D"/>
    <w:rsid w:val="002F33D7"/>
    <w:rsid w:val="002F3421"/>
    <w:rsid w:val="00322DFB"/>
    <w:rsid w:val="00323830"/>
    <w:rsid w:val="00332F09"/>
    <w:rsid w:val="00335CDB"/>
    <w:rsid w:val="00336B1E"/>
    <w:rsid w:val="0034677D"/>
    <w:rsid w:val="00352197"/>
    <w:rsid w:val="003557EA"/>
    <w:rsid w:val="00393690"/>
    <w:rsid w:val="003B3E2C"/>
    <w:rsid w:val="003B43CF"/>
    <w:rsid w:val="003B4DD2"/>
    <w:rsid w:val="003B769D"/>
    <w:rsid w:val="003D3559"/>
    <w:rsid w:val="003D7831"/>
    <w:rsid w:val="003E5CAE"/>
    <w:rsid w:val="003E7113"/>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57796"/>
    <w:rsid w:val="00573E93"/>
    <w:rsid w:val="0058312A"/>
    <w:rsid w:val="00583E60"/>
    <w:rsid w:val="0059736C"/>
    <w:rsid w:val="005B0FEE"/>
    <w:rsid w:val="005B6D2B"/>
    <w:rsid w:val="0060634A"/>
    <w:rsid w:val="00626040"/>
    <w:rsid w:val="00633A06"/>
    <w:rsid w:val="00645988"/>
    <w:rsid w:val="00663768"/>
    <w:rsid w:val="00673585"/>
    <w:rsid w:val="006778AD"/>
    <w:rsid w:val="006878F5"/>
    <w:rsid w:val="006A19AA"/>
    <w:rsid w:val="006A305F"/>
    <w:rsid w:val="006E3305"/>
    <w:rsid w:val="006E5EC1"/>
    <w:rsid w:val="006F48B4"/>
    <w:rsid w:val="00702365"/>
    <w:rsid w:val="00735306"/>
    <w:rsid w:val="00762BC2"/>
    <w:rsid w:val="00764F6F"/>
    <w:rsid w:val="00796F91"/>
    <w:rsid w:val="007A0864"/>
    <w:rsid w:val="007E53B8"/>
    <w:rsid w:val="008002EC"/>
    <w:rsid w:val="008112DD"/>
    <w:rsid w:val="00833A17"/>
    <w:rsid w:val="008369F2"/>
    <w:rsid w:val="008436C9"/>
    <w:rsid w:val="008478EE"/>
    <w:rsid w:val="00882D7D"/>
    <w:rsid w:val="00885682"/>
    <w:rsid w:val="00885970"/>
    <w:rsid w:val="00887F07"/>
    <w:rsid w:val="008A7C6C"/>
    <w:rsid w:val="008B349F"/>
    <w:rsid w:val="008B3DCC"/>
    <w:rsid w:val="008C613C"/>
    <w:rsid w:val="008D155B"/>
    <w:rsid w:val="008D39EF"/>
    <w:rsid w:val="00911345"/>
    <w:rsid w:val="00922C40"/>
    <w:rsid w:val="00934096"/>
    <w:rsid w:val="00934DC4"/>
    <w:rsid w:val="00934ED3"/>
    <w:rsid w:val="00937FF3"/>
    <w:rsid w:val="00946A7B"/>
    <w:rsid w:val="00962944"/>
    <w:rsid w:val="00971779"/>
    <w:rsid w:val="00975C1D"/>
    <w:rsid w:val="00976C18"/>
    <w:rsid w:val="009B5CE5"/>
    <w:rsid w:val="009C6ABD"/>
    <w:rsid w:val="009D7A77"/>
    <w:rsid w:val="009F6BB0"/>
    <w:rsid w:val="00A049FC"/>
    <w:rsid w:val="00A12F39"/>
    <w:rsid w:val="00A17673"/>
    <w:rsid w:val="00A26548"/>
    <w:rsid w:val="00A4204A"/>
    <w:rsid w:val="00A66995"/>
    <w:rsid w:val="00A80AE6"/>
    <w:rsid w:val="00A85F79"/>
    <w:rsid w:val="00A9320D"/>
    <w:rsid w:val="00AA0C86"/>
    <w:rsid w:val="00AA6D5C"/>
    <w:rsid w:val="00AC0ADD"/>
    <w:rsid w:val="00AD5326"/>
    <w:rsid w:val="00AF4C00"/>
    <w:rsid w:val="00B0443E"/>
    <w:rsid w:val="00B0676F"/>
    <w:rsid w:val="00B13C49"/>
    <w:rsid w:val="00B1573C"/>
    <w:rsid w:val="00B161F0"/>
    <w:rsid w:val="00B20297"/>
    <w:rsid w:val="00B34F28"/>
    <w:rsid w:val="00B96F92"/>
    <w:rsid w:val="00BE5320"/>
    <w:rsid w:val="00BF0199"/>
    <w:rsid w:val="00C00884"/>
    <w:rsid w:val="00C01282"/>
    <w:rsid w:val="00C04FCF"/>
    <w:rsid w:val="00C30C28"/>
    <w:rsid w:val="00C4764A"/>
    <w:rsid w:val="00C62F8F"/>
    <w:rsid w:val="00C725A0"/>
    <w:rsid w:val="00C83376"/>
    <w:rsid w:val="00C87C45"/>
    <w:rsid w:val="00C9276B"/>
    <w:rsid w:val="00CD5E5A"/>
    <w:rsid w:val="00D4452C"/>
    <w:rsid w:val="00D50B84"/>
    <w:rsid w:val="00D50D69"/>
    <w:rsid w:val="00D6161D"/>
    <w:rsid w:val="00D77ED9"/>
    <w:rsid w:val="00DC2E30"/>
    <w:rsid w:val="00DC42B2"/>
    <w:rsid w:val="00DD1D9C"/>
    <w:rsid w:val="00E0755E"/>
    <w:rsid w:val="00E260A7"/>
    <w:rsid w:val="00E51C1F"/>
    <w:rsid w:val="00E844CD"/>
    <w:rsid w:val="00EA0311"/>
    <w:rsid w:val="00EC73BA"/>
    <w:rsid w:val="00ED549B"/>
    <w:rsid w:val="00EE2570"/>
    <w:rsid w:val="00EE2851"/>
    <w:rsid w:val="00EF641D"/>
    <w:rsid w:val="00F13F63"/>
    <w:rsid w:val="00F214CE"/>
    <w:rsid w:val="00F34626"/>
    <w:rsid w:val="00F46DC8"/>
    <w:rsid w:val="00F86B88"/>
    <w:rsid w:val="00F93A72"/>
    <w:rsid w:val="00FA0CFC"/>
    <w:rsid w:val="00FE117F"/>
    <w:rsid w:val="1D4C23DD"/>
    <w:rsid w:val="7E04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F352A9B-A9DB-41AF-BDB8-3FB2660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08DA1-3B9A-48A2-BCB9-D7B32C87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114</cp:revision>
  <cp:lastPrinted>2020-08-25T10:37:00Z</cp:lastPrinted>
  <dcterms:created xsi:type="dcterms:W3CDTF">2020-06-18T02:43:00Z</dcterms:created>
  <dcterms:modified xsi:type="dcterms:W3CDTF">2022-02-22T06:30:00Z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CPWMQ6GQ79TQ0TBG9GR8KL0J7NM0OYYREE0XXJDTXFGRTQ5TZ0BRVC0HFYRTPFRRBOM69OZ8ZI7D8MJJRUFTKFFZ8RF0WL5B8SODQHB3862513FD1099636C7A7602A298589030</vt:lpwstr>
  </property>
  <property fmtid="{D5CDD505-2E9C-101B-9397-08002B2CF9AE}" pid="4" name="_KSOProductBuildSID">
    <vt:lpwstr>DQWMP6GK79TQ069GQKR80L0S7N80OXYREJ06WJEEXGH8TQWTZDBJIC0IFY9TP88RBEM6COLIZI678IJJQUFT6FFX89CMWOLBAEOOQHB3FE864D6057FCFED21ACA8AA3F4153E39</vt:lpwstr>
  </property>
</Properties>
</file>