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59" w:rsidRDefault="00A43F61">
      <w:pPr>
        <w:adjustRightInd w:val="0"/>
        <w:snapToGrid w:val="0"/>
        <w:spacing w:line="360" w:lineRule="auto"/>
        <w:rPr>
          <w:rFonts w:ascii="宋体" w:hAnsi="宋体" w:cs="Arial"/>
          <w:szCs w:val="21"/>
        </w:rPr>
      </w:pPr>
      <w:bookmarkStart w:id="0" w:name="CLAUSE_4a8a96dcd6964f1791ff08be1c28aa5c"/>
      <w:r>
        <w:rPr>
          <w:rFonts w:ascii="宋体" w:hAnsi="宋体"/>
        </w:rPr>
        <w:t xml:space="preserve"> </w:t>
      </w:r>
      <w:bookmarkStart w:id="1" w:name="CTS_4a8a96dcd6964f1791ff08be1c28aa5c"/>
      <w:bookmarkStart w:id="2" w:name="CLAUSE_91f0a2055331492b8a9c9cc763a09e93"/>
      <w:bookmarkStart w:id="3" w:name="CLAUSE_4c693be6e66f4ed0aa54fcb7685cd808"/>
      <w:bookmarkStart w:id="4" w:name="CLAUSE_468ded6493c9462ebc131b865f5d7da2"/>
      <w:bookmarkEnd w:id="1"/>
    </w:p>
    <w:p w:rsidR="00065659" w:rsidRDefault="00065659">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hint="eastAsia"/>
          <w:b/>
          <w:szCs w:val="21"/>
        </w:rPr>
      </w:pPr>
    </w:p>
    <w:p w:rsidR="00065659" w:rsidRDefault="00A43F61">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rsidR="00065659" w:rsidRDefault="00A43F61">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东方阿尔法医疗健康混合型发起式证券投资基金</w:t>
      </w:r>
      <w:r>
        <w:rPr>
          <w:rFonts w:ascii="黑体" w:eastAsia="黑体" w:hAnsi="黑体" w:cs="Arial" w:hint="eastAsia"/>
          <w:b/>
          <w:sz w:val="44"/>
          <w:szCs w:val="44"/>
        </w:rPr>
        <w:t>托管协议</w:t>
      </w:r>
    </w:p>
    <w:p w:rsidR="00065659" w:rsidRDefault="00065659">
      <w:pPr>
        <w:adjustRightInd w:val="0"/>
        <w:snapToGrid w:val="0"/>
        <w:spacing w:line="360" w:lineRule="auto"/>
        <w:jc w:val="center"/>
        <w:rPr>
          <w:rFonts w:ascii="黑体" w:eastAsia="黑体" w:hAnsi="黑体"/>
          <w:b/>
          <w:sz w:val="44"/>
          <w:szCs w:val="44"/>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A43F61">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rsidR="00065659" w:rsidRDefault="00A43F61">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招商银行股份有限公司</w:t>
      </w:r>
    </w:p>
    <w:p w:rsidR="00065659" w:rsidRDefault="00065659">
      <w:pPr>
        <w:adjustRightInd w:val="0"/>
        <w:snapToGrid w:val="0"/>
        <w:spacing w:line="360" w:lineRule="auto"/>
        <w:jc w:val="center"/>
        <w:rPr>
          <w:rFonts w:ascii="宋体" w:hAnsi="宋体"/>
          <w:sz w:val="28"/>
        </w:rPr>
      </w:pPr>
    </w:p>
    <w:p w:rsidR="00065659" w:rsidRDefault="00065659">
      <w:pPr>
        <w:adjustRightInd w:val="0"/>
        <w:snapToGrid w:val="0"/>
        <w:spacing w:line="360" w:lineRule="auto"/>
        <w:rPr>
          <w:rFonts w:ascii="宋体" w:hAnsi="宋体" w:cs="Arial"/>
          <w:bCs/>
          <w:szCs w:val="21"/>
        </w:rPr>
        <w:sectPr w:rsidR="00065659">
          <w:headerReference w:type="default" r:id="rId52"/>
          <w:type w:val="continuous"/>
          <w:pgSz w:w="11906" w:h="16838"/>
          <w:pgMar w:top="1418" w:right="1701" w:bottom="1418" w:left="1701" w:header="851" w:footer="992" w:gutter="0"/>
          <w:cols w:space="425"/>
          <w:docGrid w:type="lines" w:linePitch="312"/>
        </w:sectPr>
      </w:pPr>
      <w:bookmarkStart w:id="5" w:name="CTS_bd58dd527ca2412b839164a45ea933d0"/>
      <w:bookmarkStart w:id="6" w:name="CTS_bbd036a1a28c47a6a84d9b8ff7038d71"/>
      <w:bookmarkStart w:id="7" w:name="CTS_c8abddb0eaae477ea000f52c393303c4"/>
      <w:bookmarkStart w:id="8" w:name="CTS_727662275f9a4aec82ab8b8233c36637"/>
      <w:bookmarkStart w:id="9" w:name="CLAUSE_bd58dd527ca2412b839164a45ea933d0"/>
      <w:bookmarkStart w:id="10" w:name="CLAUSE_bbd036a1a28c47a6a84d9b8ff7038d71"/>
      <w:bookmarkStart w:id="11" w:name="CLAUSE_727662275f9a4aec82ab8b8233c36637"/>
      <w:bookmarkStart w:id="12" w:name="CTS_64c90b257f834672b082f6ac2cf896d3"/>
      <w:bookmarkEnd w:id="0"/>
      <w:bookmarkEnd w:id="2"/>
      <w:bookmarkEnd w:id="3"/>
      <w:bookmarkEnd w:id="4"/>
      <w:bookmarkEnd w:id="5"/>
      <w:bookmarkEnd w:id="6"/>
      <w:bookmarkEnd w:id="7"/>
      <w:bookmarkEnd w:id="8"/>
      <w:bookmarkEnd w:id="12"/>
    </w:p>
    <w:p w:rsidR="00065659" w:rsidRDefault="00065659">
      <w:pPr>
        <w:adjustRightInd w:val="0"/>
        <w:snapToGrid w:val="0"/>
        <w:spacing w:line="360" w:lineRule="auto"/>
        <w:rPr>
          <w:rFonts w:ascii="宋体" w:hAnsi="宋体" w:cs="Arial"/>
          <w:bCs/>
          <w:szCs w:val="21"/>
        </w:rPr>
      </w:pPr>
      <w:bookmarkStart w:id="13" w:name="CLAUSE_9d4d248183564d13a0cbc7dcce6e82c7"/>
      <w:bookmarkStart w:id="14" w:name="CTS_9d4d248183564d13a0cbc7dcce6e82c7"/>
      <w:bookmarkEnd w:id="14"/>
    </w:p>
    <w:p w:rsidR="00065659" w:rsidRDefault="00A43F61">
      <w:pPr>
        <w:spacing w:line="360" w:lineRule="auto"/>
        <w:jc w:val="center"/>
        <w:rPr>
          <w:rFonts w:ascii="宋体" w:hAnsi="宋体"/>
          <w:b/>
          <w:sz w:val="32"/>
          <w:szCs w:val="32"/>
        </w:rPr>
      </w:pPr>
      <w:r>
        <w:rPr>
          <w:rFonts w:ascii="宋体" w:hAnsi="宋体" w:hint="eastAsia"/>
          <w:b/>
          <w:sz w:val="32"/>
          <w:szCs w:val="32"/>
        </w:rPr>
        <w:t>目录</w:t>
      </w:r>
    </w:p>
    <w:p w:rsidR="00065659" w:rsidRDefault="00A43F61">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r>
          <w:rPr>
            <w:rFonts w:ascii="宋体" w:hAnsi="宋体"/>
            <w:sz w:val="24"/>
          </w:rPr>
          <w:t>）</w:t>
        </w:r>
      </w:hyperlink>
    </w:p>
    <w:p w:rsidR="00065659" w:rsidRDefault="00A43F61">
      <w:pPr>
        <w:pStyle w:val="10"/>
        <w:tabs>
          <w:tab w:val="left" w:pos="1500"/>
          <w:tab w:val="right" w:leader="dot" w:pos="8494"/>
        </w:tabs>
        <w:spacing w:line="360" w:lineRule="auto"/>
        <w:rPr>
          <w:rFonts w:ascii="宋体" w:hAnsi="宋体"/>
          <w:sz w:val="24"/>
        </w:rPr>
      </w:pPr>
      <w:hyperlink w:anchor="_Toc3276849" w:history="1">
        <w:r>
          <w:rPr>
            <w:rStyle w:val="af1"/>
            <w:rFonts w:ascii="宋体" w:hAnsi="宋体" w:hint="eastAsia"/>
            <w:sz w:val="24"/>
          </w:rPr>
          <w:t>第二部分</w:t>
        </w:r>
        <w:r>
          <w:rPr>
            <w:rFonts w:ascii="宋体" w:hAnsi="宋体"/>
            <w:sz w:val="24"/>
          </w:rPr>
          <w:tab/>
        </w:r>
        <w:r>
          <w:rPr>
            <w:rStyle w:val="af1"/>
            <w:rFonts w:ascii="宋体" w:hAnsi="宋体" w:hint="eastAsia"/>
            <w:sz w:val="24"/>
          </w:rPr>
          <w:t>基金托管协议的依据、目的和原则</w:t>
        </w:r>
        <w:r>
          <w:rPr>
            <w:rFonts w:ascii="宋体" w:hAnsi="宋体"/>
            <w:sz w:val="24"/>
          </w:rPr>
          <w:tab/>
          <w:t>2-</w:t>
        </w:r>
        <w:r>
          <w:rPr>
            <w:rFonts w:ascii="宋体" w:hAnsi="宋体" w:hint="eastAsia"/>
            <w:sz w:val="24"/>
          </w:rPr>
          <w:t>（</w:t>
        </w:r>
        <w:r>
          <w:rPr>
            <w:rFonts w:ascii="宋体" w:hAnsi="宋体"/>
            <w:sz w:val="24"/>
          </w:rPr>
          <w:fldChar w:fldCharType="begin"/>
        </w:r>
        <w:r>
          <w:rPr>
            <w:rFonts w:ascii="宋体" w:hAnsi="宋体"/>
            <w:sz w:val="24"/>
          </w:rPr>
          <w:instrText xml:space="preserve"> PAGEREF _Toc3276849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0" w:history="1">
        <w:r>
          <w:rPr>
            <w:rStyle w:val="af1"/>
            <w:rFonts w:ascii="宋体" w:hAnsi="宋体" w:hint="eastAsia"/>
            <w:sz w:val="24"/>
          </w:rPr>
          <w:t>第三部分</w:t>
        </w:r>
        <w:r>
          <w:rPr>
            <w:rFonts w:ascii="宋体" w:hAnsi="宋体"/>
            <w:sz w:val="24"/>
          </w:rPr>
          <w:tab/>
        </w:r>
        <w:r>
          <w:rPr>
            <w:rStyle w:val="af1"/>
            <w:rFonts w:ascii="宋体" w:hAnsi="宋体" w:hint="eastAsia"/>
            <w:sz w:val="24"/>
          </w:rPr>
          <w:t>基金托管人对基金管理人的业务监督和核查</w:t>
        </w:r>
        <w:r>
          <w:rPr>
            <w:rFonts w:ascii="宋体" w:hAnsi="宋体"/>
            <w:sz w:val="24"/>
          </w:rPr>
          <w:tab/>
          <w:t>3-</w:t>
        </w:r>
        <w:r>
          <w:rPr>
            <w:rFonts w:ascii="宋体" w:hAnsi="宋体" w:hint="eastAsia"/>
            <w:sz w:val="24"/>
          </w:rPr>
          <w:t>（</w:t>
        </w:r>
        <w:r>
          <w:rPr>
            <w:rFonts w:ascii="宋体" w:hAnsi="宋体"/>
            <w:sz w:val="24"/>
          </w:rPr>
          <w:fldChar w:fldCharType="begin"/>
        </w:r>
        <w:r>
          <w:rPr>
            <w:rFonts w:ascii="宋体" w:hAnsi="宋体"/>
            <w:sz w:val="24"/>
          </w:rPr>
          <w:instrText xml:space="preserve"> </w:instrText>
        </w:r>
        <w:r>
          <w:rPr>
            <w:rFonts w:ascii="宋体" w:hAnsi="宋体"/>
            <w:sz w:val="24"/>
          </w:rPr>
          <w:instrText xml:space="preserve">PAGEREF _Toc3276850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-11</w:t>
      </w:r>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1" w:history="1">
        <w:r>
          <w:rPr>
            <w:rStyle w:val="af1"/>
            <w:rFonts w:ascii="宋体" w:hAnsi="宋体" w:hint="eastAsia"/>
            <w:sz w:val="24"/>
          </w:rPr>
          <w:t>第四部分</w:t>
        </w:r>
        <w:r>
          <w:rPr>
            <w:rFonts w:ascii="宋体" w:hAnsi="宋体"/>
            <w:sz w:val="24"/>
          </w:rPr>
          <w:tab/>
        </w:r>
        <w:r>
          <w:rPr>
            <w:rStyle w:val="af1"/>
            <w:rFonts w:ascii="宋体" w:hAnsi="宋体" w:hint="eastAsia"/>
            <w:sz w:val="24"/>
          </w:rPr>
          <w:t>基金管理人对基金托管人的业务核查</w:t>
        </w:r>
        <w:r>
          <w:rPr>
            <w:rFonts w:ascii="宋体" w:hAnsi="宋体"/>
            <w:sz w:val="24"/>
          </w:rPr>
          <w:tab/>
          <w:t>4-</w:t>
        </w:r>
        <w:r>
          <w:rPr>
            <w:rFonts w:ascii="宋体" w:hAnsi="宋体" w:hint="eastAsia"/>
            <w:sz w:val="24"/>
          </w:rPr>
          <w:t>（</w:t>
        </w:r>
        <w:r>
          <w:rPr>
            <w:rFonts w:ascii="宋体" w:hAnsi="宋体"/>
            <w:sz w:val="24"/>
          </w:rPr>
          <w:fldChar w:fldCharType="begin"/>
        </w:r>
        <w:r>
          <w:rPr>
            <w:rFonts w:ascii="宋体" w:hAnsi="宋体"/>
            <w:sz w:val="24"/>
          </w:rPr>
          <w:instrText xml:space="preserve"> PAGEREF _Toc3276851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2" w:history="1">
        <w:r>
          <w:rPr>
            <w:rStyle w:val="af1"/>
            <w:rFonts w:ascii="宋体" w:hAnsi="宋体" w:hint="eastAsia"/>
            <w:sz w:val="24"/>
          </w:rPr>
          <w:t>第五部分</w:t>
        </w:r>
        <w:r>
          <w:rPr>
            <w:rFonts w:ascii="宋体" w:hAnsi="宋体"/>
            <w:sz w:val="24"/>
          </w:rPr>
          <w:tab/>
        </w:r>
        <w:r>
          <w:rPr>
            <w:rStyle w:val="af1"/>
            <w:rFonts w:ascii="宋体" w:hAnsi="宋体" w:hint="eastAsia"/>
            <w:sz w:val="24"/>
          </w:rPr>
          <w:t>基金财产的保管</w:t>
        </w:r>
        <w:r>
          <w:rPr>
            <w:rFonts w:ascii="宋体" w:hAnsi="宋体"/>
            <w:sz w:val="24"/>
          </w:rPr>
          <w:tab/>
          <w:t>5-</w:t>
        </w:r>
        <w:r>
          <w:rPr>
            <w:rFonts w:ascii="宋体" w:hAnsi="宋体" w:hint="eastAsia"/>
            <w:sz w:val="24"/>
          </w:rPr>
          <w:t>（</w:t>
        </w:r>
        <w:r>
          <w:rPr>
            <w:rFonts w:ascii="宋体" w:hAnsi="宋体"/>
            <w:sz w:val="24"/>
          </w:rPr>
          <w:fldChar w:fldCharType="begin"/>
        </w:r>
        <w:r>
          <w:rPr>
            <w:rFonts w:ascii="宋体" w:hAnsi="宋体"/>
            <w:sz w:val="24"/>
          </w:rPr>
          <w:instrText xml:space="preserve"> PAGEREF _Toc3276852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-4</w:t>
      </w:r>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3" w:history="1">
        <w:r>
          <w:rPr>
            <w:rStyle w:val="af1"/>
            <w:rFonts w:ascii="宋体" w:hAnsi="宋体" w:hint="eastAsia"/>
            <w:sz w:val="24"/>
          </w:rPr>
          <w:t>第六部分</w:t>
        </w:r>
        <w:r>
          <w:rPr>
            <w:rFonts w:ascii="宋体" w:hAnsi="宋体"/>
            <w:sz w:val="24"/>
          </w:rPr>
          <w:tab/>
        </w:r>
        <w:r>
          <w:rPr>
            <w:rStyle w:val="af1"/>
            <w:rFonts w:ascii="宋体" w:hAnsi="宋体" w:hint="eastAsia"/>
            <w:sz w:val="24"/>
          </w:rPr>
          <w:t>指令的发送、确认及执行</w:t>
        </w:r>
        <w:r>
          <w:rPr>
            <w:rFonts w:ascii="宋体" w:hAnsi="宋体"/>
            <w:sz w:val="24"/>
          </w:rPr>
          <w:tab/>
          <w:t>6-</w:t>
        </w:r>
        <w:r>
          <w:rPr>
            <w:rFonts w:ascii="宋体" w:hAnsi="宋体" w:hint="eastAsia"/>
            <w:sz w:val="24"/>
          </w:rPr>
          <w:t>（</w:t>
        </w:r>
        <w:r>
          <w:rPr>
            <w:rFonts w:ascii="宋体" w:hAnsi="宋体"/>
            <w:sz w:val="24"/>
          </w:rPr>
          <w:fldChar w:fldCharType="begin"/>
        </w:r>
        <w:r>
          <w:rPr>
            <w:rFonts w:ascii="宋体" w:hAnsi="宋体"/>
            <w:sz w:val="24"/>
          </w:rPr>
          <w:instrText xml:space="preserve"> PAGEREF _Toc3276853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-5</w:t>
      </w:r>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4" w:history="1">
        <w:r>
          <w:rPr>
            <w:rStyle w:val="af1"/>
            <w:rFonts w:ascii="宋体" w:hAnsi="宋体" w:hint="eastAsia"/>
            <w:sz w:val="24"/>
          </w:rPr>
          <w:t>第七部分</w:t>
        </w:r>
        <w:r>
          <w:rPr>
            <w:rFonts w:ascii="宋体" w:hAnsi="宋体"/>
            <w:sz w:val="24"/>
          </w:rPr>
          <w:tab/>
        </w:r>
        <w:r>
          <w:rPr>
            <w:rStyle w:val="af1"/>
            <w:rFonts w:ascii="宋体" w:hAnsi="宋体" w:hint="eastAsia"/>
            <w:sz w:val="24"/>
          </w:rPr>
          <w:t>交易及清算交收安排</w:t>
        </w:r>
        <w:r>
          <w:rPr>
            <w:rFonts w:ascii="宋体" w:hAnsi="宋体"/>
            <w:sz w:val="24"/>
          </w:rPr>
          <w:tab/>
          <w:t>7-</w:t>
        </w:r>
        <w:r>
          <w:rPr>
            <w:rFonts w:ascii="宋体" w:hAnsi="宋体" w:hint="eastAsia"/>
            <w:sz w:val="24"/>
          </w:rPr>
          <w:t>（</w:t>
        </w:r>
        <w:r>
          <w:rPr>
            <w:rFonts w:ascii="宋体" w:hAnsi="宋体"/>
            <w:sz w:val="24"/>
          </w:rPr>
          <w:fldChar w:fldCharType="begin"/>
        </w:r>
        <w:r>
          <w:rPr>
            <w:rFonts w:ascii="宋体" w:hAnsi="宋体"/>
            <w:sz w:val="24"/>
          </w:rPr>
          <w:instrText xml:space="preserve"> PAGEREF _Toc3276854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-4</w:t>
      </w:r>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5" w:history="1">
        <w:r>
          <w:rPr>
            <w:rStyle w:val="af1"/>
            <w:rFonts w:ascii="宋体" w:hAnsi="宋体" w:hint="eastAsia"/>
            <w:sz w:val="24"/>
          </w:rPr>
          <w:t>第八部分</w:t>
        </w:r>
        <w:r>
          <w:rPr>
            <w:rFonts w:ascii="宋体" w:hAnsi="宋体"/>
            <w:sz w:val="24"/>
          </w:rPr>
          <w:tab/>
        </w:r>
        <w:r>
          <w:rPr>
            <w:rStyle w:val="af1"/>
            <w:rFonts w:ascii="宋体" w:hAnsi="宋体" w:hint="eastAsia"/>
            <w:sz w:val="24"/>
          </w:rPr>
          <w:t>基金资产净值计算、估值和会计核算</w:t>
        </w:r>
        <w:r>
          <w:rPr>
            <w:rFonts w:ascii="宋体" w:hAnsi="宋体"/>
            <w:sz w:val="24"/>
          </w:rPr>
          <w:tab/>
          <w:t>8-</w:t>
        </w:r>
        <w:r>
          <w:rPr>
            <w:rFonts w:ascii="宋体" w:hAnsi="宋体" w:hint="eastAsia"/>
            <w:sz w:val="24"/>
          </w:rPr>
          <w:t>（</w:t>
        </w:r>
        <w:r>
          <w:rPr>
            <w:rFonts w:ascii="宋体" w:hAnsi="宋体"/>
            <w:sz w:val="24"/>
          </w:rPr>
          <w:fldChar w:fldCharType="begin"/>
        </w:r>
        <w:r>
          <w:rPr>
            <w:rFonts w:ascii="宋体" w:hAnsi="宋体"/>
            <w:sz w:val="24"/>
          </w:rPr>
          <w:instrText xml:space="preserve"> PAGEREF _Toc3276855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-2</w:t>
      </w:r>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6" w:history="1">
        <w:r>
          <w:rPr>
            <w:rStyle w:val="af1"/>
            <w:rFonts w:ascii="宋体" w:hAnsi="宋体" w:hint="eastAsia"/>
            <w:sz w:val="24"/>
          </w:rPr>
          <w:t>第九部分</w:t>
        </w:r>
        <w:r>
          <w:rPr>
            <w:rFonts w:ascii="宋体" w:hAnsi="宋体"/>
            <w:sz w:val="24"/>
          </w:rPr>
          <w:tab/>
        </w:r>
        <w:r>
          <w:rPr>
            <w:rStyle w:val="af1"/>
            <w:rFonts w:ascii="宋体" w:hAnsi="宋体" w:hint="eastAsia"/>
            <w:sz w:val="24"/>
          </w:rPr>
          <w:t>基金收益分配</w:t>
        </w:r>
        <w:r>
          <w:rPr>
            <w:rFonts w:ascii="宋体" w:hAnsi="宋体"/>
            <w:sz w:val="24"/>
          </w:rPr>
          <w:tab/>
          <w:t>9-</w:t>
        </w:r>
        <w:r>
          <w:rPr>
            <w:rFonts w:ascii="宋体" w:hAnsi="宋体" w:hint="eastAsia"/>
            <w:sz w:val="24"/>
          </w:rPr>
          <w:t>（</w:t>
        </w:r>
        <w:r>
          <w:rPr>
            <w:rFonts w:ascii="宋体" w:hAnsi="宋体"/>
            <w:sz w:val="24"/>
          </w:rPr>
          <w:fldChar w:fldCharType="begin"/>
        </w:r>
        <w:r>
          <w:rPr>
            <w:rFonts w:ascii="宋体" w:hAnsi="宋体"/>
            <w:sz w:val="24"/>
          </w:rPr>
          <w:instrText xml:space="preserve"> PAGEREF _Toc3276856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500"/>
          <w:tab w:val="right" w:leader="dot" w:pos="8494"/>
        </w:tabs>
        <w:spacing w:line="360" w:lineRule="auto"/>
        <w:rPr>
          <w:rFonts w:ascii="宋体" w:hAnsi="宋体"/>
          <w:sz w:val="24"/>
        </w:rPr>
      </w:pPr>
      <w:hyperlink w:anchor="_Toc3276857" w:history="1">
        <w:r>
          <w:rPr>
            <w:rStyle w:val="af1"/>
            <w:rFonts w:ascii="宋体" w:hAnsi="宋体" w:hint="eastAsia"/>
            <w:sz w:val="24"/>
          </w:rPr>
          <w:t>第十部分</w:t>
        </w:r>
        <w:r>
          <w:rPr>
            <w:rFonts w:ascii="宋体" w:hAnsi="宋体"/>
            <w:sz w:val="24"/>
          </w:rPr>
          <w:tab/>
        </w:r>
        <w:r>
          <w:rPr>
            <w:rStyle w:val="af1"/>
            <w:rFonts w:ascii="宋体" w:hAnsi="宋体" w:hint="eastAsia"/>
            <w:sz w:val="24"/>
          </w:rPr>
          <w:t>基金信息披露</w:t>
        </w:r>
        <w:r>
          <w:rPr>
            <w:rFonts w:ascii="宋体" w:hAnsi="宋体"/>
            <w:sz w:val="24"/>
          </w:rPr>
          <w:tab/>
          <w:t>10-</w:t>
        </w:r>
        <w:r>
          <w:rPr>
            <w:rFonts w:ascii="宋体" w:hAnsi="宋体" w:hint="eastAsia"/>
            <w:sz w:val="24"/>
          </w:rPr>
          <w:t>（</w:t>
        </w:r>
        <w:r>
          <w:rPr>
            <w:rFonts w:ascii="宋体" w:hAnsi="宋体"/>
            <w:sz w:val="24"/>
          </w:rPr>
          <w:fldChar w:fldCharType="begin"/>
        </w:r>
        <w:r>
          <w:rPr>
            <w:rFonts w:ascii="宋体" w:hAnsi="宋体"/>
            <w:sz w:val="24"/>
          </w:rPr>
          <w:instrText xml:space="preserve"> PAGEREF _Toc3276857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-3</w:t>
      </w:r>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58" w:history="1">
        <w:r>
          <w:rPr>
            <w:rStyle w:val="af1"/>
            <w:rFonts w:ascii="宋体" w:hAnsi="宋体" w:hint="eastAsia"/>
            <w:sz w:val="24"/>
          </w:rPr>
          <w:t>第十一部分</w:t>
        </w:r>
        <w:r>
          <w:rPr>
            <w:rFonts w:ascii="宋体" w:hAnsi="宋体"/>
            <w:sz w:val="24"/>
          </w:rPr>
          <w:tab/>
        </w:r>
        <w:r>
          <w:rPr>
            <w:rStyle w:val="af1"/>
            <w:rFonts w:ascii="宋体" w:hAnsi="宋体" w:hint="eastAsia"/>
            <w:sz w:val="24"/>
          </w:rPr>
          <w:t>基金费用</w:t>
        </w:r>
        <w:r>
          <w:rPr>
            <w:rFonts w:ascii="宋体" w:hAnsi="宋体"/>
            <w:sz w:val="24"/>
          </w:rPr>
          <w:tab/>
          <w:t>11-</w:t>
        </w:r>
        <w:r>
          <w:rPr>
            <w:rFonts w:ascii="宋体" w:hAnsi="宋体" w:hint="eastAsia"/>
            <w:sz w:val="24"/>
          </w:rPr>
          <w:t>（</w:t>
        </w:r>
        <w:r>
          <w:rPr>
            <w:rFonts w:ascii="宋体" w:hAnsi="宋体"/>
            <w:sz w:val="24"/>
          </w:rPr>
          <w:fldChar w:fldCharType="begin"/>
        </w:r>
        <w:r>
          <w:rPr>
            <w:rFonts w:ascii="宋体" w:hAnsi="宋体"/>
            <w:sz w:val="24"/>
          </w:rPr>
          <w:instrText xml:space="preserve"> PAG</w:instrText>
        </w:r>
        <w:r>
          <w:rPr>
            <w:rFonts w:ascii="宋体" w:hAnsi="宋体"/>
            <w:sz w:val="24"/>
          </w:rPr>
          <w:instrText xml:space="preserve">EREF _Toc3276858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59" w:history="1">
        <w:r>
          <w:rPr>
            <w:rStyle w:val="af1"/>
            <w:rFonts w:ascii="宋体" w:hAnsi="宋体" w:hint="eastAsia"/>
            <w:sz w:val="24"/>
          </w:rPr>
          <w:t>第十二部分</w:t>
        </w:r>
        <w:r>
          <w:rPr>
            <w:rFonts w:ascii="宋体" w:hAnsi="宋体"/>
            <w:sz w:val="24"/>
          </w:rPr>
          <w:tab/>
        </w:r>
        <w:r>
          <w:rPr>
            <w:rStyle w:val="af1"/>
            <w:rFonts w:ascii="宋体" w:hAnsi="宋体" w:hint="eastAsia"/>
            <w:sz w:val="24"/>
          </w:rPr>
          <w:t>基金份额持有人名册的保管</w:t>
        </w:r>
        <w:r>
          <w:rPr>
            <w:rFonts w:ascii="宋体" w:hAnsi="宋体"/>
            <w:sz w:val="24"/>
          </w:rPr>
          <w:tab/>
          <w:t>12-</w:t>
        </w:r>
        <w:r>
          <w:rPr>
            <w:rFonts w:ascii="宋体" w:hAnsi="宋体" w:hint="eastAsia"/>
            <w:sz w:val="24"/>
          </w:rPr>
          <w:t>（</w:t>
        </w:r>
        <w:r>
          <w:rPr>
            <w:rFonts w:ascii="宋体" w:hAnsi="宋体"/>
            <w:sz w:val="24"/>
          </w:rPr>
          <w:fldChar w:fldCharType="begin"/>
        </w:r>
        <w:r>
          <w:rPr>
            <w:rFonts w:ascii="宋体" w:hAnsi="宋体"/>
            <w:sz w:val="24"/>
          </w:rPr>
          <w:instrText xml:space="preserve"> PAGEREF _Toc3276859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0" w:history="1">
        <w:r>
          <w:rPr>
            <w:rStyle w:val="af1"/>
            <w:rFonts w:ascii="宋体" w:hAnsi="宋体" w:hint="eastAsia"/>
            <w:sz w:val="24"/>
          </w:rPr>
          <w:t>第十三部分</w:t>
        </w:r>
        <w:r>
          <w:rPr>
            <w:rFonts w:ascii="宋体" w:hAnsi="宋体"/>
            <w:sz w:val="24"/>
          </w:rPr>
          <w:tab/>
        </w:r>
        <w:r>
          <w:rPr>
            <w:rStyle w:val="af1"/>
            <w:rFonts w:ascii="宋体" w:hAnsi="宋体" w:hint="eastAsia"/>
            <w:sz w:val="24"/>
          </w:rPr>
          <w:t>基金有关文件档案的保存</w:t>
        </w:r>
        <w:r>
          <w:rPr>
            <w:rFonts w:ascii="宋体" w:hAnsi="宋体"/>
            <w:sz w:val="24"/>
          </w:rPr>
          <w:tab/>
          <w:t>13-</w:t>
        </w:r>
        <w:r>
          <w:rPr>
            <w:rFonts w:ascii="宋体" w:hAnsi="宋体" w:hint="eastAsia"/>
            <w:sz w:val="24"/>
          </w:rPr>
          <w:t>（</w:t>
        </w:r>
        <w:r>
          <w:rPr>
            <w:rFonts w:ascii="宋体" w:hAnsi="宋体"/>
            <w:sz w:val="24"/>
          </w:rPr>
          <w:fldChar w:fldCharType="begin"/>
        </w:r>
        <w:r>
          <w:rPr>
            <w:rFonts w:ascii="宋体" w:hAnsi="宋体"/>
            <w:sz w:val="24"/>
          </w:rPr>
          <w:instrText xml:space="preserve"> PAGEREF _Toc3276860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1" w:history="1">
        <w:r>
          <w:rPr>
            <w:rStyle w:val="af1"/>
            <w:rFonts w:ascii="宋体" w:hAnsi="宋体" w:hint="eastAsia"/>
            <w:sz w:val="24"/>
          </w:rPr>
          <w:t>第十四部分</w:t>
        </w:r>
        <w:r>
          <w:rPr>
            <w:rFonts w:ascii="宋体" w:hAnsi="宋体"/>
            <w:sz w:val="24"/>
          </w:rPr>
          <w:tab/>
        </w:r>
        <w:r>
          <w:rPr>
            <w:rStyle w:val="af1"/>
            <w:rFonts w:ascii="宋体" w:hAnsi="宋体" w:hint="eastAsia"/>
            <w:sz w:val="24"/>
          </w:rPr>
          <w:t>基金管理人和基金托管人的更换</w:t>
        </w:r>
        <w:r>
          <w:rPr>
            <w:rFonts w:ascii="宋体" w:hAnsi="宋体"/>
            <w:sz w:val="24"/>
          </w:rPr>
          <w:tab/>
          <w:t>14-</w:t>
        </w:r>
        <w:r>
          <w:rPr>
            <w:rFonts w:ascii="宋体" w:hAnsi="宋体" w:hint="eastAsia"/>
            <w:sz w:val="24"/>
          </w:rPr>
          <w:t>（</w:t>
        </w:r>
        <w:r>
          <w:rPr>
            <w:rFonts w:ascii="宋体" w:hAnsi="宋体"/>
            <w:sz w:val="24"/>
          </w:rPr>
          <w:fldChar w:fldCharType="begin"/>
        </w:r>
        <w:r>
          <w:rPr>
            <w:rFonts w:ascii="宋体" w:hAnsi="宋体"/>
            <w:sz w:val="24"/>
          </w:rPr>
          <w:instrText xml:space="preserve"> PAGEREF _Toc3276861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2" w:history="1">
        <w:r>
          <w:rPr>
            <w:rStyle w:val="af1"/>
            <w:rFonts w:ascii="宋体" w:hAnsi="宋体" w:hint="eastAsia"/>
            <w:sz w:val="24"/>
          </w:rPr>
          <w:t>第十五部分</w:t>
        </w:r>
        <w:r>
          <w:rPr>
            <w:rFonts w:ascii="宋体" w:hAnsi="宋体"/>
            <w:sz w:val="24"/>
          </w:rPr>
          <w:tab/>
        </w:r>
        <w:r>
          <w:rPr>
            <w:rStyle w:val="af1"/>
            <w:rFonts w:ascii="宋体" w:hAnsi="宋体" w:hint="eastAsia"/>
            <w:sz w:val="24"/>
          </w:rPr>
          <w:t>禁止行为</w:t>
        </w:r>
        <w:r>
          <w:rPr>
            <w:rFonts w:ascii="宋体" w:hAnsi="宋体"/>
            <w:sz w:val="24"/>
          </w:rPr>
          <w:tab/>
          <w:t>15-</w:t>
        </w:r>
        <w:r>
          <w:rPr>
            <w:rFonts w:ascii="宋体" w:hAnsi="宋体" w:hint="eastAsia"/>
            <w:sz w:val="24"/>
          </w:rPr>
          <w:t>（</w:t>
        </w:r>
        <w:r>
          <w:rPr>
            <w:rFonts w:ascii="宋体" w:hAnsi="宋体"/>
            <w:sz w:val="24"/>
          </w:rPr>
          <w:fldChar w:fldCharType="begin"/>
        </w:r>
        <w:r>
          <w:rPr>
            <w:rFonts w:ascii="宋体" w:hAnsi="宋体"/>
            <w:sz w:val="24"/>
          </w:rPr>
          <w:instrText xml:space="preserve"> PAGEREF _Toc3276862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3" w:history="1">
        <w:r>
          <w:rPr>
            <w:rStyle w:val="af1"/>
            <w:rFonts w:ascii="宋体" w:hAnsi="宋体" w:hint="eastAsia"/>
            <w:sz w:val="24"/>
          </w:rPr>
          <w:t>第十六部分</w:t>
        </w:r>
        <w:r>
          <w:rPr>
            <w:rFonts w:ascii="宋体" w:hAnsi="宋体"/>
            <w:sz w:val="24"/>
          </w:rPr>
          <w:tab/>
        </w:r>
        <w:r>
          <w:rPr>
            <w:rStyle w:val="af1"/>
            <w:rFonts w:ascii="宋体" w:hAnsi="宋体" w:hint="eastAsia"/>
            <w:sz w:val="24"/>
          </w:rPr>
          <w:t>托管协议的变更、终止与基金财产的清</w:t>
        </w:r>
        <w:r>
          <w:rPr>
            <w:rStyle w:val="af1"/>
            <w:rFonts w:ascii="宋体" w:hAnsi="宋体" w:hint="eastAsia"/>
            <w:sz w:val="24"/>
          </w:rPr>
          <w:t>算</w:t>
        </w:r>
        <w:r>
          <w:rPr>
            <w:rFonts w:ascii="宋体" w:hAnsi="宋体"/>
            <w:sz w:val="24"/>
          </w:rPr>
          <w:tab/>
          <w:t>16-</w:t>
        </w:r>
        <w:r>
          <w:rPr>
            <w:rFonts w:ascii="宋体" w:hAnsi="宋体" w:hint="eastAsia"/>
            <w:sz w:val="24"/>
          </w:rPr>
          <w:t>（</w:t>
        </w:r>
        <w:r>
          <w:rPr>
            <w:rFonts w:ascii="宋体" w:hAnsi="宋体"/>
            <w:sz w:val="24"/>
          </w:rPr>
          <w:fldChar w:fldCharType="begin"/>
        </w:r>
        <w:r>
          <w:rPr>
            <w:rFonts w:ascii="宋体" w:hAnsi="宋体"/>
            <w:sz w:val="24"/>
          </w:rPr>
          <w:instrText xml:space="preserve"> PAGEREF _Toc3276863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4" w:history="1">
        <w:r>
          <w:rPr>
            <w:rStyle w:val="af1"/>
            <w:rFonts w:ascii="宋体" w:hAnsi="宋体" w:hint="eastAsia"/>
            <w:sz w:val="24"/>
          </w:rPr>
          <w:t>第十七部分</w:t>
        </w:r>
        <w:r>
          <w:rPr>
            <w:rFonts w:ascii="宋体" w:hAnsi="宋体"/>
            <w:sz w:val="24"/>
          </w:rPr>
          <w:tab/>
        </w:r>
        <w:r>
          <w:rPr>
            <w:rStyle w:val="af1"/>
            <w:rFonts w:ascii="宋体" w:hAnsi="宋体" w:hint="eastAsia"/>
            <w:sz w:val="24"/>
          </w:rPr>
          <w:t>违约责任</w:t>
        </w:r>
        <w:r>
          <w:rPr>
            <w:rFonts w:ascii="宋体" w:hAnsi="宋体"/>
            <w:sz w:val="24"/>
          </w:rPr>
          <w:tab/>
          <w:t>17-</w:t>
        </w:r>
        <w:r>
          <w:rPr>
            <w:rFonts w:ascii="宋体" w:hAnsi="宋体" w:hint="eastAsia"/>
            <w:sz w:val="24"/>
          </w:rPr>
          <w:t>（</w:t>
        </w:r>
        <w:r>
          <w:rPr>
            <w:rFonts w:ascii="宋体" w:hAnsi="宋体"/>
            <w:sz w:val="24"/>
          </w:rPr>
          <w:fldChar w:fldCharType="begin"/>
        </w:r>
        <w:r>
          <w:rPr>
            <w:rFonts w:ascii="宋体" w:hAnsi="宋体"/>
            <w:sz w:val="24"/>
          </w:rPr>
          <w:instrText xml:space="preserve"> PAGEREF _Toc3276864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5" w:history="1">
        <w:r>
          <w:rPr>
            <w:rStyle w:val="af1"/>
            <w:rFonts w:ascii="宋体" w:hAnsi="宋体" w:hint="eastAsia"/>
            <w:sz w:val="24"/>
          </w:rPr>
          <w:t>第十八部分</w:t>
        </w:r>
        <w:r>
          <w:rPr>
            <w:rFonts w:ascii="宋体" w:hAnsi="宋体"/>
            <w:sz w:val="24"/>
          </w:rPr>
          <w:tab/>
        </w:r>
        <w:r>
          <w:rPr>
            <w:rStyle w:val="af1"/>
            <w:rFonts w:ascii="宋体" w:hAnsi="宋体" w:hint="eastAsia"/>
            <w:sz w:val="24"/>
          </w:rPr>
          <w:t>争议解决方式</w:t>
        </w:r>
        <w:r>
          <w:rPr>
            <w:rFonts w:ascii="宋体" w:hAnsi="宋体"/>
            <w:sz w:val="24"/>
          </w:rPr>
          <w:tab/>
          <w:t>18-</w:t>
        </w:r>
        <w:r>
          <w:rPr>
            <w:rFonts w:ascii="宋体" w:hAnsi="宋体" w:hint="eastAsia"/>
            <w:sz w:val="24"/>
          </w:rPr>
          <w:t>（</w:t>
        </w:r>
      </w:hyperlink>
      <w:r>
        <w:rPr>
          <w:rFonts w:ascii="宋体" w:hAnsi="宋体"/>
          <w:sz w:val="24"/>
        </w:rPr>
        <w:t>1</w:t>
      </w:r>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6" w:history="1">
        <w:r>
          <w:rPr>
            <w:rStyle w:val="af1"/>
            <w:rFonts w:ascii="宋体" w:hAnsi="宋体" w:hint="eastAsia"/>
            <w:sz w:val="24"/>
          </w:rPr>
          <w:t>第十九部分</w:t>
        </w:r>
        <w:r>
          <w:rPr>
            <w:rFonts w:ascii="宋体" w:hAnsi="宋体"/>
            <w:sz w:val="24"/>
          </w:rPr>
          <w:tab/>
        </w:r>
        <w:r>
          <w:rPr>
            <w:rStyle w:val="af1"/>
            <w:rFonts w:ascii="宋体" w:hAnsi="宋体" w:hint="eastAsia"/>
            <w:sz w:val="24"/>
          </w:rPr>
          <w:t>托管协议的效力</w:t>
        </w:r>
        <w:r>
          <w:rPr>
            <w:rFonts w:ascii="宋体" w:hAnsi="宋体"/>
            <w:sz w:val="24"/>
          </w:rPr>
          <w:tab/>
          <w:t>19-</w:t>
        </w:r>
        <w:r>
          <w:rPr>
            <w:rFonts w:ascii="宋体" w:hAnsi="宋体" w:hint="eastAsia"/>
            <w:sz w:val="24"/>
          </w:rPr>
          <w:t>（</w:t>
        </w:r>
        <w:r>
          <w:rPr>
            <w:rFonts w:ascii="宋体" w:hAnsi="宋体"/>
            <w:sz w:val="24"/>
          </w:rPr>
          <w:fldChar w:fldCharType="begin"/>
        </w:r>
        <w:r>
          <w:rPr>
            <w:rFonts w:ascii="宋体" w:hAnsi="宋体"/>
            <w:sz w:val="24"/>
          </w:rPr>
          <w:instrText xml:space="preserve"> PAGEREF _Toc3276866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7" w:history="1">
        <w:r>
          <w:rPr>
            <w:rStyle w:val="af1"/>
            <w:rFonts w:ascii="宋体" w:hAnsi="宋体" w:hint="eastAsia"/>
            <w:sz w:val="24"/>
          </w:rPr>
          <w:t>第二十部分</w:t>
        </w:r>
        <w:r>
          <w:rPr>
            <w:rFonts w:ascii="宋体" w:hAnsi="宋体"/>
            <w:sz w:val="24"/>
          </w:rPr>
          <w:tab/>
        </w:r>
        <w:r>
          <w:rPr>
            <w:rStyle w:val="af1"/>
            <w:rFonts w:ascii="宋体" w:hAnsi="宋体" w:hint="eastAsia"/>
            <w:sz w:val="24"/>
          </w:rPr>
          <w:t>其他事项</w:t>
        </w:r>
        <w:r>
          <w:rPr>
            <w:rFonts w:ascii="宋体" w:hAnsi="宋体"/>
            <w:sz w:val="24"/>
          </w:rPr>
          <w:tab/>
          <w:t>20-</w:t>
        </w:r>
        <w:r>
          <w:rPr>
            <w:rFonts w:ascii="宋体" w:hAnsi="宋体" w:hint="eastAsia"/>
            <w:sz w:val="24"/>
          </w:rPr>
          <w:t>（</w:t>
        </w:r>
        <w:r>
          <w:rPr>
            <w:rFonts w:ascii="宋体" w:hAnsi="宋体"/>
            <w:sz w:val="24"/>
          </w:rPr>
          <w:fldChar w:fldCharType="begin"/>
        </w:r>
        <w:r>
          <w:rPr>
            <w:rFonts w:ascii="宋体" w:hAnsi="宋体"/>
            <w:sz w:val="24"/>
          </w:rPr>
          <w:instrText xml:space="preserve"> PAGEREF _Toc3276867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pStyle w:val="10"/>
        <w:tabs>
          <w:tab w:val="left" w:pos="1475"/>
          <w:tab w:val="right" w:leader="dot" w:pos="8494"/>
        </w:tabs>
        <w:spacing w:line="360" w:lineRule="auto"/>
        <w:rPr>
          <w:rFonts w:ascii="宋体" w:hAnsi="宋体"/>
          <w:sz w:val="24"/>
        </w:rPr>
      </w:pPr>
      <w:hyperlink w:anchor="_Toc3276868" w:history="1">
        <w:r>
          <w:rPr>
            <w:rStyle w:val="af1"/>
            <w:rFonts w:ascii="宋体" w:hAnsi="宋体" w:hint="eastAsia"/>
            <w:sz w:val="24"/>
          </w:rPr>
          <w:t>第二十一部分</w:t>
        </w:r>
        <w:r>
          <w:rPr>
            <w:rFonts w:ascii="宋体" w:hAnsi="宋体"/>
            <w:sz w:val="24"/>
          </w:rPr>
          <w:tab/>
        </w:r>
        <w:r>
          <w:rPr>
            <w:rStyle w:val="af1"/>
            <w:rFonts w:ascii="宋体" w:hAnsi="宋体" w:hint="eastAsia"/>
            <w:sz w:val="24"/>
          </w:rPr>
          <w:t>托管协议的签订</w:t>
        </w:r>
        <w:r>
          <w:rPr>
            <w:rFonts w:ascii="宋体" w:hAnsi="宋体"/>
            <w:sz w:val="24"/>
          </w:rPr>
          <w:tab/>
          <w:t>21-</w:t>
        </w:r>
        <w:r>
          <w:rPr>
            <w:rFonts w:ascii="宋体" w:hAnsi="宋体" w:hint="eastAsia"/>
            <w:sz w:val="24"/>
          </w:rPr>
          <w:t>（</w:t>
        </w:r>
        <w:r>
          <w:rPr>
            <w:rFonts w:ascii="宋体" w:hAnsi="宋体"/>
            <w:sz w:val="24"/>
          </w:rPr>
          <w:fldChar w:fldCharType="begin"/>
        </w:r>
        <w:r>
          <w:rPr>
            <w:rFonts w:ascii="宋体" w:hAnsi="宋体"/>
            <w:sz w:val="24"/>
          </w:rPr>
          <w:instrText xml:space="preserve"> PAG</w:instrText>
        </w:r>
        <w:r>
          <w:rPr>
            <w:rFonts w:ascii="宋体" w:hAnsi="宋体"/>
            <w:sz w:val="24"/>
          </w:rPr>
          <w:instrText xml:space="preserve">EREF _Toc3276868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rsidR="00065659" w:rsidRDefault="00A43F61">
      <w:pPr>
        <w:spacing w:line="360" w:lineRule="auto"/>
        <w:rPr>
          <w:rFonts w:ascii="宋体" w:hAnsi="宋体"/>
          <w:sz w:val="24"/>
        </w:rPr>
      </w:pPr>
      <w:r>
        <w:rPr>
          <w:rFonts w:ascii="宋体" w:hAnsi="宋体"/>
          <w:sz w:val="24"/>
        </w:rPr>
        <w:fldChar w:fldCharType="end"/>
      </w:r>
    </w:p>
    <w:p w:rsidR="00065659" w:rsidRDefault="00A43F61">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东方阿尔法医疗健康混合型发起式证券投资基金</w:t>
      </w:r>
      <w:r>
        <w:rPr>
          <w:rFonts w:ascii="宋体" w:hAnsi="宋体" w:hint="eastAsia"/>
          <w:kern w:val="0"/>
          <w:sz w:val="24"/>
        </w:rPr>
        <w:t>；</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东方阿尔法医疗健康混合型发起式证券投资基金</w:t>
      </w:r>
      <w:r>
        <w:rPr>
          <w:rFonts w:ascii="宋体" w:hAnsi="宋体" w:hint="eastAsia"/>
          <w:kern w:val="0"/>
          <w:sz w:val="24"/>
        </w:rPr>
        <w:t>的基金管理人，招商银行股份有限公司拟担任</w:t>
      </w:r>
      <w:r>
        <w:rPr>
          <w:rFonts w:ascii="宋体" w:hAnsi="宋体" w:cs="宋体" w:hint="eastAsia"/>
          <w:sz w:val="24"/>
        </w:rPr>
        <w:t>东方阿尔法医疗健康混合型发起式证券投资基金</w:t>
      </w:r>
      <w:r>
        <w:rPr>
          <w:rFonts w:ascii="宋体" w:hAnsi="宋体" w:hint="eastAsia"/>
          <w:kern w:val="0"/>
          <w:sz w:val="24"/>
        </w:rPr>
        <w:t>的基金托管人；</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东方阿尔法医疗健康混合型发起式证券投资基金</w:t>
      </w:r>
      <w:r>
        <w:rPr>
          <w:rFonts w:ascii="宋体" w:hAnsi="宋体" w:hint="eastAsia"/>
          <w:kern w:val="0"/>
          <w:sz w:val="24"/>
        </w:rPr>
        <w:t>的基金管理人和基金托管人之间的权利义务关系，特制订本托管协议；</w:t>
      </w:r>
    </w:p>
    <w:p w:rsidR="00065659" w:rsidRDefault="00A43F61">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东方阿尔法医疗健康混合型发起式证券投资基金</w:t>
      </w:r>
      <w:r>
        <w:rPr>
          <w:rFonts w:ascii="宋体" w:hAnsi="宋体" w:cs="Arial" w:hint="eastAsia"/>
          <w:kern w:val="0"/>
          <w:sz w:val="24"/>
          <w:lang w:val="en-GB"/>
        </w:rPr>
        <w:t>基金合同》</w:t>
      </w:r>
      <w:r>
        <w:rPr>
          <w:rFonts w:ascii="宋体" w:hAnsi="宋体"/>
          <w:kern w:val="0"/>
          <w:sz w:val="24"/>
          <w:lang w:val="en-GB"/>
        </w:rPr>
        <w:t>(</w:t>
      </w:r>
      <w:r>
        <w:rPr>
          <w:rFonts w:ascii="宋体" w:hAnsi="宋体"/>
          <w:kern w:val="0"/>
          <w:sz w:val="24"/>
          <w:lang w:val="en-GB"/>
        </w:rPr>
        <w:t>以下简称</w:t>
      </w:r>
      <w:r>
        <w:rPr>
          <w:rFonts w:ascii="宋体" w:hAnsi="宋体"/>
          <w:kern w:val="0"/>
          <w:sz w:val="24"/>
          <w:lang w:val="en-GB"/>
        </w:rPr>
        <w:t>“</w:t>
      </w:r>
      <w:r>
        <w:rPr>
          <w:rFonts w:ascii="宋体" w:hAnsi="宋体"/>
          <w:kern w:val="0"/>
          <w:sz w:val="24"/>
          <w:lang w:val="en-GB"/>
        </w:rPr>
        <w:t>基金合同</w:t>
      </w:r>
      <w:r>
        <w:rPr>
          <w:rFonts w:ascii="宋体" w:hAnsi="宋体"/>
          <w:kern w:val="0"/>
          <w:sz w:val="24"/>
          <w:lang w:val="en-GB"/>
        </w:rPr>
        <w:t>”)</w:t>
      </w:r>
      <w:r>
        <w:rPr>
          <w:rFonts w:ascii="宋体" w:hAnsi="宋体"/>
          <w:kern w:val="0"/>
          <w:sz w:val="24"/>
          <w:lang w:val="en-GB"/>
        </w:rPr>
        <w:t>中定义的术语在用于本托管协议时应具有相同的含义</w:t>
      </w:r>
      <w:r>
        <w:rPr>
          <w:rFonts w:ascii="宋体" w:hAnsi="宋体" w:hint="eastAsia"/>
          <w:kern w:val="0"/>
          <w:sz w:val="24"/>
          <w:lang w:val="en-GB"/>
        </w:rPr>
        <w:t>，若有抵触应以基金合同为准。</w:t>
      </w:r>
    </w:p>
    <w:p w:rsidR="00065659" w:rsidRDefault="00A43F61">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若本基金实施</w:t>
      </w:r>
      <w:proofErr w:type="gramStart"/>
      <w:r>
        <w:rPr>
          <w:rFonts w:ascii="宋体" w:hAnsi="宋体" w:hint="eastAsia"/>
          <w:kern w:val="0"/>
          <w:sz w:val="24"/>
          <w:lang w:val="en-GB"/>
        </w:rPr>
        <w:t>侧袋机制</w:t>
      </w:r>
      <w:proofErr w:type="gramEnd"/>
      <w:r>
        <w:rPr>
          <w:rFonts w:ascii="宋体" w:hAnsi="宋体" w:hint="eastAsia"/>
          <w:kern w:val="0"/>
          <w:sz w:val="24"/>
          <w:lang w:val="en-GB"/>
        </w:rPr>
        <w:t>的，</w:t>
      </w:r>
      <w:proofErr w:type="gramStart"/>
      <w:r>
        <w:rPr>
          <w:rFonts w:ascii="宋体" w:hAnsi="宋体" w:hint="eastAsia"/>
          <w:kern w:val="0"/>
          <w:sz w:val="24"/>
          <w:lang w:val="en-GB"/>
        </w:rPr>
        <w:t>侧袋机制</w:t>
      </w:r>
      <w:proofErr w:type="gramEnd"/>
      <w:r>
        <w:rPr>
          <w:rFonts w:ascii="宋体" w:hAnsi="宋体" w:hint="eastAsia"/>
          <w:kern w:val="0"/>
          <w:sz w:val="24"/>
          <w:lang w:val="en-GB"/>
        </w:rPr>
        <w:t>实施期间的相关安排按照基金合</w:t>
      </w:r>
      <w:r>
        <w:rPr>
          <w:rFonts w:ascii="宋体" w:hAnsi="宋体" w:hint="eastAsia"/>
          <w:kern w:val="0"/>
          <w:sz w:val="24"/>
          <w:lang w:val="en-GB"/>
        </w:rPr>
        <w:t>同的规定执行。</w:t>
      </w:r>
    </w:p>
    <w:p w:rsidR="00065659" w:rsidRDefault="00065659">
      <w:pPr>
        <w:widowControl/>
        <w:spacing w:line="360" w:lineRule="auto"/>
        <w:contextualSpacing/>
        <w:rPr>
          <w:rFonts w:ascii="宋体" w:hAnsi="宋体"/>
          <w:sz w:val="24"/>
          <w:lang w:val="en-GB"/>
        </w:rPr>
      </w:pPr>
    </w:p>
    <w:bookmarkEnd w:id="13"/>
    <w:p w:rsidR="00065659" w:rsidRDefault="00065659">
      <w:pPr>
        <w:widowControl/>
        <w:spacing w:line="360" w:lineRule="auto"/>
        <w:contextualSpacing/>
        <w:rPr>
          <w:rFonts w:ascii="宋体" w:hAnsi="宋体"/>
          <w:sz w:val="24"/>
          <w:lang w:val="en-GB"/>
        </w:rPr>
        <w:sectPr w:rsidR="00065659">
          <w:headerReference w:type="default" r:id="rId53"/>
          <w:footerReference w:type="default" r:id="rId54"/>
          <w:pgSz w:w="11906" w:h="16838"/>
          <w:pgMar w:top="1418" w:right="1701" w:bottom="1418" w:left="1701" w:header="851" w:footer="992" w:gutter="0"/>
          <w:pgNumType w:fmt="upperRoman"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5" w:name="_Toc348082029"/>
      <w:bookmarkStart w:id="16" w:name="_Toc3276848"/>
      <w:bookmarkStart w:id="17" w:name="_Toc384992691"/>
      <w:bookmarkStart w:id="18" w:name="CLAUSE_1527db310d3c4e36ac5a0c8d6a0d9166"/>
      <w:bookmarkStart w:id="19" w:name="_Toc348082031"/>
      <w:r>
        <w:rPr>
          <w:rFonts w:ascii="宋体" w:eastAsia="宋体" w:hAnsi="宋体"/>
        </w:rPr>
        <w:lastRenderedPageBreak/>
        <w:t xml:space="preserve"> </w:t>
      </w:r>
      <w:bookmarkStart w:id="20" w:name="CTS_1527db310d3c4e36ac5a0c8d6a0d9166"/>
      <w:bookmarkEnd w:id="20"/>
      <w:r>
        <w:rPr>
          <w:rFonts w:ascii="宋体" w:eastAsia="宋体" w:hAnsi="宋体" w:hint="eastAsia"/>
        </w:rPr>
        <w:t>基金托管协议当事人</w:t>
      </w:r>
      <w:bookmarkEnd w:id="15"/>
      <w:bookmarkEnd w:id="16"/>
      <w:bookmarkEnd w:id="17"/>
    </w:p>
    <w:p w:rsidR="00065659" w:rsidRDefault="00A43F61">
      <w:pPr>
        <w:spacing w:line="360" w:lineRule="auto"/>
        <w:ind w:firstLineChars="200" w:firstLine="482"/>
        <w:contextualSpacing/>
        <w:rPr>
          <w:rFonts w:ascii="宋体" w:hAnsi="宋体"/>
          <w:b/>
          <w:sz w:val="24"/>
        </w:rPr>
      </w:pPr>
      <w:r>
        <w:rPr>
          <w:rFonts w:ascii="宋体" w:hAnsi="宋体" w:hint="eastAsia"/>
          <w:b/>
          <w:sz w:val="24"/>
        </w:rPr>
        <w:t>（一）基金管理人（也可称资产管理人）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r>
        <w:rPr>
          <w:rFonts w:ascii="宋体" w:hAnsi="宋体"/>
          <w:sz w:val="24"/>
        </w:rPr>
        <w:t>(</w:t>
      </w:r>
      <w:r>
        <w:rPr>
          <w:rFonts w:ascii="宋体" w:hAnsi="宋体"/>
          <w:sz w:val="24"/>
        </w:rPr>
        <w:t>简称：</w:t>
      </w:r>
      <w:r>
        <w:rPr>
          <w:rFonts w:ascii="宋体" w:hAnsi="宋体" w:hint="eastAsia"/>
          <w:sz w:val="24"/>
        </w:rPr>
        <w:t>东方阿尔法基金</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w:t>
      </w:r>
      <w:r>
        <w:rPr>
          <w:rFonts w:ascii="宋体" w:hAnsi="宋体" w:cs="宋体"/>
          <w:sz w:val="24"/>
        </w:rPr>
        <w:t>号深圳特区报业大厦</w:t>
      </w:r>
      <w:r>
        <w:rPr>
          <w:rFonts w:ascii="宋体" w:hAnsi="宋体" w:cs="宋体"/>
          <w:sz w:val="24"/>
        </w:rPr>
        <w:t>23</w:t>
      </w:r>
      <w:r>
        <w:rPr>
          <w:rFonts w:ascii="宋体" w:hAnsi="宋体" w:cs="宋体"/>
          <w:sz w:val="24"/>
        </w:rPr>
        <w:t>楼</w:t>
      </w:r>
      <w:r>
        <w:rPr>
          <w:rFonts w:ascii="宋体" w:hAnsi="宋体" w:cs="宋体"/>
          <w:sz w:val="24"/>
        </w:rPr>
        <w:t>BC</w:t>
      </w:r>
    </w:p>
    <w:p w:rsidR="00065659" w:rsidRDefault="00A43F61">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w:t>
      </w:r>
      <w:r>
        <w:rPr>
          <w:rFonts w:ascii="宋体" w:hAnsi="宋体"/>
          <w:bCs/>
          <w:color w:val="000000"/>
          <w:sz w:val="24"/>
        </w:rPr>
        <w:t>号深圳特区报业大厦</w:t>
      </w:r>
      <w:r>
        <w:rPr>
          <w:rFonts w:ascii="宋体" w:hAnsi="宋体"/>
          <w:bCs/>
          <w:color w:val="000000"/>
          <w:sz w:val="24"/>
        </w:rPr>
        <w:t>23</w:t>
      </w:r>
      <w:r>
        <w:rPr>
          <w:rFonts w:ascii="宋体" w:hAnsi="宋体"/>
          <w:bCs/>
          <w:color w:val="000000"/>
          <w:sz w:val="24"/>
        </w:rPr>
        <w:t>楼</w:t>
      </w:r>
      <w:r>
        <w:rPr>
          <w:rFonts w:ascii="宋体" w:hAnsi="宋体"/>
          <w:bCs/>
          <w:color w:val="000000"/>
          <w:sz w:val="24"/>
        </w:rPr>
        <w:t>BC</w:t>
      </w:r>
    </w:p>
    <w:p w:rsidR="00065659" w:rsidRDefault="00A43F61">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rsidR="00065659" w:rsidRDefault="00A43F61">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rsidR="00065659" w:rsidRDefault="00A43F61">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w:t>
      </w:r>
      <w:r>
        <w:rPr>
          <w:rFonts w:ascii="宋体" w:hAnsi="宋体"/>
          <w:color w:val="000000"/>
          <w:sz w:val="24"/>
        </w:rPr>
        <w:t>年</w:t>
      </w:r>
      <w:r>
        <w:rPr>
          <w:rFonts w:ascii="宋体" w:hAnsi="宋体"/>
          <w:color w:val="000000"/>
          <w:sz w:val="24"/>
        </w:rPr>
        <w:t>7</w:t>
      </w:r>
      <w:r>
        <w:rPr>
          <w:rFonts w:ascii="宋体" w:hAnsi="宋体"/>
          <w:color w:val="000000"/>
          <w:sz w:val="24"/>
        </w:rPr>
        <w:t>月</w:t>
      </w:r>
      <w:r>
        <w:rPr>
          <w:rFonts w:ascii="宋体" w:hAnsi="宋体"/>
          <w:color w:val="000000"/>
          <w:sz w:val="24"/>
        </w:rPr>
        <w:t>4</w:t>
      </w:r>
      <w:r>
        <w:rPr>
          <w:rFonts w:ascii="宋体" w:hAnsi="宋体"/>
          <w:color w:val="000000"/>
          <w:sz w:val="24"/>
        </w:rPr>
        <w:t>日</w:t>
      </w:r>
    </w:p>
    <w:p w:rsidR="00065659" w:rsidRDefault="00A43F61">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rsidR="00065659" w:rsidRDefault="00A43F61">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rsidR="00065659" w:rsidRDefault="00A43F61">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rsidR="00065659" w:rsidRDefault="00A43F61">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w:t>
      </w:r>
      <w:r>
        <w:rPr>
          <w:rFonts w:ascii="宋体" w:hAnsi="宋体"/>
          <w:color w:val="000000"/>
          <w:sz w:val="24"/>
        </w:rPr>
        <w:t>亿元人民币</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存续期间：持续经营</w:t>
      </w:r>
    </w:p>
    <w:p w:rsidR="00065659" w:rsidRDefault="00A43F61">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rsidR="00065659" w:rsidRDefault="00065659">
      <w:pPr>
        <w:spacing w:line="360" w:lineRule="auto"/>
        <w:ind w:firstLineChars="200" w:firstLine="480"/>
        <w:contextualSpacing/>
        <w:rPr>
          <w:rFonts w:ascii="宋体" w:hAnsi="宋体"/>
          <w:sz w:val="24"/>
        </w:rPr>
      </w:pPr>
    </w:p>
    <w:p w:rsidR="00065659" w:rsidRDefault="00A43F61">
      <w:pPr>
        <w:spacing w:line="360" w:lineRule="auto"/>
        <w:ind w:firstLineChars="200" w:firstLine="482"/>
        <w:contextualSpacing/>
        <w:rPr>
          <w:rFonts w:ascii="宋体" w:hAnsi="宋体"/>
          <w:b/>
          <w:sz w:val="24"/>
        </w:rPr>
      </w:pPr>
      <w:r>
        <w:rPr>
          <w:rFonts w:ascii="宋体" w:hAnsi="宋体" w:hint="eastAsia"/>
          <w:b/>
          <w:sz w:val="24"/>
        </w:rPr>
        <w:t>（二）基金托管人（也可称资产托管人）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名称：招商银行股份有限公司</w:t>
      </w:r>
      <w:r>
        <w:rPr>
          <w:rFonts w:ascii="宋体" w:hAnsi="宋体"/>
          <w:sz w:val="24"/>
        </w:rPr>
        <w:t>(</w:t>
      </w:r>
      <w:r>
        <w:rPr>
          <w:rFonts w:ascii="宋体" w:hAnsi="宋体"/>
          <w:sz w:val="24"/>
        </w:rPr>
        <w:t>简称：招商银行</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住所：深圳市</w:t>
      </w:r>
      <w:r>
        <w:rPr>
          <w:rFonts w:ascii="宋体" w:hAnsi="宋体" w:cs="Arial" w:hint="eastAsia"/>
          <w:sz w:val="24"/>
        </w:rPr>
        <w:t>福田区</w:t>
      </w:r>
      <w:r>
        <w:rPr>
          <w:rFonts w:ascii="宋体" w:hAnsi="宋体" w:hint="eastAsia"/>
          <w:sz w:val="24"/>
        </w:rPr>
        <w:t>深南大道</w:t>
      </w:r>
      <w:r>
        <w:rPr>
          <w:rFonts w:ascii="宋体" w:hAnsi="宋体"/>
          <w:sz w:val="24"/>
        </w:rPr>
        <w:t>7088</w:t>
      </w:r>
      <w:r>
        <w:rPr>
          <w:rFonts w:ascii="宋体" w:hAnsi="宋体"/>
          <w:sz w:val="24"/>
        </w:rPr>
        <w:t>号招商银行大厦</w:t>
      </w:r>
    </w:p>
    <w:p w:rsidR="00065659" w:rsidRDefault="00A43F61">
      <w:pPr>
        <w:spacing w:line="360" w:lineRule="auto"/>
        <w:ind w:firstLineChars="200" w:firstLine="480"/>
        <w:contextualSpacing/>
        <w:rPr>
          <w:rFonts w:ascii="宋体" w:hAnsi="宋体"/>
          <w:sz w:val="24"/>
        </w:rPr>
      </w:pPr>
      <w:r>
        <w:rPr>
          <w:rFonts w:ascii="宋体" w:hAnsi="宋体" w:hint="eastAsia"/>
          <w:sz w:val="24"/>
        </w:rPr>
        <w:t>办公地址：深圳市</w:t>
      </w:r>
      <w:r>
        <w:rPr>
          <w:rFonts w:ascii="宋体" w:hAnsi="宋体" w:cs="Arial" w:hint="eastAsia"/>
          <w:sz w:val="24"/>
        </w:rPr>
        <w:t>福田区</w:t>
      </w:r>
      <w:r>
        <w:rPr>
          <w:rFonts w:ascii="宋体" w:hAnsi="宋体" w:hint="eastAsia"/>
          <w:sz w:val="24"/>
        </w:rPr>
        <w:t>深南大道</w:t>
      </w:r>
      <w:r>
        <w:rPr>
          <w:rFonts w:ascii="宋体" w:hAnsi="宋体"/>
          <w:sz w:val="24"/>
        </w:rPr>
        <w:t>7088</w:t>
      </w:r>
      <w:r>
        <w:rPr>
          <w:rFonts w:ascii="宋体" w:hAnsi="宋体"/>
          <w:sz w:val="24"/>
        </w:rPr>
        <w:t>号招商银行大厦</w:t>
      </w:r>
    </w:p>
    <w:p w:rsidR="00065659" w:rsidRDefault="00A43F61">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518040</w:t>
      </w:r>
    </w:p>
    <w:p w:rsidR="00065659" w:rsidRDefault="00A43F61">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缪建民</w:t>
      </w:r>
    </w:p>
    <w:p w:rsidR="00065659" w:rsidRDefault="00A43F61">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1987</w:t>
      </w:r>
      <w:r>
        <w:rPr>
          <w:rFonts w:ascii="宋体" w:hAnsi="宋体"/>
          <w:sz w:val="24"/>
        </w:rPr>
        <w:t>年</w:t>
      </w:r>
      <w:r>
        <w:rPr>
          <w:rFonts w:ascii="宋体" w:hAnsi="宋体"/>
          <w:sz w:val="24"/>
        </w:rPr>
        <w:t>4</w:t>
      </w:r>
      <w:r>
        <w:rPr>
          <w:rFonts w:ascii="宋体" w:hAnsi="宋体"/>
          <w:sz w:val="24"/>
        </w:rPr>
        <w:t>月</w:t>
      </w:r>
      <w:r>
        <w:rPr>
          <w:rFonts w:ascii="宋体" w:hAnsi="宋体"/>
          <w:sz w:val="24"/>
        </w:rPr>
        <w:t>8</w:t>
      </w:r>
      <w:r>
        <w:rPr>
          <w:rFonts w:ascii="宋体" w:hAnsi="宋体"/>
          <w:sz w:val="24"/>
        </w:rPr>
        <w:t>日</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w:t>
      </w:r>
      <w:r>
        <w:rPr>
          <w:rFonts w:ascii="宋体" w:hAnsi="宋体"/>
          <w:sz w:val="24"/>
        </w:rPr>
        <w:t>号</w:t>
      </w:r>
    </w:p>
    <w:p w:rsidR="00065659" w:rsidRDefault="00A43F61">
      <w:pPr>
        <w:spacing w:line="360" w:lineRule="auto"/>
        <w:ind w:firstLineChars="200" w:firstLine="480"/>
        <w:contextualSpacing/>
        <w:rPr>
          <w:rFonts w:ascii="宋体" w:hAnsi="宋体"/>
          <w:sz w:val="24"/>
        </w:rPr>
      </w:pPr>
      <w:r>
        <w:rPr>
          <w:rFonts w:ascii="宋体" w:hAnsi="宋体" w:hint="eastAsia"/>
          <w:sz w:val="24"/>
        </w:rPr>
        <w:t>组织形式：股份有限公司</w:t>
      </w:r>
    </w:p>
    <w:p w:rsidR="00065659" w:rsidRDefault="00A43F61">
      <w:pPr>
        <w:spacing w:line="360" w:lineRule="auto"/>
        <w:ind w:firstLineChars="200" w:firstLine="480"/>
        <w:contextualSpacing/>
        <w:rPr>
          <w:rFonts w:ascii="宋体" w:hAnsi="宋体"/>
          <w:sz w:val="24"/>
        </w:rPr>
      </w:pPr>
      <w:r>
        <w:rPr>
          <w:rFonts w:ascii="宋体" w:hAnsi="宋体" w:hint="eastAsia"/>
          <w:sz w:val="24"/>
        </w:rPr>
        <w:t>注册资本：人民币</w:t>
      </w:r>
      <w:r>
        <w:rPr>
          <w:rFonts w:ascii="宋体" w:hAnsi="宋体"/>
          <w:sz w:val="24"/>
        </w:rPr>
        <w:t>252.20</w:t>
      </w:r>
      <w:r>
        <w:rPr>
          <w:rFonts w:ascii="宋体" w:hAnsi="宋体"/>
          <w:sz w:val="24"/>
        </w:rPr>
        <w:t>亿元</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8"/>
    <w:p w:rsidR="00065659" w:rsidRDefault="00065659">
      <w:pPr>
        <w:rPr>
          <w:rFonts w:ascii="宋体" w:hAnsi="宋体" w:cs="Arial"/>
          <w:sz w:val="24"/>
        </w:rPr>
        <w:sectPr w:rsidR="00065659">
          <w:footerReference w:type="default" r:id="rId55"/>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21" w:name="_Toc384992692"/>
      <w:bookmarkStart w:id="22" w:name="_Toc348082030"/>
      <w:bookmarkStart w:id="23" w:name="_Toc3276849"/>
      <w:bookmarkStart w:id="24" w:name="CLAUSE_c01a710d4d75417eb23976271466949d"/>
      <w:r>
        <w:rPr>
          <w:rFonts w:ascii="宋体" w:eastAsia="宋体" w:hAnsi="宋体"/>
        </w:rPr>
        <w:lastRenderedPageBreak/>
        <w:t xml:space="preserve"> </w:t>
      </w:r>
      <w:bookmarkStart w:id="25" w:name="CTS_c01a710d4d75417eb23976271466949d"/>
      <w:bookmarkEnd w:id="25"/>
      <w:r>
        <w:rPr>
          <w:rFonts w:ascii="宋体" w:eastAsia="宋体" w:hAnsi="宋体" w:hint="eastAsia"/>
        </w:rPr>
        <w:t>基金托管协议的依据、目的和原则</w:t>
      </w:r>
      <w:bookmarkEnd w:id="21"/>
      <w:bookmarkEnd w:id="22"/>
      <w:bookmarkEnd w:id="23"/>
    </w:p>
    <w:p w:rsidR="00065659" w:rsidRDefault="00A43F61">
      <w:pPr>
        <w:spacing w:line="360" w:lineRule="auto"/>
        <w:ind w:firstLineChars="200" w:firstLine="480"/>
        <w:contextualSpacing/>
        <w:rPr>
          <w:rFonts w:ascii="宋体" w:hAnsi="宋体"/>
          <w:sz w:val="24"/>
        </w:rPr>
      </w:pPr>
      <w:r>
        <w:rPr>
          <w:rFonts w:ascii="宋体" w:hAnsi="宋体" w:hint="eastAsia"/>
          <w:sz w:val="24"/>
        </w:rPr>
        <w:t>（一）订立托管协议的依据</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w:t>
      </w:r>
      <w:r>
        <w:rPr>
          <w:rFonts w:ascii="宋体" w:hAnsi="宋体"/>
          <w:sz w:val="24"/>
        </w:rPr>
        <w:t>以下简称</w:t>
      </w:r>
      <w:r>
        <w:rPr>
          <w:rFonts w:ascii="宋体" w:hAnsi="宋体"/>
          <w:sz w:val="24"/>
        </w:rPr>
        <w:t>“</w:t>
      </w:r>
      <w:r>
        <w:rPr>
          <w:rFonts w:ascii="宋体" w:hAnsi="宋体"/>
          <w:sz w:val="24"/>
        </w:rPr>
        <w:t>《基金法》</w:t>
      </w:r>
      <w:r>
        <w:rPr>
          <w:rFonts w:ascii="宋体" w:hAnsi="宋体"/>
          <w:sz w:val="24"/>
        </w:rPr>
        <w:t>”)</w:t>
      </w:r>
      <w:r>
        <w:rPr>
          <w:rFonts w:ascii="宋体" w:hAnsi="宋体"/>
          <w:sz w:val="24"/>
        </w:rPr>
        <w:t>、《公开募集证券投资基金运作管理办法》（以下简称</w:t>
      </w:r>
      <w:r>
        <w:rPr>
          <w:rFonts w:ascii="宋体" w:hAnsi="宋体"/>
          <w:sz w:val="24"/>
        </w:rPr>
        <w:t>“</w:t>
      </w:r>
      <w:r>
        <w:rPr>
          <w:rFonts w:ascii="宋体" w:hAnsi="宋体"/>
          <w:sz w:val="24"/>
        </w:rPr>
        <w:t>《运作办法》</w:t>
      </w:r>
      <w:r>
        <w:rPr>
          <w:rFonts w:ascii="宋体" w:hAnsi="宋体" w:hint="eastAsia"/>
          <w:sz w:val="24"/>
        </w:rPr>
        <w:t>”）、《公开募集开放式证券投资基金流动性风险管理规定》</w:t>
      </w:r>
      <w:r>
        <w:rPr>
          <w:rFonts w:ascii="宋体" w:hAnsi="宋体" w:cs="Arial" w:hint="eastAsia"/>
          <w:sz w:val="24"/>
        </w:rPr>
        <w:t>（以下简称“《流动性风险规定》</w:t>
      </w:r>
      <w:r>
        <w:rPr>
          <w:rFonts w:ascii="宋体" w:hAnsi="宋体" w:hint="eastAsia"/>
          <w:sz w:val="24"/>
        </w:rPr>
        <w:t>”）、《公开募集证券投资基金信息披露管理办法》（以下简称“《信息披露办法》”）等有关法律法规、基金合同及其他有关规定制订。</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（二）订立托管协议的目的</w:t>
      </w:r>
    </w:p>
    <w:p w:rsidR="00065659" w:rsidRDefault="00A43F61">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（三）订立托管协议的原则</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w:t>
      </w:r>
      <w:r>
        <w:rPr>
          <w:rFonts w:ascii="宋体" w:hAnsi="宋体" w:hint="eastAsia"/>
          <w:sz w:val="24"/>
        </w:rPr>
        <w:t>金份额持有人合法权益的原则，经协商一致，签订本协议。</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（四）解释</w:t>
      </w:r>
    </w:p>
    <w:p w:rsidR="00065659" w:rsidRDefault="00A43F61">
      <w:pPr>
        <w:spacing w:line="360" w:lineRule="auto"/>
        <w:ind w:firstLineChars="200" w:firstLine="480"/>
        <w:contextualSpacing/>
        <w:rPr>
          <w:rFonts w:ascii="宋体" w:hAnsi="宋体" w:cs="Arial"/>
          <w:sz w:val="24"/>
        </w:rPr>
      </w:pPr>
      <w:r>
        <w:rPr>
          <w:rFonts w:ascii="宋体" w:hAnsi="宋体" w:cs="Arial" w:hint="eastAsia"/>
          <w:sz w:val="24"/>
        </w:rPr>
        <w:t>除非文义另有所指，本协议的所有术语与《基金合同》的相应术语具有相同含义。</w:t>
      </w:r>
    </w:p>
    <w:p w:rsidR="00065659" w:rsidRDefault="00065659">
      <w:pPr>
        <w:spacing w:line="360" w:lineRule="auto"/>
        <w:ind w:firstLineChars="200" w:firstLine="480"/>
        <w:contextualSpacing/>
        <w:rPr>
          <w:rFonts w:ascii="宋体" w:hAnsi="宋体" w:cs="Arial"/>
          <w:sz w:val="24"/>
        </w:rPr>
      </w:pPr>
    </w:p>
    <w:bookmarkEnd w:id="24"/>
    <w:p w:rsidR="00065659" w:rsidRDefault="00065659">
      <w:pPr>
        <w:spacing w:line="360" w:lineRule="auto"/>
        <w:ind w:firstLineChars="200" w:firstLine="480"/>
        <w:contextualSpacing/>
        <w:rPr>
          <w:rFonts w:ascii="宋体" w:hAnsi="宋体" w:cs="Arial"/>
          <w:sz w:val="24"/>
        </w:rPr>
        <w:sectPr w:rsidR="00065659">
          <w:footerReference w:type="default" r:id="rId56"/>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26" w:name="_Toc3276850"/>
      <w:bookmarkStart w:id="27" w:name="_Toc384992693"/>
      <w:bookmarkStart w:id="28" w:name="CLAUSE_f8008f4d8f2d49cd863c646d6a8cc7c2"/>
      <w:r>
        <w:rPr>
          <w:rFonts w:ascii="宋体" w:eastAsia="宋体" w:hAnsi="宋体"/>
        </w:rPr>
        <w:lastRenderedPageBreak/>
        <w:t xml:space="preserve"> </w:t>
      </w:r>
      <w:bookmarkStart w:id="29" w:name="CTS_f8008f4d8f2d49cd863c646d6a8cc7c2"/>
      <w:bookmarkEnd w:id="29"/>
      <w:r>
        <w:rPr>
          <w:rFonts w:ascii="宋体" w:eastAsia="宋体" w:hAnsi="宋体" w:hint="eastAsia"/>
        </w:rPr>
        <w:t>基金托管人对基金管理人的业务监督和核查</w:t>
      </w:r>
      <w:bookmarkEnd w:id="19"/>
      <w:bookmarkEnd w:id="26"/>
      <w:bookmarkEnd w:id="27"/>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w:t>
      </w:r>
    </w:p>
    <w:p w:rsidR="00065659" w:rsidRDefault="00A43F61">
      <w:pPr>
        <w:spacing w:line="360" w:lineRule="auto"/>
        <w:ind w:firstLineChars="200" w:firstLine="480"/>
        <w:contextualSpacing/>
        <w:rPr>
          <w:rFonts w:ascii="宋体" w:hAnsi="宋体" w:cs="Arial"/>
          <w:sz w:val="24"/>
        </w:rPr>
      </w:pPr>
      <w:r>
        <w:rPr>
          <w:rFonts w:ascii="宋体" w:hAnsi="宋体"/>
          <w:sz w:val="24"/>
        </w:rPr>
        <w:t>1</w:t>
      </w:r>
      <w:r w:rsidR="00EC5E15">
        <w:rPr>
          <w:rFonts w:ascii="宋体" w:hAnsi="宋体" w:hint="eastAsia"/>
          <w:sz w:val="24"/>
        </w:rPr>
        <w:t>、</w:t>
      </w:r>
      <w:r>
        <w:rPr>
          <w:rFonts w:ascii="宋体" w:hAnsi="宋体" w:hint="eastAsia"/>
          <w:sz w:val="24"/>
        </w:rPr>
        <w:t>本基金的投资范围为：</w:t>
      </w:r>
      <w:r>
        <w:rPr>
          <w:rFonts w:ascii="宋体" w:hAnsi="宋体" w:cs="Arial" w:hint="eastAsia"/>
          <w:sz w:val="24"/>
        </w:rPr>
        <w:t>本基金的投资范围为具有良好流动性的金融工具，包括国内依法发行上市的股票（包括</w:t>
      </w:r>
      <w:r>
        <w:rPr>
          <w:rFonts w:ascii="宋体" w:hAnsi="宋体" w:hint="eastAsia"/>
          <w:sz w:val="24"/>
        </w:rPr>
        <w:t>主板、</w:t>
      </w:r>
      <w:r>
        <w:rPr>
          <w:rFonts w:ascii="宋体" w:hAnsi="宋体" w:cs="Arial" w:hint="eastAsia"/>
          <w:sz w:val="24"/>
        </w:rPr>
        <w:t>创业板及其他中国证监会允许基金投资的股票、存托凭证）</w:t>
      </w:r>
      <w:r>
        <w:rPr>
          <w:rFonts w:ascii="宋体" w:hAnsi="宋体" w:hint="eastAsia"/>
          <w:bCs/>
          <w:sz w:val="24"/>
        </w:rPr>
        <w:t>、</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w:t>
      </w:r>
      <w:r>
        <w:rPr>
          <w:rFonts w:ascii="宋体" w:hAnsi="宋体" w:cs="Arial" w:hint="eastAsia"/>
          <w:sz w:val="24"/>
        </w:rPr>
        <w:t>债券（</w:t>
      </w:r>
      <w:r>
        <w:rPr>
          <w:rFonts w:ascii="宋体" w:hAnsi="宋体" w:hint="eastAsia"/>
          <w:bCs/>
          <w:sz w:val="24"/>
        </w:rPr>
        <w:t>包括国内依法发行和上市交易的</w:t>
      </w:r>
      <w:r>
        <w:rPr>
          <w:rFonts w:ascii="宋体" w:hAnsi="宋体" w:cs="Arial" w:hint="eastAsia"/>
          <w:sz w:val="24"/>
        </w:rPr>
        <w:t>国债、金融债、企业债、公司债、公开发行的次级债、地方政府债券、可转换债券、分离交易可转债</w:t>
      </w:r>
      <w:proofErr w:type="gramStart"/>
      <w:r>
        <w:rPr>
          <w:rFonts w:ascii="宋体" w:hAnsi="宋体" w:cs="Arial" w:hint="eastAsia"/>
          <w:sz w:val="24"/>
        </w:rPr>
        <w:t>的纯债部分</w:t>
      </w:r>
      <w:proofErr w:type="gramEnd"/>
      <w:r>
        <w:rPr>
          <w:rFonts w:ascii="宋体" w:hAnsi="宋体" w:cs="Arial" w:hint="eastAsia"/>
          <w:sz w:val="24"/>
        </w:rPr>
        <w:t>、可交换债、央行票据、中期票据、证券公司短期公司债券、短期融资</w:t>
      </w:r>
      <w:proofErr w:type="gramStart"/>
      <w:r>
        <w:rPr>
          <w:rFonts w:ascii="宋体" w:hAnsi="宋体" w:cs="Arial" w:hint="eastAsia"/>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cs="Arial" w:hint="eastAsia"/>
          <w:sz w:val="24"/>
        </w:rPr>
        <w:t>）、资产支持证券、债券回购、货币市场工具、同业存单、银行存款（包括协议存款、定期存款及其他银行存款）、股指期货、国债期货</w:t>
      </w:r>
      <w:r>
        <w:rPr>
          <w:rFonts w:ascii="宋体" w:hAnsi="宋体" w:cs="Arial" w:hint="eastAsia"/>
          <w:sz w:val="24"/>
        </w:rPr>
        <w:t>、</w:t>
      </w:r>
      <w:r>
        <w:rPr>
          <w:rFonts w:ascii="宋体" w:hAnsi="宋体" w:cs="Arial" w:hint="eastAsia"/>
          <w:bCs/>
          <w:sz w:val="24"/>
        </w:rPr>
        <w:t>股票期权</w:t>
      </w:r>
      <w:r>
        <w:rPr>
          <w:rFonts w:ascii="宋体" w:hAnsi="宋体" w:cs="Arial" w:hint="eastAsia"/>
          <w:sz w:val="24"/>
        </w:rPr>
        <w:t>以及法律法规或中国证监会允许基金投资的其他金融工具（但须符合中国证监会的相关规定）。本基金将根据法律法规的规定参与融资融券业务中的融资业务。</w:t>
      </w:r>
    </w:p>
    <w:p w:rsidR="00065659" w:rsidRDefault="00A43F61">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sz w:val="24"/>
        </w:rPr>
        <w:t>本基金各类品种的投资比例、投资限制为：</w:t>
      </w:r>
      <w:bookmarkStart w:id="30" w:name="_Hlk32665172"/>
    </w:p>
    <w:bookmarkEnd w:id="30"/>
    <w:p w:rsidR="00065659" w:rsidRDefault="00A43F61">
      <w:pPr>
        <w:spacing w:line="360" w:lineRule="auto"/>
        <w:ind w:firstLineChars="200" w:firstLine="480"/>
        <w:rPr>
          <w:rFonts w:ascii="宋体" w:hAnsi="宋体"/>
          <w:bCs/>
          <w:sz w:val="24"/>
        </w:rPr>
      </w:pPr>
      <w:r>
        <w:rPr>
          <w:rFonts w:ascii="宋体" w:hAnsi="宋体"/>
          <w:bCs/>
          <w:sz w:val="24"/>
          <w:szCs w:val="20"/>
        </w:rPr>
        <w:t>（</w:t>
      </w:r>
      <w:r>
        <w:rPr>
          <w:rFonts w:ascii="宋体" w:hAnsi="宋体"/>
          <w:bCs/>
          <w:sz w:val="24"/>
          <w:szCs w:val="20"/>
        </w:rPr>
        <w:t>1</w:t>
      </w:r>
      <w:r>
        <w:rPr>
          <w:rFonts w:ascii="宋体" w:hAnsi="宋体"/>
          <w:bCs/>
          <w:sz w:val="24"/>
          <w:szCs w:val="20"/>
        </w:rPr>
        <w:t>）</w:t>
      </w:r>
      <w:r>
        <w:rPr>
          <w:rFonts w:ascii="宋体" w:hAnsi="宋体" w:hint="eastAsia"/>
          <w:bCs/>
          <w:sz w:val="24"/>
          <w:szCs w:val="20"/>
        </w:rPr>
        <w:t>本基金投资组合中股票资产投资比例为基金资产的</w:t>
      </w:r>
      <w:r>
        <w:rPr>
          <w:rFonts w:ascii="宋体" w:hAnsi="宋体"/>
          <w:bCs/>
          <w:sz w:val="24"/>
          <w:szCs w:val="20"/>
        </w:rPr>
        <w:t>6</w:t>
      </w:r>
      <w:r>
        <w:rPr>
          <w:rFonts w:ascii="宋体" w:hAnsi="宋体" w:hint="eastAsia"/>
          <w:bCs/>
          <w:sz w:val="24"/>
          <w:szCs w:val="20"/>
        </w:rPr>
        <w:t>0%-95%</w:t>
      </w:r>
      <w:r>
        <w:rPr>
          <w:rFonts w:ascii="宋体" w:hAnsi="宋体" w:hint="eastAsia"/>
          <w:bCs/>
          <w:sz w:val="24"/>
          <w:szCs w:val="20"/>
        </w:rPr>
        <w:t>，</w:t>
      </w:r>
      <w:r>
        <w:rPr>
          <w:rFonts w:ascii="宋体" w:hAnsi="宋体" w:hint="eastAsia"/>
          <w:bCs/>
          <w:sz w:val="24"/>
        </w:rPr>
        <w:t>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w:t>
      </w:r>
      <w:r>
        <w:rPr>
          <w:rFonts w:ascii="宋体" w:hAnsi="宋体" w:hint="eastAsia"/>
          <w:bCs/>
          <w:sz w:val="24"/>
        </w:rPr>
        <w:t>50%</w:t>
      </w:r>
      <w:r>
        <w:rPr>
          <w:rFonts w:ascii="宋体" w:hAnsi="宋体" w:hint="eastAsia"/>
          <w:bCs/>
          <w:sz w:val="24"/>
        </w:rPr>
        <w:t>；</w:t>
      </w:r>
    </w:p>
    <w:p w:rsidR="00065659" w:rsidRDefault="00A43F61">
      <w:pPr>
        <w:spacing w:line="360" w:lineRule="auto"/>
        <w:rPr>
          <w:rFonts w:ascii="宋体" w:hAnsi="宋体"/>
          <w:bCs/>
          <w:sz w:val="24"/>
          <w:szCs w:val="20"/>
        </w:rPr>
      </w:pPr>
      <w:r>
        <w:rPr>
          <w:rFonts w:ascii="宋体" w:hAnsi="宋体" w:hint="eastAsia"/>
          <w:bCs/>
          <w:sz w:val="24"/>
          <w:szCs w:val="20"/>
        </w:rPr>
        <w:t>投资于基金合同界定的医疗健康相关行业上市公司证券的资产比例不低于非现金基金资产的</w:t>
      </w:r>
      <w:r>
        <w:rPr>
          <w:rFonts w:ascii="宋体" w:hAnsi="宋体" w:hint="eastAsia"/>
          <w:bCs/>
          <w:sz w:val="24"/>
          <w:szCs w:val="20"/>
        </w:rPr>
        <w:t>8</w:t>
      </w:r>
      <w:r>
        <w:rPr>
          <w:rFonts w:ascii="宋体" w:hAnsi="宋体"/>
          <w:bCs/>
          <w:sz w:val="24"/>
          <w:szCs w:val="20"/>
        </w:rPr>
        <w:t>0</w:t>
      </w:r>
      <w:r>
        <w:rPr>
          <w:rFonts w:ascii="宋体" w:hAnsi="宋体" w:hint="eastAsia"/>
          <w:bCs/>
          <w:sz w:val="24"/>
          <w:szCs w:val="20"/>
        </w:rPr>
        <w:t>%</w:t>
      </w:r>
      <w:r>
        <w:rPr>
          <w:rFonts w:ascii="宋体" w:hAnsi="宋体" w:hint="eastAsia"/>
          <w:bCs/>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2</w:t>
      </w:r>
      <w:r>
        <w:rPr>
          <w:rFonts w:ascii="宋体" w:hAnsi="宋体" w:hint="eastAsia"/>
          <w:sz w:val="24"/>
          <w:szCs w:val="20"/>
        </w:rPr>
        <w:t>）</w:t>
      </w:r>
      <w:r>
        <w:rPr>
          <w:rFonts w:ascii="宋体" w:hAnsi="宋体" w:hint="eastAsia"/>
          <w:bCs/>
          <w:sz w:val="24"/>
          <w:szCs w:val="20"/>
        </w:rPr>
        <w:t>每个交易日日终在扣除股指期货、国债期货和股票期权合约需缴纳的交易保证金后，</w:t>
      </w:r>
      <w:r>
        <w:rPr>
          <w:rFonts w:ascii="宋体" w:hAnsi="宋体" w:hint="eastAsia"/>
          <w:sz w:val="24"/>
          <w:szCs w:val="20"/>
        </w:rPr>
        <w:t>保持不低于基金资产净值</w:t>
      </w:r>
      <w:r>
        <w:rPr>
          <w:rFonts w:ascii="宋体" w:hAnsi="宋体"/>
          <w:sz w:val="24"/>
          <w:szCs w:val="20"/>
        </w:rPr>
        <w:t>5</w:t>
      </w:r>
      <w:r>
        <w:rPr>
          <w:rFonts w:ascii="宋体" w:hAnsi="宋体" w:hint="eastAsia"/>
          <w:sz w:val="24"/>
          <w:szCs w:val="20"/>
        </w:rPr>
        <w:t>％的现金或者到期日在一年以内的政府债券</w:t>
      </w:r>
      <w:r>
        <w:rPr>
          <w:rFonts w:ascii="宋体" w:hAnsi="宋体" w:hint="eastAsia"/>
          <w:bCs/>
          <w:sz w:val="24"/>
          <w:szCs w:val="20"/>
        </w:rPr>
        <w:t>，</w:t>
      </w:r>
      <w:r>
        <w:rPr>
          <w:rFonts w:ascii="宋体" w:hAnsi="宋体" w:hint="eastAsia"/>
          <w:sz w:val="24"/>
          <w:szCs w:val="20"/>
        </w:rPr>
        <w:t>其中现金不包括结算备付金、存出保证金、应收申购款等；</w:t>
      </w:r>
    </w:p>
    <w:p w:rsidR="00065659" w:rsidRDefault="00A43F61">
      <w:pPr>
        <w:numPr>
          <w:ilvl w:val="0"/>
          <w:numId w:val="3"/>
        </w:numPr>
        <w:spacing w:line="360" w:lineRule="auto"/>
        <w:ind w:firstLineChars="200" w:firstLine="480"/>
        <w:rPr>
          <w:rFonts w:ascii="宋体" w:hAnsi="宋体"/>
          <w:sz w:val="24"/>
          <w:szCs w:val="20"/>
        </w:rPr>
      </w:pPr>
      <w:bookmarkStart w:id="31" w:name="_Hlk533861090"/>
      <w:r>
        <w:rPr>
          <w:rFonts w:ascii="宋体" w:hAnsi="宋体" w:hint="eastAsia"/>
          <w:sz w:val="24"/>
          <w:szCs w:val="20"/>
        </w:rPr>
        <w:t>本基金持有一家公司</w:t>
      </w:r>
      <w:r>
        <w:rPr>
          <w:rFonts w:ascii="宋体" w:hAnsi="宋体" w:hint="eastAsia"/>
          <w:bCs/>
          <w:sz w:val="24"/>
          <w:szCs w:val="20"/>
        </w:rPr>
        <w:t>发行</w:t>
      </w:r>
      <w:r>
        <w:rPr>
          <w:rFonts w:ascii="宋体" w:hAnsi="宋体" w:hint="eastAsia"/>
          <w:sz w:val="24"/>
          <w:szCs w:val="20"/>
        </w:rPr>
        <w:t>的证券其市值（</w:t>
      </w:r>
      <w:r>
        <w:rPr>
          <w:rFonts w:ascii="宋体" w:hAnsi="宋体" w:hint="eastAsia"/>
          <w:bCs/>
          <w:sz w:val="24"/>
        </w:rPr>
        <w:t>若同时持有一家公司发行的</w:t>
      </w:r>
      <w:r>
        <w:rPr>
          <w:rFonts w:ascii="宋体" w:hAnsi="宋体" w:hint="eastAsia"/>
          <w:bCs/>
          <w:sz w:val="24"/>
        </w:rPr>
        <w:t>A</w:t>
      </w:r>
      <w:r>
        <w:rPr>
          <w:rFonts w:ascii="宋体" w:hAnsi="宋体" w:hint="eastAsia"/>
          <w:bCs/>
          <w:sz w:val="24"/>
        </w:rPr>
        <w:t>股和</w:t>
      </w:r>
      <w:r>
        <w:rPr>
          <w:rFonts w:ascii="宋体" w:hAnsi="宋体" w:hint="eastAsia"/>
          <w:bCs/>
          <w:sz w:val="24"/>
        </w:rPr>
        <w:t>H</w:t>
      </w:r>
      <w:r>
        <w:rPr>
          <w:rFonts w:ascii="宋体" w:hAnsi="宋体" w:hint="eastAsia"/>
          <w:bCs/>
          <w:sz w:val="24"/>
        </w:rPr>
        <w:t>股，则为</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股合计市值）</w:t>
      </w:r>
      <w:r>
        <w:rPr>
          <w:rFonts w:ascii="宋体" w:hAnsi="宋体" w:hint="eastAsia"/>
          <w:sz w:val="24"/>
          <w:szCs w:val="20"/>
        </w:rPr>
        <w:t>不超过基金资产净值的</w:t>
      </w:r>
      <w:r>
        <w:rPr>
          <w:rFonts w:ascii="宋体" w:hAnsi="宋体"/>
          <w:sz w:val="24"/>
          <w:szCs w:val="20"/>
        </w:rPr>
        <w:t>10</w:t>
      </w:r>
      <w:r>
        <w:rPr>
          <w:rFonts w:ascii="宋体" w:hAnsi="宋体" w:hint="eastAsia"/>
          <w:sz w:val="24"/>
          <w:szCs w:val="20"/>
        </w:rPr>
        <w:t>％</w:t>
      </w:r>
      <w:bookmarkEnd w:id="31"/>
      <w:r>
        <w:rPr>
          <w:rFonts w:ascii="宋体" w:hAnsi="宋体" w:hint="eastAsia"/>
          <w:sz w:val="24"/>
          <w:szCs w:val="20"/>
        </w:rPr>
        <w:t>；</w:t>
      </w:r>
    </w:p>
    <w:p w:rsidR="00065659" w:rsidRDefault="00A43F61">
      <w:pPr>
        <w:numPr>
          <w:ilvl w:val="0"/>
          <w:numId w:val="4"/>
        </w:numPr>
        <w:spacing w:line="360" w:lineRule="auto"/>
        <w:ind w:firstLine="480"/>
        <w:rPr>
          <w:rFonts w:ascii="宋体" w:hAnsi="宋体"/>
          <w:sz w:val="24"/>
          <w:szCs w:val="20"/>
        </w:rPr>
      </w:pPr>
      <w:r>
        <w:rPr>
          <w:rFonts w:ascii="宋体" w:hAnsi="宋体" w:hint="eastAsia"/>
          <w:sz w:val="24"/>
          <w:szCs w:val="20"/>
        </w:rPr>
        <w:t>本基金管理人管理的全部基金持有一家公司发行的证券</w:t>
      </w:r>
      <w:r>
        <w:rPr>
          <w:rFonts w:ascii="宋体" w:hAnsi="宋体" w:hint="eastAsia"/>
          <w:bCs/>
          <w:sz w:val="24"/>
        </w:rPr>
        <w:t>（</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股合计）</w:t>
      </w:r>
      <w:r>
        <w:rPr>
          <w:rFonts w:ascii="宋体" w:hAnsi="宋体" w:hint="eastAsia"/>
          <w:sz w:val="24"/>
          <w:szCs w:val="20"/>
        </w:rPr>
        <w:t>，不超过该证券的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5</w:t>
      </w:r>
      <w:r>
        <w:rPr>
          <w:rFonts w:ascii="宋体" w:hAnsi="宋体" w:hint="eastAsia"/>
          <w:sz w:val="24"/>
          <w:szCs w:val="20"/>
        </w:rPr>
        <w:t>）</w:t>
      </w:r>
      <w:r>
        <w:rPr>
          <w:rFonts w:ascii="宋体" w:hAnsi="宋体" w:hint="eastAsia"/>
          <w:sz w:val="24"/>
          <w:szCs w:val="20"/>
        </w:rPr>
        <w:t>本基金投资于同一原始权益人的各类资产支持证券的比例，不得超过基</w:t>
      </w:r>
      <w:r>
        <w:rPr>
          <w:rFonts w:ascii="宋体" w:hAnsi="宋体" w:hint="eastAsia"/>
          <w:sz w:val="24"/>
          <w:szCs w:val="20"/>
        </w:rPr>
        <w:lastRenderedPageBreak/>
        <w:t>金资产净值的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6</w:t>
      </w:r>
      <w:r>
        <w:rPr>
          <w:rFonts w:ascii="宋体" w:hAnsi="宋体" w:hint="eastAsia"/>
          <w:sz w:val="24"/>
          <w:szCs w:val="20"/>
        </w:rPr>
        <w:t>）本基金持有的全部资产支持证券，其市值不得超过基金资产净值的</w:t>
      </w:r>
      <w:r>
        <w:rPr>
          <w:rFonts w:ascii="宋体" w:hAnsi="宋体"/>
          <w:sz w:val="24"/>
          <w:szCs w:val="20"/>
        </w:rPr>
        <w:t>20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7</w:t>
      </w:r>
      <w:r>
        <w:rPr>
          <w:rFonts w:ascii="宋体" w:hAnsi="宋体" w:hint="eastAsia"/>
          <w:sz w:val="24"/>
          <w:szCs w:val="20"/>
        </w:rPr>
        <w:t>）本基金持有的同一</w:t>
      </w:r>
      <w:r>
        <w:rPr>
          <w:rFonts w:ascii="宋体" w:hAnsi="宋体"/>
          <w:sz w:val="24"/>
          <w:szCs w:val="20"/>
        </w:rPr>
        <w:t>(</w:t>
      </w:r>
      <w:r>
        <w:rPr>
          <w:rFonts w:ascii="宋体" w:hAnsi="宋体" w:hint="eastAsia"/>
          <w:sz w:val="24"/>
          <w:szCs w:val="20"/>
        </w:rPr>
        <w:t>指同一信用级别</w:t>
      </w:r>
      <w:r>
        <w:rPr>
          <w:rFonts w:ascii="宋体" w:hAnsi="宋体"/>
          <w:sz w:val="24"/>
          <w:szCs w:val="20"/>
        </w:rPr>
        <w:t>)</w:t>
      </w:r>
      <w:r>
        <w:rPr>
          <w:rFonts w:ascii="宋体" w:hAnsi="宋体" w:hint="eastAsia"/>
          <w:sz w:val="24"/>
          <w:szCs w:val="20"/>
        </w:rPr>
        <w:t>资产支持证券的比例，不得超过该资产支持证券规模的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8</w:t>
      </w:r>
      <w:r>
        <w:rPr>
          <w:rFonts w:ascii="宋体" w:hAnsi="宋体" w:hint="eastAsia"/>
          <w:sz w:val="24"/>
          <w:szCs w:val="20"/>
        </w:rPr>
        <w:t>）本基金管理人管理的全部基金投资于同一原始权益人的各类资产支持证券，不得超过其各类资产支持证券合计规模的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9</w:t>
      </w:r>
      <w:r>
        <w:rPr>
          <w:rFonts w:ascii="宋体" w:hAnsi="宋体" w:hint="eastAsia"/>
          <w:sz w:val="24"/>
          <w:szCs w:val="20"/>
        </w:rPr>
        <w:t>）本基金应投资于信用级别评级为</w:t>
      </w:r>
      <w:r>
        <w:rPr>
          <w:rFonts w:ascii="宋体" w:hAnsi="宋体"/>
          <w:sz w:val="24"/>
          <w:szCs w:val="20"/>
        </w:rPr>
        <w:t>BBB</w:t>
      </w:r>
      <w:r>
        <w:rPr>
          <w:rFonts w:ascii="宋体" w:hAnsi="宋体" w:hint="eastAsia"/>
          <w:sz w:val="24"/>
          <w:szCs w:val="20"/>
        </w:rPr>
        <w:t>以上</w:t>
      </w:r>
      <w:r>
        <w:rPr>
          <w:rFonts w:ascii="宋体" w:hAnsi="宋体"/>
          <w:sz w:val="24"/>
          <w:szCs w:val="20"/>
        </w:rPr>
        <w:t>(</w:t>
      </w:r>
      <w:r>
        <w:rPr>
          <w:rFonts w:ascii="宋体" w:hAnsi="宋体" w:hint="eastAsia"/>
          <w:sz w:val="24"/>
          <w:szCs w:val="20"/>
        </w:rPr>
        <w:t>含</w:t>
      </w:r>
      <w:r>
        <w:rPr>
          <w:rFonts w:ascii="宋体" w:hAnsi="宋体"/>
          <w:sz w:val="24"/>
          <w:szCs w:val="20"/>
        </w:rPr>
        <w:t>BBB)</w:t>
      </w:r>
      <w:r>
        <w:rPr>
          <w:rFonts w:ascii="宋体" w:hAnsi="宋体" w:hint="eastAsia"/>
          <w:sz w:val="24"/>
          <w:szCs w:val="20"/>
        </w:rPr>
        <w:t>的资产支持证券。基金持有资产支持证券期间，如果其信用等级下降、不再符合投资标准，应在评级报告发布之日起</w:t>
      </w:r>
      <w:r>
        <w:rPr>
          <w:rFonts w:ascii="宋体" w:hAnsi="宋体"/>
          <w:sz w:val="24"/>
          <w:szCs w:val="20"/>
        </w:rPr>
        <w:t>3</w:t>
      </w:r>
      <w:r>
        <w:rPr>
          <w:rFonts w:ascii="宋体" w:hAnsi="宋体" w:hint="eastAsia"/>
          <w:sz w:val="24"/>
          <w:szCs w:val="20"/>
        </w:rPr>
        <w:t>个月内予以全部卖出；</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10</w:t>
      </w:r>
      <w:r>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11</w:t>
      </w:r>
      <w:r>
        <w:rPr>
          <w:rFonts w:ascii="宋体" w:hAnsi="宋体" w:hint="eastAsia"/>
          <w:sz w:val="24"/>
          <w:szCs w:val="20"/>
        </w:rPr>
        <w:t>）本基金进入全国银行间同业市场进行债券回购的资金余额不得超过基金资产净值的</w:t>
      </w:r>
      <w:r>
        <w:rPr>
          <w:rFonts w:ascii="宋体" w:hAnsi="宋体"/>
          <w:sz w:val="24"/>
          <w:szCs w:val="20"/>
        </w:rPr>
        <w:t>40%</w:t>
      </w:r>
      <w:r>
        <w:rPr>
          <w:rFonts w:ascii="宋体" w:hAnsi="宋体" w:hint="eastAsia"/>
          <w:bCs/>
          <w:sz w:val="24"/>
          <w:szCs w:val="20"/>
        </w:rPr>
        <w:t>，进入</w:t>
      </w:r>
      <w:r>
        <w:rPr>
          <w:rFonts w:ascii="宋体" w:hAnsi="宋体" w:hint="eastAsia"/>
          <w:sz w:val="24"/>
          <w:szCs w:val="20"/>
        </w:rPr>
        <w:t>全国银行间同业市场</w:t>
      </w:r>
      <w:r>
        <w:rPr>
          <w:rFonts w:ascii="宋体" w:hAnsi="宋体" w:hint="eastAsia"/>
          <w:bCs/>
          <w:sz w:val="24"/>
          <w:szCs w:val="20"/>
        </w:rPr>
        <w:t>进行</w:t>
      </w:r>
      <w:r>
        <w:rPr>
          <w:rFonts w:ascii="宋体" w:hAnsi="宋体" w:hint="eastAsia"/>
          <w:sz w:val="24"/>
          <w:szCs w:val="20"/>
        </w:rPr>
        <w:t>债券回购</w:t>
      </w:r>
      <w:r>
        <w:rPr>
          <w:rFonts w:ascii="宋体" w:hAnsi="宋体" w:hint="eastAsia"/>
          <w:bCs/>
          <w:sz w:val="24"/>
          <w:szCs w:val="20"/>
        </w:rPr>
        <w:t>的</w:t>
      </w:r>
      <w:r>
        <w:rPr>
          <w:rFonts w:ascii="宋体" w:hAnsi="宋体" w:hint="eastAsia"/>
          <w:sz w:val="24"/>
          <w:szCs w:val="20"/>
        </w:rPr>
        <w:t>最长期限为</w:t>
      </w:r>
      <w:r>
        <w:rPr>
          <w:rFonts w:ascii="宋体" w:hAnsi="宋体"/>
          <w:sz w:val="24"/>
          <w:szCs w:val="20"/>
        </w:rPr>
        <w:t>1</w:t>
      </w:r>
      <w:r>
        <w:rPr>
          <w:rFonts w:ascii="宋体" w:hAnsi="宋体" w:hint="eastAsia"/>
          <w:sz w:val="24"/>
          <w:szCs w:val="20"/>
        </w:rPr>
        <w:t>年，债券回购到期后不得展期；</w:t>
      </w:r>
    </w:p>
    <w:p w:rsidR="00065659" w:rsidRDefault="00A43F61">
      <w:pPr>
        <w:spacing w:line="360" w:lineRule="auto"/>
        <w:ind w:firstLineChars="200" w:firstLine="480"/>
        <w:rPr>
          <w:rFonts w:ascii="宋体" w:hAnsi="宋体"/>
          <w:sz w:val="24"/>
          <w:szCs w:val="20"/>
        </w:rPr>
      </w:pPr>
      <w:bookmarkStart w:id="32" w:name="_Hlk533838772"/>
      <w:r>
        <w:rPr>
          <w:rFonts w:ascii="宋体" w:hAnsi="宋体" w:hint="eastAsia"/>
          <w:sz w:val="24"/>
          <w:szCs w:val="20"/>
        </w:rPr>
        <w:t>（</w:t>
      </w:r>
      <w:r>
        <w:rPr>
          <w:rFonts w:ascii="宋体" w:hAnsi="宋体"/>
          <w:bCs/>
          <w:sz w:val="24"/>
          <w:szCs w:val="20"/>
        </w:rPr>
        <w:t>12</w:t>
      </w:r>
      <w:r>
        <w:rPr>
          <w:rFonts w:ascii="宋体" w:hAnsi="宋体" w:hint="eastAsia"/>
          <w:sz w:val="24"/>
          <w:szCs w:val="20"/>
        </w:rPr>
        <w:t>）本基金管理人管理的全部开放式基金</w:t>
      </w:r>
      <w:r>
        <w:rPr>
          <w:rFonts w:ascii="宋体" w:hAnsi="宋体"/>
          <w:bCs/>
          <w:sz w:val="24"/>
          <w:szCs w:val="20"/>
        </w:rPr>
        <w:t>(</w:t>
      </w:r>
      <w:r>
        <w:rPr>
          <w:rFonts w:ascii="宋体" w:hAnsi="宋体"/>
          <w:bCs/>
          <w:sz w:val="24"/>
          <w:szCs w:val="20"/>
        </w:rPr>
        <w:t>包括开放式基金以及处于开放期的定期开放基金</w:t>
      </w:r>
      <w:r>
        <w:rPr>
          <w:rFonts w:ascii="宋体" w:hAnsi="宋体"/>
          <w:bCs/>
          <w:sz w:val="24"/>
          <w:szCs w:val="20"/>
        </w:rPr>
        <w:t>)</w:t>
      </w:r>
      <w:r>
        <w:rPr>
          <w:rFonts w:ascii="宋体" w:hAnsi="宋体" w:hint="eastAsia"/>
          <w:sz w:val="24"/>
          <w:szCs w:val="20"/>
        </w:rPr>
        <w:t>持有一家上市公司发行的可流通股票</w:t>
      </w:r>
      <w:r>
        <w:rPr>
          <w:rFonts w:ascii="宋体" w:hAnsi="宋体" w:hint="eastAsia"/>
          <w:bCs/>
          <w:sz w:val="24"/>
        </w:rPr>
        <w:t>（</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股合并计算）</w:t>
      </w:r>
      <w:r>
        <w:rPr>
          <w:rFonts w:ascii="宋体" w:hAnsi="宋体" w:hint="eastAsia"/>
          <w:sz w:val="24"/>
          <w:szCs w:val="20"/>
        </w:rPr>
        <w:t>，不得超过该上市公司可流通股票的</w:t>
      </w:r>
      <w:r>
        <w:rPr>
          <w:rFonts w:ascii="宋体" w:hAnsi="宋体"/>
          <w:sz w:val="24"/>
          <w:szCs w:val="20"/>
        </w:rPr>
        <w:t>15%</w:t>
      </w:r>
      <w:r>
        <w:rPr>
          <w:rFonts w:ascii="宋体" w:hAnsi="宋体" w:hint="eastAsia"/>
          <w:sz w:val="24"/>
          <w:szCs w:val="20"/>
        </w:rPr>
        <w:t>；本基金管理人管理的全部投资组合持有一家上市公司发行的可流通股票</w:t>
      </w:r>
      <w:r>
        <w:rPr>
          <w:rFonts w:ascii="宋体" w:hAnsi="宋体" w:hint="eastAsia"/>
          <w:bCs/>
          <w:sz w:val="24"/>
        </w:rPr>
        <w:t>（</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股合并计算）</w:t>
      </w:r>
      <w:r>
        <w:rPr>
          <w:rFonts w:ascii="宋体" w:hAnsi="宋体" w:hint="eastAsia"/>
          <w:sz w:val="24"/>
          <w:szCs w:val="20"/>
        </w:rPr>
        <w:t>，不得超过该上市公司可流通股票的</w:t>
      </w:r>
      <w:r>
        <w:rPr>
          <w:rFonts w:ascii="宋体" w:hAnsi="宋体"/>
          <w:sz w:val="24"/>
          <w:szCs w:val="20"/>
        </w:rPr>
        <w:t>30%</w:t>
      </w:r>
      <w:r>
        <w:rPr>
          <w:rFonts w:ascii="宋体" w:hAnsi="宋体" w:hint="eastAsia"/>
          <w:sz w:val="24"/>
          <w:szCs w:val="20"/>
        </w:rPr>
        <w:t>；</w:t>
      </w:r>
    </w:p>
    <w:p w:rsidR="00065659" w:rsidRDefault="00A43F61">
      <w:pPr>
        <w:spacing w:line="360" w:lineRule="auto"/>
        <w:ind w:firstLineChars="200" w:firstLine="480"/>
        <w:rPr>
          <w:rFonts w:ascii="宋体" w:hAnsi="宋体"/>
          <w:bCs/>
          <w:sz w:val="24"/>
          <w:szCs w:val="20"/>
        </w:rPr>
      </w:pPr>
      <w:r>
        <w:rPr>
          <w:rFonts w:ascii="宋体" w:hAnsi="宋体"/>
          <w:bCs/>
          <w:sz w:val="24"/>
          <w:szCs w:val="20"/>
        </w:rPr>
        <w:t>（</w:t>
      </w:r>
      <w:r>
        <w:rPr>
          <w:rFonts w:ascii="宋体" w:hAnsi="宋体"/>
          <w:bCs/>
          <w:sz w:val="24"/>
          <w:szCs w:val="20"/>
        </w:rPr>
        <w:t>13</w:t>
      </w:r>
      <w:r>
        <w:rPr>
          <w:rFonts w:ascii="宋体" w:hAnsi="宋体"/>
          <w:bCs/>
          <w:sz w:val="24"/>
          <w:szCs w:val="20"/>
        </w:rPr>
        <w:t>）本基金主动投资于流动性受限资产的市值</w:t>
      </w:r>
      <w:r>
        <w:rPr>
          <w:rFonts w:ascii="宋体" w:hAnsi="宋体" w:hint="eastAsia"/>
          <w:bCs/>
          <w:sz w:val="24"/>
        </w:rPr>
        <w:t>（</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股合并计算）</w:t>
      </w:r>
      <w:r>
        <w:rPr>
          <w:rFonts w:ascii="宋体" w:hAnsi="宋体"/>
          <w:bCs/>
          <w:sz w:val="24"/>
          <w:szCs w:val="20"/>
        </w:rPr>
        <w:t>合计不得超过该基金资产净值的</w:t>
      </w:r>
      <w:r>
        <w:rPr>
          <w:rFonts w:ascii="宋体" w:hAnsi="宋体"/>
          <w:bCs/>
          <w:sz w:val="24"/>
          <w:szCs w:val="20"/>
        </w:rPr>
        <w:t>15%</w:t>
      </w:r>
      <w:r>
        <w:rPr>
          <w:rFonts w:ascii="宋体" w:hAnsi="宋体"/>
          <w:bCs/>
          <w:sz w:val="24"/>
          <w:szCs w:val="20"/>
        </w:rPr>
        <w:t>；因证券市场波动、上市公司股票停牌、基金规模变动等基金管理人之外的因素致使基金不符合该比例限制的，基金管理人不得主动新增流动性受限资产的投资；</w:t>
      </w:r>
    </w:p>
    <w:p w:rsidR="00065659" w:rsidRDefault="00A43F61">
      <w:pPr>
        <w:spacing w:line="360" w:lineRule="auto"/>
        <w:ind w:firstLineChars="200" w:firstLine="480"/>
        <w:rPr>
          <w:rFonts w:ascii="宋体" w:hAnsi="宋体"/>
          <w:sz w:val="24"/>
          <w:szCs w:val="20"/>
        </w:rPr>
      </w:pPr>
      <w:r>
        <w:rPr>
          <w:rFonts w:ascii="宋体" w:hAnsi="宋体"/>
          <w:bCs/>
          <w:sz w:val="24"/>
          <w:szCs w:val="20"/>
        </w:rPr>
        <w:t>（</w:t>
      </w:r>
      <w:r>
        <w:rPr>
          <w:rFonts w:ascii="宋体" w:hAnsi="宋体"/>
          <w:bCs/>
          <w:sz w:val="24"/>
          <w:szCs w:val="20"/>
        </w:rPr>
        <w:t>14</w:t>
      </w:r>
      <w:r>
        <w:rPr>
          <w:rFonts w:ascii="宋体" w:hAnsi="宋体"/>
          <w:bCs/>
          <w:sz w:val="24"/>
          <w:szCs w:val="20"/>
        </w:rPr>
        <w:t>）本基金</w:t>
      </w:r>
      <w:r>
        <w:rPr>
          <w:rFonts w:ascii="宋体" w:hAnsi="宋体" w:hint="eastAsia"/>
          <w:sz w:val="24"/>
          <w:szCs w:val="20"/>
        </w:rPr>
        <w:t>与私募类</w:t>
      </w:r>
      <w:proofErr w:type="gramStart"/>
      <w:r>
        <w:rPr>
          <w:rFonts w:ascii="宋体" w:hAnsi="宋体" w:hint="eastAsia"/>
          <w:sz w:val="24"/>
          <w:szCs w:val="20"/>
        </w:rPr>
        <w:t>证券资管产品</w:t>
      </w:r>
      <w:proofErr w:type="gramEnd"/>
      <w:r>
        <w:rPr>
          <w:rFonts w:ascii="宋体" w:hAnsi="宋体" w:hint="eastAsia"/>
          <w:sz w:val="24"/>
          <w:szCs w:val="20"/>
        </w:rPr>
        <w:t>及中国证监会认定的其他主体为交易对手开展逆回购交易的，可接受质押品的资质要求</w:t>
      </w:r>
      <w:r>
        <w:rPr>
          <w:rFonts w:ascii="宋体" w:hAnsi="宋体"/>
          <w:bCs/>
          <w:sz w:val="24"/>
          <w:szCs w:val="20"/>
        </w:rPr>
        <w:t>应当</w:t>
      </w:r>
      <w:r>
        <w:rPr>
          <w:rFonts w:ascii="宋体" w:hAnsi="宋体" w:hint="eastAsia"/>
          <w:sz w:val="24"/>
          <w:szCs w:val="20"/>
        </w:rPr>
        <w:t>与基金</w:t>
      </w:r>
      <w:r>
        <w:rPr>
          <w:rFonts w:ascii="宋体" w:hAnsi="宋体"/>
          <w:bCs/>
          <w:sz w:val="24"/>
          <w:szCs w:val="20"/>
        </w:rPr>
        <w:t>合同约定的</w:t>
      </w:r>
      <w:r>
        <w:rPr>
          <w:rFonts w:ascii="宋体" w:hAnsi="宋体" w:hint="eastAsia"/>
          <w:sz w:val="24"/>
          <w:szCs w:val="20"/>
        </w:rPr>
        <w:t>投资范围保持一致；</w:t>
      </w:r>
    </w:p>
    <w:bookmarkEnd w:id="32"/>
    <w:p w:rsidR="00065659" w:rsidRDefault="00A43F61">
      <w:pPr>
        <w:spacing w:line="360" w:lineRule="auto"/>
        <w:ind w:firstLineChars="200" w:firstLine="480"/>
        <w:rPr>
          <w:rFonts w:ascii="宋体" w:hAnsi="宋体"/>
          <w:bCs/>
          <w:sz w:val="24"/>
          <w:szCs w:val="20"/>
        </w:rPr>
      </w:pPr>
      <w:r>
        <w:rPr>
          <w:rFonts w:ascii="宋体" w:hAnsi="宋体"/>
          <w:bCs/>
          <w:sz w:val="24"/>
          <w:szCs w:val="20"/>
        </w:rPr>
        <w:t>（</w:t>
      </w:r>
      <w:r>
        <w:rPr>
          <w:rFonts w:ascii="宋体" w:hAnsi="宋体"/>
          <w:bCs/>
          <w:sz w:val="24"/>
          <w:szCs w:val="20"/>
        </w:rPr>
        <w:t>15</w:t>
      </w:r>
      <w:r>
        <w:rPr>
          <w:rFonts w:ascii="宋体" w:hAnsi="宋体"/>
          <w:bCs/>
          <w:sz w:val="24"/>
          <w:szCs w:val="20"/>
        </w:rPr>
        <w:t>）本基金资产总值不超过基金资产净值的</w:t>
      </w:r>
      <w:r>
        <w:rPr>
          <w:rFonts w:ascii="宋体" w:hAnsi="宋体"/>
          <w:bCs/>
          <w:sz w:val="24"/>
          <w:szCs w:val="20"/>
        </w:rPr>
        <w:t>140%</w:t>
      </w:r>
      <w:r>
        <w:rPr>
          <w:rFonts w:ascii="宋体" w:hAnsi="宋体"/>
          <w:bCs/>
          <w:sz w:val="24"/>
          <w:szCs w:val="20"/>
        </w:rPr>
        <w:t>；</w:t>
      </w:r>
    </w:p>
    <w:p w:rsidR="00065659" w:rsidRDefault="00A43F61">
      <w:pPr>
        <w:spacing w:line="360" w:lineRule="auto"/>
        <w:ind w:firstLineChars="200" w:firstLine="480"/>
        <w:rPr>
          <w:rFonts w:ascii="宋体" w:hAnsi="宋体"/>
          <w:bCs/>
          <w:kern w:val="0"/>
          <w:sz w:val="24"/>
          <w:szCs w:val="20"/>
        </w:rPr>
      </w:pPr>
      <w:r>
        <w:rPr>
          <w:rFonts w:ascii="宋体" w:hAnsi="宋体" w:hint="eastAsia"/>
          <w:bCs/>
          <w:sz w:val="24"/>
          <w:szCs w:val="20"/>
        </w:rPr>
        <w:t>（</w:t>
      </w:r>
      <w:r>
        <w:rPr>
          <w:rFonts w:ascii="宋体" w:hAnsi="宋体"/>
          <w:bCs/>
          <w:sz w:val="24"/>
          <w:szCs w:val="20"/>
        </w:rPr>
        <w:t>16</w:t>
      </w:r>
      <w:r>
        <w:rPr>
          <w:rFonts w:ascii="宋体" w:hAnsi="宋体" w:hint="eastAsia"/>
          <w:bCs/>
          <w:sz w:val="24"/>
          <w:szCs w:val="20"/>
        </w:rPr>
        <w:t>）本基金参与股指期货、国债期货交易，需遵守下列规定：</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本基金在任何交易日日终，持有的买入股指期货合约价值，不得超过基金资产净值的</w:t>
      </w:r>
      <w:r>
        <w:rPr>
          <w:rFonts w:ascii="宋体" w:hAnsi="宋体" w:hint="eastAsia"/>
          <w:bCs/>
          <w:sz w:val="24"/>
          <w:szCs w:val="20"/>
        </w:rPr>
        <w:t>10%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lastRenderedPageBreak/>
        <w:t>本基金在任何交易日日终，持有的买入国债期货合约价值，不得超过基金资产净值的</w:t>
      </w:r>
      <w:r>
        <w:rPr>
          <w:rFonts w:ascii="宋体" w:hAnsi="宋体" w:hint="eastAsia"/>
          <w:bCs/>
          <w:sz w:val="24"/>
          <w:szCs w:val="20"/>
        </w:rPr>
        <w:t>15%</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本基金在任何交易日日终，持有的买入国债期货和股指期货合约价值与有价证券市值之和，不</w:t>
      </w:r>
      <w:r>
        <w:rPr>
          <w:rFonts w:ascii="宋体" w:hAnsi="宋体" w:hint="eastAsia"/>
          <w:bCs/>
          <w:sz w:val="24"/>
          <w:szCs w:val="20"/>
        </w:rPr>
        <w:t>得超过基金资产净值的</w:t>
      </w:r>
      <w:r>
        <w:rPr>
          <w:rFonts w:ascii="宋体" w:hAnsi="宋体" w:hint="eastAsia"/>
          <w:bCs/>
          <w:sz w:val="24"/>
          <w:szCs w:val="20"/>
        </w:rPr>
        <w:t>95%</w:t>
      </w:r>
      <w:r>
        <w:rPr>
          <w:rFonts w:ascii="宋体" w:hAnsi="宋体" w:hint="eastAsia"/>
          <w:bCs/>
          <w:sz w:val="24"/>
          <w:szCs w:val="20"/>
        </w:rPr>
        <w:t>。其中，有价证券指股票、债券（不含到期日在一年以内的政府债券）、资产支持证券、买入返售金融资产（不含质押式回购）等；</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本基金在任何交易日日终，持有的卖出股指期货合约价值不得超过基金持有的股票总市值的</w:t>
      </w:r>
      <w:r>
        <w:rPr>
          <w:rFonts w:ascii="宋体" w:hAnsi="宋体"/>
          <w:bCs/>
          <w:sz w:val="24"/>
          <w:szCs w:val="20"/>
        </w:rPr>
        <w:t>20%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本基金在任何交易日日终，持有的卖出国债期货合约价值不得超过基金持有的债券总市值的</w:t>
      </w:r>
      <w:r>
        <w:rPr>
          <w:rFonts w:ascii="宋体" w:hAnsi="宋体" w:hint="eastAsia"/>
          <w:bCs/>
          <w:sz w:val="24"/>
          <w:szCs w:val="20"/>
        </w:rPr>
        <w:t>30%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本基金在任何交易日内交易（不包括平仓）的股指期货合约的成交金额不得超过上一交易日基金资产净值的</w:t>
      </w:r>
      <w:r>
        <w:rPr>
          <w:rFonts w:ascii="宋体" w:hAnsi="宋体"/>
          <w:bCs/>
          <w:sz w:val="24"/>
          <w:szCs w:val="20"/>
        </w:rPr>
        <w:t>20%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本基金在任何交易日内交易（不包括平仓）的国债期货合约的成交金额不得超过上一交易日基金资产净值的</w:t>
      </w:r>
      <w:r>
        <w:rPr>
          <w:rFonts w:ascii="宋体" w:hAnsi="宋体" w:hint="eastAsia"/>
          <w:bCs/>
          <w:sz w:val="24"/>
          <w:szCs w:val="20"/>
        </w:rPr>
        <w:t>30%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本基金所持有的股票市值和买入、卖出股指期货合约价值，合计（轧差计算）应当符合基金合同关于股票投资比例的有关规定；</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rsidR="00065659" w:rsidRDefault="00A43F61">
      <w:pPr>
        <w:spacing w:line="360" w:lineRule="auto"/>
        <w:ind w:firstLineChars="200" w:firstLine="480"/>
        <w:rPr>
          <w:rFonts w:ascii="宋体" w:hAnsi="宋体"/>
          <w:color w:val="000000"/>
          <w:sz w:val="24"/>
        </w:rPr>
      </w:pPr>
      <w:r>
        <w:rPr>
          <w:rFonts w:ascii="宋体" w:hAnsi="宋体"/>
          <w:color w:val="000000"/>
          <w:sz w:val="24"/>
        </w:rPr>
        <w:t>（</w:t>
      </w:r>
      <w:r>
        <w:rPr>
          <w:rFonts w:ascii="TimesNewRomanPSMT" w:hAnsi="TimesNewRomanPSMT"/>
          <w:color w:val="000000"/>
          <w:sz w:val="24"/>
        </w:rPr>
        <w:t>17</w:t>
      </w:r>
      <w:r>
        <w:rPr>
          <w:rFonts w:ascii="宋体" w:hAnsi="宋体"/>
          <w:color w:val="000000"/>
          <w:sz w:val="24"/>
        </w:rPr>
        <w:t>）本基金参与股票期权交易的，需遵守下列投资比例限制：</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本基金因未平仓的股票期权合约支付和收取的权利金总额不得超过基金资产净值的</w:t>
      </w:r>
      <w:r>
        <w:rPr>
          <w:rFonts w:ascii="宋体" w:hAnsi="宋体" w:hint="eastAsia"/>
          <w:bCs/>
          <w:sz w:val="24"/>
          <w:szCs w:val="20"/>
        </w:rPr>
        <w:t xml:space="preserve"> 10%</w:t>
      </w:r>
      <w:r>
        <w:rPr>
          <w:rFonts w:ascii="宋体" w:hAnsi="宋体" w:hint="eastAsia"/>
          <w:bCs/>
          <w:sz w:val="24"/>
          <w:szCs w:val="20"/>
        </w:rPr>
        <w:t>；</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w:t>
      </w:r>
      <w:r>
        <w:rPr>
          <w:rFonts w:ascii="宋体" w:hAnsi="宋体" w:hint="eastAsia"/>
          <w:bCs/>
          <w:sz w:val="24"/>
          <w:szCs w:val="20"/>
        </w:rPr>
        <w:t>金开仓卖出认购股票期权的，应持有足额标的证券；开仓卖出认</w:t>
      </w:r>
      <w:proofErr w:type="gramStart"/>
      <w:r>
        <w:rPr>
          <w:rFonts w:ascii="宋体" w:hAnsi="宋体" w:hint="eastAsia"/>
          <w:bCs/>
          <w:sz w:val="24"/>
          <w:szCs w:val="20"/>
        </w:rPr>
        <w:t>沽股票</w:t>
      </w:r>
      <w:proofErr w:type="gramEnd"/>
      <w:r>
        <w:rPr>
          <w:rFonts w:ascii="宋体" w:hAnsi="宋体" w:hint="eastAsia"/>
          <w:bCs/>
          <w:sz w:val="24"/>
          <w:szCs w:val="20"/>
        </w:rPr>
        <w:t>期权的，应持有合约行权所需的全额现金或交易所规则认可的可冲抵股票期权保证金的现金等价物；</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本基金未平仓的股票期权合约面值不得超过基金资产净值的</w:t>
      </w:r>
      <w:r>
        <w:rPr>
          <w:rFonts w:ascii="宋体" w:hAnsi="宋体" w:hint="eastAsia"/>
          <w:bCs/>
          <w:sz w:val="24"/>
          <w:szCs w:val="20"/>
        </w:rPr>
        <w:t xml:space="preserve"> 20%</w:t>
      </w:r>
      <w:r>
        <w:rPr>
          <w:rFonts w:ascii="宋体" w:hAnsi="宋体" w:hint="eastAsia"/>
          <w:bCs/>
          <w:sz w:val="24"/>
          <w:szCs w:val="20"/>
        </w:rPr>
        <w:t>。其中，合约面值按照行权价乘以合约乘数计算；</w:t>
      </w:r>
    </w:p>
    <w:p w:rsidR="00065659" w:rsidRDefault="00A43F61">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w:t>
      </w:r>
      <w:r>
        <w:rPr>
          <w:rFonts w:ascii="宋体" w:hAnsi="宋体"/>
          <w:bCs/>
          <w:sz w:val="24"/>
          <w:szCs w:val="20"/>
        </w:rPr>
        <w:t>8</w:t>
      </w:r>
      <w:r>
        <w:rPr>
          <w:rFonts w:ascii="宋体" w:hAnsi="宋体" w:hint="eastAsia"/>
          <w:bCs/>
          <w:sz w:val="24"/>
          <w:szCs w:val="20"/>
        </w:rPr>
        <w:t>）</w:t>
      </w:r>
      <w:r>
        <w:rPr>
          <w:rFonts w:ascii="宋体" w:hAnsi="宋体"/>
          <w:bCs/>
          <w:sz w:val="24"/>
          <w:szCs w:val="20"/>
        </w:rPr>
        <w:t>本基金参与融资的，每个交易日日终，本基金持有的融资买入股票与其他有价证券市值之和，不得超过基金资产净值的</w:t>
      </w:r>
      <w:r>
        <w:rPr>
          <w:rFonts w:ascii="宋体" w:hAnsi="宋体"/>
          <w:bCs/>
          <w:sz w:val="24"/>
          <w:szCs w:val="20"/>
        </w:rPr>
        <w:t xml:space="preserve"> 95%</w:t>
      </w:r>
      <w:r>
        <w:rPr>
          <w:rFonts w:ascii="宋体" w:hAnsi="宋体" w:hint="eastAsia"/>
          <w:bCs/>
          <w:sz w:val="24"/>
          <w:szCs w:val="20"/>
        </w:rPr>
        <w:t>；</w:t>
      </w:r>
    </w:p>
    <w:p w:rsidR="00065659" w:rsidRDefault="00A43F61">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19</w:t>
      </w:r>
      <w:r>
        <w:rPr>
          <w:rFonts w:ascii="宋体" w:hAnsi="宋体" w:hint="eastAsia"/>
          <w:bCs/>
          <w:sz w:val="24"/>
          <w:szCs w:val="20"/>
        </w:rPr>
        <w:t>）本基金投资存托凭证的比例限制依照境内上市交易的股票执行，与境内</w:t>
      </w:r>
      <w:r>
        <w:rPr>
          <w:rFonts w:ascii="宋体" w:hAnsi="宋体" w:hint="eastAsia"/>
          <w:bCs/>
          <w:sz w:val="24"/>
          <w:szCs w:val="20"/>
        </w:rPr>
        <w:lastRenderedPageBreak/>
        <w:t>上市交易的股票合并计算；</w:t>
      </w:r>
    </w:p>
    <w:p w:rsidR="00065659" w:rsidRDefault="00A43F61">
      <w:pPr>
        <w:spacing w:line="360" w:lineRule="auto"/>
        <w:ind w:firstLineChars="200" w:firstLine="480"/>
        <w:rPr>
          <w:rFonts w:ascii="宋体" w:hAnsi="宋体"/>
          <w:sz w:val="24"/>
          <w:szCs w:val="20"/>
        </w:rPr>
      </w:pPr>
      <w:r>
        <w:rPr>
          <w:rFonts w:ascii="宋体" w:hAnsi="宋体"/>
          <w:bCs/>
          <w:sz w:val="24"/>
          <w:szCs w:val="20"/>
        </w:rPr>
        <w:t>（</w:t>
      </w:r>
      <w:r>
        <w:rPr>
          <w:rFonts w:ascii="宋体" w:hAnsi="宋体" w:hint="eastAsia"/>
          <w:bCs/>
          <w:sz w:val="24"/>
          <w:szCs w:val="20"/>
        </w:rPr>
        <w:t>20</w:t>
      </w:r>
      <w:r>
        <w:rPr>
          <w:rFonts w:ascii="宋体" w:hAnsi="宋体" w:hint="eastAsia"/>
          <w:sz w:val="24"/>
          <w:szCs w:val="20"/>
        </w:rPr>
        <w:t>）法律法规及中国证监会规定的</w:t>
      </w:r>
      <w:r>
        <w:rPr>
          <w:rFonts w:ascii="宋体" w:hAnsi="宋体" w:hint="eastAsia"/>
          <w:sz w:val="24"/>
          <w:szCs w:val="20"/>
        </w:rPr>
        <w:t>和《基金合同》约定的其他投资限制。</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除上述（</w:t>
      </w:r>
      <w:r>
        <w:rPr>
          <w:rFonts w:ascii="宋体" w:hAnsi="宋体"/>
          <w:sz w:val="24"/>
          <w:szCs w:val="20"/>
        </w:rPr>
        <w:t>2</w:t>
      </w:r>
      <w:r>
        <w:rPr>
          <w:rFonts w:ascii="宋体" w:hAnsi="宋体" w:hint="eastAsia"/>
          <w:sz w:val="24"/>
          <w:szCs w:val="20"/>
        </w:rPr>
        <w:t>）、（</w:t>
      </w:r>
      <w:r>
        <w:rPr>
          <w:rFonts w:ascii="宋体" w:hAnsi="宋体"/>
          <w:bCs/>
          <w:sz w:val="24"/>
          <w:szCs w:val="20"/>
        </w:rPr>
        <w:t>9</w:t>
      </w:r>
      <w:r>
        <w:rPr>
          <w:rFonts w:ascii="宋体" w:hAnsi="宋体"/>
          <w:bCs/>
          <w:sz w:val="24"/>
          <w:szCs w:val="20"/>
        </w:rPr>
        <w:t>）、（</w:t>
      </w:r>
      <w:r>
        <w:rPr>
          <w:rFonts w:ascii="宋体" w:hAnsi="宋体"/>
          <w:bCs/>
          <w:sz w:val="24"/>
          <w:szCs w:val="20"/>
        </w:rPr>
        <w:t>13</w:t>
      </w:r>
      <w:r>
        <w:rPr>
          <w:rFonts w:ascii="宋体" w:hAnsi="宋体"/>
          <w:bCs/>
          <w:sz w:val="24"/>
          <w:szCs w:val="20"/>
        </w:rPr>
        <w:t>）、（</w:t>
      </w:r>
      <w:r>
        <w:rPr>
          <w:rFonts w:ascii="宋体" w:hAnsi="宋体"/>
          <w:bCs/>
          <w:sz w:val="24"/>
          <w:szCs w:val="20"/>
        </w:rPr>
        <w:t>14</w:t>
      </w:r>
      <w:r>
        <w:rPr>
          <w:rFonts w:ascii="宋体" w:hAnsi="宋体"/>
          <w:bCs/>
          <w:sz w:val="24"/>
          <w:szCs w:val="20"/>
        </w:rPr>
        <w:t>）情形之外</w:t>
      </w:r>
      <w:r>
        <w:rPr>
          <w:rFonts w:ascii="宋体" w:hAnsi="宋体" w:hint="eastAsia"/>
          <w:sz w:val="24"/>
          <w:szCs w:val="20"/>
        </w:rPr>
        <w:t>，因证券、期货市场波动、证券发行人合并、基金规模变动等基金管理人之外的因素致使基金投资比例不符合上述规定投资比例的，基金管理人应当在</w:t>
      </w:r>
      <w:r>
        <w:rPr>
          <w:rFonts w:ascii="宋体" w:hAnsi="宋体"/>
          <w:sz w:val="24"/>
          <w:szCs w:val="20"/>
        </w:rPr>
        <w:t>10</w:t>
      </w:r>
      <w:r>
        <w:rPr>
          <w:rFonts w:ascii="宋体" w:hAnsi="宋体" w:hint="eastAsia"/>
          <w:sz w:val="24"/>
          <w:szCs w:val="20"/>
        </w:rPr>
        <w:t>个交易日内进行调整，但中国证监会规定的特殊情形除外。</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hint="eastAsia"/>
          <w:sz w:val="24"/>
        </w:rPr>
        <w:t>本基金财产不得用于以下投资或者活动：</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）承销证券；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）违反规定向他人贷款或者提供担保；</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sz w:val="24"/>
        </w:rPr>
        <w:t>）从事承担无限责任的投资；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sz w:val="24"/>
        </w:rPr>
        <w:t>）买卖其他基金份额，但是</w:t>
      </w:r>
      <w:r>
        <w:rPr>
          <w:rFonts w:ascii="宋体" w:hAnsi="宋体" w:hint="eastAsia"/>
          <w:sz w:val="24"/>
        </w:rPr>
        <w:t>中国证监会另有规定的除外；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sz w:val="24"/>
        </w:rPr>
        <w:t>）向</w:t>
      </w:r>
      <w:r>
        <w:rPr>
          <w:rFonts w:ascii="宋体" w:hAnsi="宋体" w:hint="eastAsia"/>
          <w:sz w:val="24"/>
        </w:rPr>
        <w:t>其</w:t>
      </w:r>
      <w:r>
        <w:rPr>
          <w:rFonts w:ascii="宋体" w:hAnsi="宋体"/>
          <w:sz w:val="24"/>
        </w:rPr>
        <w:t>基金管理人、基金托管人出资；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w:t>
      </w:r>
      <w:r>
        <w:rPr>
          <w:rFonts w:ascii="宋体" w:hAnsi="宋体"/>
          <w:sz w:val="24"/>
        </w:rPr>
        <w:t>）从事内幕交易、操纵证券交易价格及其他不正当的证券交易活动；</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sz w:val="24"/>
        </w:rPr>
        <w:t>）法律、行政法规或者</w:t>
      </w:r>
      <w:r>
        <w:rPr>
          <w:rFonts w:ascii="宋体" w:hAnsi="宋体" w:hint="eastAsia"/>
          <w:sz w:val="24"/>
        </w:rPr>
        <w:t>中国证监会规定禁止的其他活动。</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w:t>
      </w:r>
      <w:r>
        <w:rPr>
          <w:rFonts w:ascii="宋体" w:hAnsi="宋体" w:hint="eastAsia"/>
          <w:sz w:val="24"/>
        </w:rPr>
        <w:t>董事会审议，并经过三分之二以上的独立董事通过。基金管理人董事会应至少每半年对关联交易事项进行审查。</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r>
        <w:rPr>
          <w:rFonts w:ascii="宋体" w:hAnsi="宋体" w:hint="eastAsia"/>
          <w:sz w:val="24"/>
        </w:rPr>
        <w:t>基金管理人应当自基金合同生效日起</w:t>
      </w:r>
      <w:r>
        <w:rPr>
          <w:rFonts w:ascii="宋体" w:hAnsi="宋体"/>
          <w:sz w:val="24"/>
        </w:rPr>
        <w:t>6</w:t>
      </w:r>
      <w:r>
        <w:rPr>
          <w:rFonts w:ascii="宋体" w:hAnsi="宋体"/>
          <w:sz w:val="24"/>
        </w:rPr>
        <w:t>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rsidR="00065659" w:rsidRDefault="00A43F61">
      <w:pPr>
        <w:spacing w:line="360" w:lineRule="auto"/>
        <w:ind w:firstLineChars="200" w:firstLine="480"/>
        <w:contextualSpacing/>
        <w:rPr>
          <w:rFonts w:ascii="宋体" w:hAnsi="宋体"/>
          <w:sz w:val="24"/>
        </w:rPr>
      </w:pPr>
      <w:r>
        <w:rPr>
          <w:rFonts w:ascii="宋体" w:hAnsi="宋体"/>
          <w:sz w:val="24"/>
        </w:rPr>
        <w:t>6</w:t>
      </w:r>
      <w:r w:rsidR="00EC5E15">
        <w:rPr>
          <w:rFonts w:ascii="宋体" w:hAnsi="宋体" w:hint="eastAsia"/>
          <w:sz w:val="24"/>
        </w:rPr>
        <w:t>、</w:t>
      </w:r>
      <w:r>
        <w:rPr>
          <w:rFonts w:ascii="宋体" w:hAnsi="宋体"/>
          <w:sz w:val="24"/>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Pr>
          <w:rFonts w:ascii="宋体" w:hAnsi="宋体" w:hint="eastAsia"/>
          <w:sz w:val="24"/>
        </w:rPr>
        <w:t>取消</w:t>
      </w:r>
      <w:r>
        <w:rPr>
          <w:rFonts w:ascii="宋体" w:hAnsi="宋体"/>
          <w:sz w:val="24"/>
        </w:rPr>
        <w:t>上述限制</w:t>
      </w:r>
      <w:r>
        <w:rPr>
          <w:rFonts w:ascii="宋体" w:hAnsi="宋体" w:hint="eastAsia"/>
          <w:sz w:val="24"/>
        </w:rPr>
        <w:t>的</w:t>
      </w:r>
      <w:r>
        <w:rPr>
          <w:rFonts w:ascii="宋体" w:hAnsi="宋体"/>
          <w:sz w:val="24"/>
        </w:rPr>
        <w:t>，</w:t>
      </w:r>
      <w:r>
        <w:rPr>
          <w:rFonts w:ascii="宋体" w:hAnsi="宋体" w:hint="eastAsia"/>
          <w:sz w:val="24"/>
        </w:rPr>
        <w:t>履行适当程序后，基金不受上述限制</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7</w:t>
      </w:r>
      <w:r>
        <w:rPr>
          <w:rFonts w:ascii="宋体" w:hAnsi="宋体" w:hint="eastAsia"/>
          <w:sz w:val="24"/>
        </w:rPr>
        <w:t>、当基金持有特定资产且存在或潜在大额赎回申请时，根据最大限度保护基金份额持有人利益的原则，基金管理人经与基金托管人协商一致，并咨询会计师事</w:t>
      </w:r>
      <w:r>
        <w:rPr>
          <w:rFonts w:ascii="宋体" w:hAnsi="宋体" w:hint="eastAsia"/>
          <w:sz w:val="24"/>
        </w:rPr>
        <w:lastRenderedPageBreak/>
        <w:t>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，无需召开基金份额持有人大会审议。</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（二）基金托管人根据有关法律法规的规定及《基金合同》的约定，对基金管理人选择存款银行进</w:t>
      </w:r>
      <w:r>
        <w:rPr>
          <w:rFonts w:ascii="宋体" w:hAnsi="宋体" w:hint="eastAsia"/>
          <w:sz w:val="24"/>
        </w:rPr>
        <w:t>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本基金投资银行存款应符合如下规定：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w:t>
      </w:r>
      <w:r>
        <w:rPr>
          <w:rFonts w:ascii="宋体" w:hAnsi="宋体"/>
          <w:sz w:val="24"/>
        </w:rPr>
        <w:t>基金投资于有固定期限银行存款的比例，不得超过基金资产净值的</w:t>
      </w:r>
      <w:r>
        <w:rPr>
          <w:rFonts w:ascii="宋体" w:hAnsi="宋体" w:hint="eastAsia"/>
          <w:sz w:val="24"/>
        </w:rPr>
        <w:t>30%</w:t>
      </w:r>
      <w:r>
        <w:rPr>
          <w:rFonts w:ascii="宋体" w:hAnsi="宋体" w:hint="eastAsia"/>
          <w:sz w:val="24"/>
        </w:rPr>
        <w:t>，但投资于有存款期限，根据协议可提前支取的银行存款</w:t>
      </w:r>
      <w:r>
        <w:rPr>
          <w:rFonts w:ascii="宋体" w:hAnsi="宋体"/>
          <w:sz w:val="24"/>
        </w:rPr>
        <w:t>不受上述比例限制</w:t>
      </w:r>
      <w:r>
        <w:rPr>
          <w:rFonts w:ascii="宋体" w:hAnsi="宋体"/>
          <w:sz w:val="24"/>
        </w:rPr>
        <w:t>;</w:t>
      </w:r>
      <w:r>
        <w:rPr>
          <w:rFonts w:ascii="宋体" w:hAnsi="宋体" w:hint="eastAsia"/>
          <w:sz w:val="24"/>
        </w:rPr>
        <w:t>本</w:t>
      </w:r>
      <w:r>
        <w:rPr>
          <w:rFonts w:ascii="宋体" w:hAnsi="宋体"/>
          <w:sz w:val="24"/>
        </w:rPr>
        <w:t>基金投资于具有基金托管人资格的同一商业银行的银行存款、同业</w:t>
      </w:r>
      <w:r>
        <w:rPr>
          <w:rFonts w:ascii="宋体" w:hAnsi="宋体"/>
          <w:sz w:val="24"/>
        </w:rPr>
        <w:t>存单占基金资产净值的比例合计不得超过</w:t>
      </w:r>
      <w:r>
        <w:rPr>
          <w:rFonts w:ascii="宋体" w:hAnsi="宋体"/>
          <w:sz w:val="24"/>
        </w:rPr>
        <w:t>20%</w:t>
      </w:r>
      <w:r>
        <w:rPr>
          <w:rFonts w:ascii="宋体" w:hAnsi="宋体"/>
          <w:sz w:val="24"/>
        </w:rPr>
        <w:t>，投资于不具有基金托管人资格的同一商业银行的银行存款、同业存单占基金资产净值的比例合计不得超过</w:t>
      </w:r>
      <w:r>
        <w:rPr>
          <w:rFonts w:ascii="宋体" w:hAnsi="宋体" w:hint="eastAsia"/>
          <w:sz w:val="24"/>
        </w:rPr>
        <w:t>5%</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w:t>
      </w:r>
      <w:r>
        <w:rPr>
          <w:rFonts w:ascii="宋体" w:hAnsi="宋体" w:hint="eastAsia"/>
          <w:sz w:val="24"/>
        </w:rPr>
        <w:t>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w:t>
      </w:r>
      <w:r>
        <w:rPr>
          <w:rFonts w:ascii="宋体" w:hAnsi="宋体" w:hint="eastAsia"/>
          <w:sz w:val="24"/>
        </w:rPr>
        <w:lastRenderedPageBreak/>
        <w:t>动性方面的风险。</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w:t>
      </w:r>
      <w:r>
        <w:rPr>
          <w:rFonts w:ascii="宋体" w:hAnsi="宋体" w:hint="eastAsia"/>
          <w:sz w:val="24"/>
        </w:rPr>
        <w:t>险控制制度的建设。如因基金管理人员工职务行为导致基金财产受到损失的，需由基金管理人承担由此造成的损失。</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065659" w:rsidRDefault="00A43F61">
      <w:pPr>
        <w:spacing w:line="360" w:lineRule="auto"/>
        <w:ind w:firstLineChars="200" w:firstLine="480"/>
        <w:contextualSpacing/>
        <w:rPr>
          <w:rFonts w:ascii="宋体" w:hAnsi="宋体"/>
          <w:sz w:val="24"/>
        </w:rPr>
      </w:pPr>
      <w:r>
        <w:rPr>
          <w:rFonts w:ascii="宋体" w:hAnsi="宋体"/>
          <w:sz w:val="24"/>
        </w:rPr>
        <w:t>1</w:t>
      </w:r>
      <w:r w:rsidR="00EC5E15">
        <w:rPr>
          <w:rFonts w:ascii="宋体" w:hAnsi="宋体" w:hint="eastAsia"/>
          <w:sz w:val="24"/>
        </w:rPr>
        <w:t>、</w:t>
      </w:r>
      <w:r>
        <w:rPr>
          <w:rFonts w:ascii="宋体" w:hAnsi="宋体"/>
          <w:sz w:val="24"/>
        </w:rPr>
        <w:t>基金投资银行存款协议的签订</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）基金管理人应与</w:t>
      </w:r>
      <w:r>
        <w:rPr>
          <w:rFonts w:ascii="宋体" w:hAnsi="宋体" w:hint="eastAsia"/>
          <w:sz w:val="24"/>
        </w:rPr>
        <w:t>符合资格的存款银行总行或其授权分行签订《基金存款业务总体合作协议》（以下简称《总体合作协议》），确定</w:t>
      </w:r>
      <w:r>
        <w:rPr>
          <w:rFonts w:ascii="宋体" w:hAnsi="宋体" w:hint="eastAsia"/>
          <w:sz w:val="24"/>
        </w:rPr>
        <w:t>《存款协议书》的格式范本。《总体合作协议》和《存款协议书》的格式范本由基金托管人与基金管理人共同商定。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）基金托管人依据相关法规对《总体合作协议》和《存款协议书》的内容进行复核，审查存款银行资格等。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）寄送或上门交付存款证实书或其他有效存款凭证的，基金托管人可向存款分支机构的上级行发出存款余额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w:t>
      </w:r>
      <w:r>
        <w:rPr>
          <w:rFonts w:ascii="宋体" w:hAnsi="宋体"/>
          <w:sz w:val="24"/>
        </w:rPr>
        <w:t>）基金管理人应在《存款协议书》中规定，</w:t>
      </w:r>
      <w:r>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w:t>
      </w:r>
      <w:r>
        <w:rPr>
          <w:rFonts w:ascii="宋体" w:hAnsi="宋体" w:hint="eastAsia"/>
          <w:sz w:val="24"/>
        </w:rPr>
        <w:lastRenderedPageBreak/>
        <w:t>质押或以任何方式被抵押，不得用于转让和背书。</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hint="eastAsia"/>
          <w:sz w:val="24"/>
        </w:rPr>
        <w:t>基金投资银行存款时的账户开设与管理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）基金投资于银行存款时，基金</w:t>
      </w:r>
      <w:r>
        <w:rPr>
          <w:rFonts w:ascii="宋体" w:hAnsi="宋体" w:hint="eastAsia"/>
          <w:sz w:val="24"/>
        </w:rPr>
        <w:t>管理人应当依据基金管理人与存款银行</w:t>
      </w:r>
      <w:r>
        <w:rPr>
          <w:rFonts w:ascii="宋体" w:hAnsi="宋体" w:hint="eastAsia"/>
          <w:sz w:val="24"/>
        </w:rPr>
        <w:t>签订的《总体合作协议》、《存款协议书》等，以基金的名义在存款银行总行或授权分行指定的分支机构开立银行账户。</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w:t>
      </w:r>
      <w:r>
        <w:rPr>
          <w:rFonts w:ascii="宋体" w:hAnsi="宋体" w:hint="eastAsia"/>
          <w:sz w:val="24"/>
        </w:rPr>
        <w:t>基金投资于银行存款时的预留印鉴由基金托管人保管和使用。</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hint="eastAsia"/>
          <w:sz w:val="24"/>
        </w:rPr>
        <w:t>存款凭证传递、账目核对及到期兑付</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）存款证实书等存款凭证</w:t>
      </w:r>
      <w:r>
        <w:rPr>
          <w:rFonts w:ascii="宋体" w:hAnsi="宋体" w:hint="eastAsia"/>
          <w:sz w:val="24"/>
        </w:rPr>
        <w:t>传递</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w:t>
      </w:r>
      <w:r>
        <w:rPr>
          <w:rFonts w:ascii="宋体" w:hAnsi="宋体" w:hint="eastAsia"/>
          <w:sz w:val="24"/>
        </w:rPr>
        <w:t>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065659" w:rsidRDefault="00A43F61">
      <w:pPr>
        <w:spacing w:line="360" w:lineRule="auto"/>
        <w:ind w:firstLineChars="200" w:firstLine="480"/>
        <w:contextualSpacing/>
        <w:rPr>
          <w:rFonts w:ascii="宋体" w:hAnsi="宋体"/>
          <w:sz w:val="24"/>
        </w:rPr>
      </w:pPr>
      <w:r>
        <w:rPr>
          <w:rFonts w:ascii="宋体" w:hAnsi="宋体" w:hint="eastAsia"/>
          <w:sz w:val="24"/>
        </w:rPr>
        <w:t>每个工作日，基金管理人应与基金托管人</w:t>
      </w:r>
      <w:r>
        <w:rPr>
          <w:rFonts w:ascii="宋体" w:hAnsi="宋体" w:hint="eastAsia"/>
          <w:sz w:val="24"/>
        </w:rPr>
        <w:t>核对各项银行存款投资余额及应计利息。</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基金管理人应在《存款协议书》中规定，对于存期超过</w:t>
      </w:r>
      <w:r>
        <w:rPr>
          <w:rFonts w:ascii="宋体" w:hAnsi="宋体"/>
          <w:sz w:val="24"/>
        </w:rPr>
        <w:t>3</w:t>
      </w:r>
      <w:r>
        <w:rPr>
          <w:rFonts w:ascii="宋体" w:hAnsi="宋体"/>
          <w:sz w:val="24"/>
        </w:rPr>
        <w:t>个月的定期存款，</w:t>
      </w:r>
      <w:r>
        <w:rPr>
          <w:rFonts w:ascii="宋体" w:hAnsi="宋体" w:hint="eastAsia"/>
          <w:sz w:val="24"/>
        </w:rPr>
        <w:t>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基金管理人提前通知基金托管人通过快递将存款凭证原件寄给存款银行分支机构指定的会计主管。存</w:t>
      </w:r>
      <w:r>
        <w:rPr>
          <w:rFonts w:ascii="宋体" w:hAnsi="宋体" w:hint="eastAsia"/>
          <w:sz w:val="24"/>
        </w:rPr>
        <w:t>款银行未收到存款凭证原件的，应与基金托管人电话询问。存款到期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w:t>
      </w:r>
      <w:r>
        <w:rPr>
          <w:rFonts w:ascii="宋体" w:hAnsi="宋体" w:hint="eastAsia"/>
          <w:sz w:val="24"/>
        </w:rPr>
        <w:t>，存款银行应在到期日将存款本息划至指定的基金资金账户。如果存款到期日为法定节假日，存款银行顺延至到期后第一个工作日支付，存款银行需按原协议约定利率和实际延期天数支付延期利息。</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sz w:val="24"/>
        </w:rPr>
        <w:t>提前支取</w:t>
      </w:r>
    </w:p>
    <w:p w:rsidR="00065659" w:rsidRDefault="00A43F61">
      <w:pPr>
        <w:spacing w:line="360" w:lineRule="auto"/>
        <w:ind w:firstLineChars="200" w:firstLine="480"/>
        <w:contextualSpacing/>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065659" w:rsidRDefault="00A43F61">
      <w:pPr>
        <w:spacing w:line="360" w:lineRule="auto"/>
        <w:ind w:firstLineChars="200" w:firstLine="480"/>
        <w:contextualSpacing/>
        <w:rPr>
          <w:rFonts w:ascii="宋体" w:hAnsi="宋体"/>
          <w:sz w:val="24"/>
        </w:rPr>
      </w:pPr>
      <w:r>
        <w:rPr>
          <w:rFonts w:ascii="宋体" w:hAnsi="宋体" w:hint="eastAsia"/>
          <w:sz w:val="24"/>
        </w:rPr>
        <w:t>提前支取的具体事项按照基金管理人与存款银行签订的《存款协议书》执行。</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r>
        <w:rPr>
          <w:rFonts w:ascii="宋体" w:hAnsi="宋体" w:hint="eastAsia"/>
          <w:sz w:val="24"/>
        </w:rPr>
        <w:t>基金投资银行存款的监督</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w:t>
      </w:r>
      <w:r>
        <w:rPr>
          <w:rFonts w:ascii="宋体" w:hAnsi="宋体" w:hint="eastAsia"/>
          <w:sz w:val="24"/>
        </w:rPr>
        <w:t>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工作日内纠正。基金管理人对基金托管人通知的违规事项未能在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工作日内纠正的，基金托管人应报告中国证监会。基金托管人发现基金管理人有重大违规行为，应立即报告中国证监会，同时通知基金管理人在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工作日内纠正或拒绝结算，若因基金管理人拒不执行造成基金财产损失的，相关损失由基金管理人承担，基金托管人不承担任何责任。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w:t>
      </w:r>
      <w:r>
        <w:rPr>
          <w:rFonts w:ascii="宋体" w:hAnsi="宋体" w:hint="eastAsia"/>
          <w:sz w:val="24"/>
        </w:rPr>
        <w:t>、经慎重选择的、本基金适用的银行间债券市场交易对手名单并约定各交易对手所适用的交易结算方式。基金管理人有责任确保及时将更新后的交易对手名单发送给基金托管人，否则由此造成的损失应由基</w:t>
      </w:r>
      <w:r>
        <w:rPr>
          <w:rFonts w:ascii="宋体" w:hAnsi="宋体" w:hint="eastAsia"/>
          <w:sz w:val="24"/>
        </w:rPr>
        <w:lastRenderedPageBreak/>
        <w:t>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w:t>
      </w:r>
      <w:r>
        <w:rPr>
          <w:rFonts w:ascii="宋体" w:hAnsi="宋体" w:hint="eastAsia"/>
          <w:sz w:val="24"/>
        </w:rPr>
        <w:t>算，但不得再发生新的交易。如基金管理人根据市场需要临时调整银行间债券交易对手名单及结算方式的，应向基金托管人说明理由，并在与交易对手发生交易前</w:t>
      </w:r>
      <w:r>
        <w:rPr>
          <w:rFonts w:ascii="宋体" w:hAnsi="宋体"/>
          <w:sz w:val="24"/>
        </w:rPr>
        <w:t>与基金托管人协商解决。</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（五）本基金投资流通受限证券，应遵守《关于</w:t>
      </w:r>
      <w:r>
        <w:rPr>
          <w:rFonts w:ascii="宋体" w:hAnsi="宋体" w:hint="eastAsia"/>
          <w:sz w:val="24"/>
        </w:rPr>
        <w:t>基金投资非公开发行股票等流通受限证券有关问题的通知》等有关监管规定。</w:t>
      </w:r>
    </w:p>
    <w:p w:rsidR="00065659" w:rsidRDefault="00A43F61">
      <w:pPr>
        <w:spacing w:line="360" w:lineRule="auto"/>
        <w:ind w:firstLineChars="200" w:firstLine="480"/>
        <w:contextualSpacing/>
        <w:rPr>
          <w:rFonts w:ascii="宋体" w:hAnsi="宋体"/>
          <w:sz w:val="24"/>
        </w:rPr>
      </w:pPr>
      <w:r>
        <w:rPr>
          <w:rFonts w:ascii="宋体" w:hAnsi="宋体"/>
          <w:sz w:val="24"/>
        </w:rPr>
        <w:t>1</w:t>
      </w:r>
      <w:r w:rsidR="00EC5E15">
        <w:rPr>
          <w:rFonts w:ascii="宋体" w:hAnsi="宋体" w:hint="eastAsia"/>
          <w:sz w:val="24"/>
        </w:rPr>
        <w:t>、</w:t>
      </w:r>
      <w:r>
        <w:rPr>
          <w:rFonts w:ascii="宋体" w:hAnsi="宋体"/>
          <w:sz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w:t>
      </w:r>
      <w:r>
        <w:rPr>
          <w:rFonts w:ascii="宋体" w:hAnsi="宋体" w:hint="eastAsia"/>
          <w:sz w:val="24"/>
        </w:rPr>
        <w:t>易的证券。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w:t>
      </w:r>
      <w:r>
        <w:rPr>
          <w:rFonts w:ascii="宋体" w:hAnsi="宋体" w:hint="eastAsia"/>
          <w:sz w:val="24"/>
        </w:rPr>
        <w:lastRenderedPageBreak/>
        <w:t>资比例控制情况。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w:t>
      </w:r>
      <w:r>
        <w:rPr>
          <w:rFonts w:ascii="宋体" w:hAnsi="宋体" w:hint="eastAsia"/>
          <w:sz w:val="24"/>
        </w:rPr>
        <w:t>管人不承担任何责任。</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sz w:val="24"/>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w:t>
      </w:r>
      <w:r>
        <w:rPr>
          <w:rFonts w:ascii="宋体" w:hAnsi="宋体" w:hint="eastAsia"/>
          <w:sz w:val="24"/>
        </w:rPr>
        <w:t>担责任。</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sz w:val="24"/>
        </w:rPr>
        <w:t>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bookmarkStart w:id="33" w:name="_GoBack"/>
      <w:bookmarkEnd w:id="33"/>
      <w:r>
        <w:rPr>
          <w:rFonts w:ascii="宋体" w:hAnsi="宋体"/>
          <w:sz w:val="24"/>
        </w:rPr>
        <w:t>基金管理</w:t>
      </w:r>
      <w:r>
        <w:rPr>
          <w:rFonts w:ascii="宋体" w:hAnsi="宋体" w:hint="eastAsia"/>
          <w:sz w:val="24"/>
        </w:rPr>
        <w:t>人</w:t>
      </w:r>
      <w:r>
        <w:rPr>
          <w:rFonts w:ascii="宋体" w:hAnsi="宋体"/>
          <w:sz w:val="24"/>
        </w:rPr>
        <w:t>应在基金投资非公开发行股票后两个交</w:t>
      </w:r>
      <w:r>
        <w:rPr>
          <w:rFonts w:ascii="宋体" w:hAnsi="宋体"/>
          <w:sz w:val="24"/>
        </w:rPr>
        <w:t>易日内</w:t>
      </w:r>
      <w:r>
        <w:rPr>
          <w:rFonts w:ascii="宋体" w:hAnsi="宋体"/>
          <w:sz w:val="24"/>
        </w:rPr>
        <w:t>,</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sz w:val="24"/>
        </w:rPr>
        <w:t>,</w:t>
      </w:r>
      <w:r>
        <w:rPr>
          <w:rFonts w:ascii="宋体" w:hAnsi="宋体"/>
          <w:sz w:val="24"/>
        </w:rPr>
        <w:t>以及总成本和账面价值占基金资产净值的比例、锁定期等信息。</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（七）基金托管人根据有关法律法规的规定及《基金合同》的约定，对基金资产净值计算、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w:t>
      </w:r>
      <w:r>
        <w:rPr>
          <w:rFonts w:ascii="宋体" w:hAnsi="宋体" w:hint="eastAsia"/>
          <w:sz w:val="24"/>
        </w:rPr>
        <w:t>和核查。</w:t>
      </w:r>
    </w:p>
    <w:p w:rsidR="00065659" w:rsidRDefault="00A43F61">
      <w:pPr>
        <w:spacing w:line="360" w:lineRule="auto"/>
        <w:ind w:firstLineChars="200" w:firstLine="480"/>
        <w:contextualSpacing/>
        <w:rPr>
          <w:rFonts w:ascii="宋体" w:hAnsi="宋体"/>
          <w:sz w:val="24"/>
        </w:rPr>
      </w:pPr>
      <w:r>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w:t>
      </w:r>
      <w:r>
        <w:rPr>
          <w:rFonts w:ascii="宋体" w:hAnsi="宋体"/>
          <w:sz w:val="24"/>
        </w:rPr>
        <w:t xml:space="preserve"> </w:t>
      </w:r>
      <w:r>
        <w:rPr>
          <w:rFonts w:ascii="宋体" w:hAnsi="宋体"/>
          <w:sz w:val="24"/>
        </w:rPr>
        <w:t>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w:t>
      </w:r>
      <w:r>
        <w:rPr>
          <w:rFonts w:ascii="宋体" w:hAnsi="宋体"/>
          <w:sz w:val="24"/>
        </w:rPr>
        <w:t>事项未能在限期内纠正的，基金托管人应报告中国证监会。</w:t>
      </w:r>
    </w:p>
    <w:p w:rsidR="00065659" w:rsidRDefault="00A43F61">
      <w:pPr>
        <w:spacing w:line="360" w:lineRule="auto"/>
        <w:ind w:firstLineChars="200" w:firstLine="480"/>
        <w:contextualSpacing/>
        <w:rPr>
          <w:rFonts w:ascii="宋体" w:hAnsi="宋体"/>
          <w:sz w:val="24"/>
        </w:rPr>
      </w:pPr>
      <w:r>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（十）</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w:t>
      </w:r>
      <w:r>
        <w:rPr>
          <w:rFonts w:ascii="宋体" w:hAnsi="宋体" w:hint="eastAsia"/>
          <w:sz w:val="24"/>
        </w:rPr>
        <w:t>同约定的，应当立即通知基金管理人及时纠正，由此造成的损失由基金管理人承担，托管人在履行其通知义务后，予以免责。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（十一）基金托管人发现基金管理人有重大违规行为，应及时报告中国证监会，同时通知基金管理人限期纠正。</w:t>
      </w:r>
      <w:bookmarkStart w:id="34" w:name="_Toc110765660"/>
      <w:bookmarkStart w:id="35" w:name="_Toc108512358"/>
      <w:bookmarkStart w:id="36" w:name="_Toc86726439"/>
      <w:bookmarkStart w:id="37" w:name="_Toc118774803"/>
      <w:bookmarkStart w:id="38" w:name="_Toc110830492"/>
      <w:bookmarkStart w:id="39" w:name="_Toc119402710"/>
      <w:bookmarkStart w:id="40" w:name="_Toc89163368"/>
      <w:bookmarkStart w:id="41" w:name="_Toc110761796"/>
      <w:bookmarkStart w:id="42" w:name="_Toc118972648"/>
      <w:bookmarkStart w:id="43" w:name="_Toc86225291"/>
      <w:bookmarkStart w:id="44" w:name="_Toc86737929"/>
      <w:bookmarkStart w:id="45" w:name="_Toc118212950"/>
      <w:bookmarkStart w:id="46" w:name="_Toc86649722"/>
      <w:bookmarkStart w:id="47" w:name="_Toc86727355"/>
      <w:bookmarkStart w:id="48" w:name="_Toc120435783"/>
      <w:bookmarkStart w:id="49" w:name="_Toc86223242"/>
    </w:p>
    <w:bookmarkEnd w:id="28"/>
    <w:p w:rsidR="00065659" w:rsidRDefault="00065659">
      <w:pPr>
        <w:spacing w:line="360" w:lineRule="auto"/>
        <w:ind w:firstLineChars="200" w:firstLine="480"/>
        <w:contextualSpacing/>
        <w:rPr>
          <w:rFonts w:ascii="宋体" w:hAnsi="宋体"/>
          <w:sz w:val="24"/>
        </w:rPr>
        <w:sectPr w:rsidR="00065659">
          <w:footerReference w:type="default" r:id="rId57"/>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50" w:name="_Toc3276851"/>
      <w:bookmarkStart w:id="51" w:name="_Toc348082032"/>
      <w:bookmarkStart w:id="52" w:name="_Toc384992694"/>
      <w:bookmarkStart w:id="53" w:name="CLAUSE_3941d2e12a5840c8a774da0b5e8d5732"/>
      <w:r>
        <w:rPr>
          <w:rFonts w:ascii="宋体" w:eastAsia="宋体" w:hAnsi="宋体"/>
        </w:rPr>
        <w:lastRenderedPageBreak/>
        <w:t xml:space="preserve"> </w:t>
      </w:r>
      <w:bookmarkStart w:id="54" w:name="CTS_3941d2e12a5840c8a774da0b5e8d5732"/>
      <w:bookmarkEnd w:id="54"/>
      <w:r>
        <w:rPr>
          <w:rFonts w:ascii="宋体" w:eastAsia="宋体" w:hAnsi="宋体" w:hint="eastAsia"/>
        </w:rPr>
        <w:t>基金管理人对基金托管人的业务核查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（一）基金管理人对基金托管人履行托管职责情况进行核查，核查事项包括基金托管人安全保管基金财产、开设基金财产的资金账户、证券账户、期货结算账户等投资所</w:t>
      </w:r>
      <w:r>
        <w:rPr>
          <w:rFonts w:ascii="宋体" w:hAnsi="宋体" w:hint="eastAsia"/>
          <w:sz w:val="24"/>
        </w:rPr>
        <w:t>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w:t>
      </w:r>
      <w:r>
        <w:rPr>
          <w:rFonts w:ascii="宋体" w:hAnsi="宋体" w:hint="eastAsia"/>
          <w:sz w:val="24"/>
        </w:rPr>
        <w:t>基金管理人有权随时对通知事项进行复查，督促基金托管人改正。</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065659" w:rsidRDefault="00065659">
      <w:pPr>
        <w:spacing w:line="360" w:lineRule="auto"/>
        <w:ind w:firstLineChars="200" w:firstLine="480"/>
        <w:contextualSpacing/>
        <w:rPr>
          <w:rFonts w:ascii="宋体" w:hAnsi="宋体"/>
          <w:sz w:val="24"/>
        </w:rPr>
      </w:pPr>
    </w:p>
    <w:bookmarkEnd w:id="53"/>
    <w:p w:rsidR="00065659" w:rsidRDefault="00065659">
      <w:pPr>
        <w:spacing w:line="360" w:lineRule="auto"/>
        <w:ind w:firstLineChars="200" w:firstLine="480"/>
        <w:contextualSpacing/>
        <w:rPr>
          <w:rFonts w:ascii="宋体" w:hAnsi="宋体"/>
          <w:sz w:val="24"/>
        </w:rPr>
        <w:sectPr w:rsidR="00065659">
          <w:footerReference w:type="default" r:id="rId58"/>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55" w:name="_Toc110830493"/>
      <w:bookmarkStart w:id="56" w:name="_Toc89163369"/>
      <w:bookmarkStart w:id="57" w:name="_Toc110765661"/>
      <w:bookmarkStart w:id="58" w:name="_Toc86737930"/>
      <w:bookmarkStart w:id="59" w:name="_Toc86204789"/>
      <w:bookmarkStart w:id="60" w:name="_Toc118774804"/>
      <w:bookmarkStart w:id="61" w:name="_Toc120435784"/>
      <w:bookmarkStart w:id="62" w:name="_Toc86223243"/>
      <w:bookmarkStart w:id="63" w:name="_Toc86727356"/>
      <w:bookmarkStart w:id="64" w:name="_Toc118212951"/>
      <w:bookmarkStart w:id="65" w:name="_Toc108512359"/>
      <w:bookmarkStart w:id="66" w:name="_Toc84234388"/>
      <w:bookmarkStart w:id="67" w:name="_Toc86225292"/>
      <w:bookmarkStart w:id="68" w:name="_Toc86726440"/>
      <w:bookmarkStart w:id="69" w:name="_Toc3276852"/>
      <w:bookmarkStart w:id="70" w:name="_Toc348082033"/>
      <w:bookmarkStart w:id="71" w:name="_Toc110761797"/>
      <w:bookmarkStart w:id="72" w:name="_Toc119402711"/>
      <w:bookmarkStart w:id="73" w:name="_Toc84234435"/>
      <w:bookmarkStart w:id="74" w:name="_Toc84133786"/>
      <w:bookmarkStart w:id="75" w:name="_Toc86649723"/>
      <w:bookmarkStart w:id="76" w:name="_Toc118972649"/>
      <w:bookmarkStart w:id="77" w:name="_Toc384992695"/>
      <w:bookmarkStart w:id="78" w:name="CLAUSE_ae32e2f5dbd7495eb29c9432267c084b"/>
      <w:r>
        <w:rPr>
          <w:rFonts w:ascii="宋体" w:eastAsia="宋体" w:hAnsi="宋体"/>
        </w:rPr>
        <w:lastRenderedPageBreak/>
        <w:t xml:space="preserve"> </w:t>
      </w:r>
      <w:bookmarkStart w:id="79" w:name="CTS_ae32e2f5dbd7495eb29c9432267c084b"/>
      <w:bookmarkEnd w:id="79"/>
      <w:r>
        <w:rPr>
          <w:rFonts w:ascii="宋体" w:eastAsia="宋体" w:hAnsi="宋体" w:hint="eastAsia"/>
        </w:rPr>
        <w:t>基金财产的保管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（一）基金财产保管的原则</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基金财产应独立于基金管理人、基金托管</w:t>
      </w:r>
      <w:r>
        <w:rPr>
          <w:rFonts w:ascii="宋体" w:hAnsi="宋体" w:cs="Arial" w:hint="eastAsia"/>
          <w:sz w:val="24"/>
        </w:rPr>
        <w:t>人和证券经纪机构</w:t>
      </w:r>
      <w:r>
        <w:rPr>
          <w:rFonts w:ascii="宋体" w:hAnsi="宋体" w:hint="eastAsia"/>
          <w:sz w:val="24"/>
        </w:rPr>
        <w:t>的固有财产。</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基金托管人应安全保管基金财产。</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基金托管人按照规定开设基金财产</w:t>
      </w:r>
      <w:r>
        <w:rPr>
          <w:rFonts w:ascii="宋体" w:hAnsi="宋体" w:hint="eastAsia"/>
          <w:sz w:val="24"/>
        </w:rPr>
        <w:t>投资所需的相关账户。</w:t>
      </w:r>
    </w:p>
    <w:p w:rsidR="00065659" w:rsidRDefault="00A43F61">
      <w:pPr>
        <w:spacing w:line="360" w:lineRule="auto"/>
        <w:ind w:firstLineChars="200" w:firstLine="480"/>
        <w:contextualSpacing/>
        <w:rPr>
          <w:rFonts w:ascii="宋体" w:hAnsi="宋体"/>
          <w:sz w:val="24"/>
        </w:rPr>
      </w:pPr>
      <w:r>
        <w:rPr>
          <w:rFonts w:ascii="宋体" w:hAnsi="宋体"/>
          <w:sz w:val="24"/>
        </w:rPr>
        <w:t>4.</w:t>
      </w:r>
      <w:r>
        <w:rPr>
          <w:rFonts w:ascii="宋体" w:hAnsi="宋体"/>
          <w:sz w:val="24"/>
        </w:rPr>
        <w:t>基金托管人对所托管的不同基金财产分别设置账户，确保基金财产的完整与独立。</w:t>
      </w:r>
    </w:p>
    <w:p w:rsidR="00065659" w:rsidRDefault="00A43F61">
      <w:pPr>
        <w:spacing w:line="360" w:lineRule="auto"/>
        <w:ind w:firstLineChars="200" w:firstLine="480"/>
        <w:contextualSpacing/>
        <w:rPr>
          <w:rFonts w:ascii="宋体" w:hAnsi="宋体"/>
          <w:sz w:val="24"/>
        </w:rPr>
      </w:pPr>
      <w:r>
        <w:rPr>
          <w:rFonts w:ascii="宋体" w:hAnsi="宋体"/>
          <w:sz w:val="24"/>
        </w:rPr>
        <w:t>5.</w:t>
      </w:r>
      <w:r>
        <w:rPr>
          <w:rFonts w:ascii="宋体" w:hAnsi="宋体"/>
          <w:sz w:val="24"/>
        </w:rPr>
        <w:t>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065659" w:rsidRDefault="00A43F61">
      <w:pPr>
        <w:spacing w:line="360" w:lineRule="auto"/>
        <w:ind w:firstLineChars="200" w:firstLine="480"/>
        <w:contextualSpacing/>
        <w:rPr>
          <w:rFonts w:ascii="宋体" w:hAnsi="宋体"/>
          <w:sz w:val="24"/>
        </w:rPr>
      </w:pPr>
      <w:r>
        <w:rPr>
          <w:rFonts w:ascii="宋体" w:hAnsi="宋体"/>
          <w:sz w:val="24"/>
        </w:rPr>
        <w:t>6.</w:t>
      </w:r>
      <w:r>
        <w:rPr>
          <w:rFonts w:ascii="宋体" w:hAnsi="宋体"/>
          <w:sz w:val="24"/>
        </w:rPr>
        <w:t>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065659" w:rsidRDefault="00A43F61">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w:t>
      </w:r>
      <w:r>
        <w:rPr>
          <w:rFonts w:ascii="宋体" w:hAnsi="宋体" w:hint="eastAsia"/>
          <w:sz w:val="24"/>
        </w:rPr>
        <w:t>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065659" w:rsidRDefault="00A43F61">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基金募集期间募集的资金应开立</w:t>
      </w:r>
      <w:r>
        <w:rPr>
          <w:rFonts w:ascii="宋体" w:hAnsi="宋体"/>
          <w:sz w:val="24"/>
        </w:rPr>
        <w:t>“</w:t>
      </w:r>
      <w:r>
        <w:rPr>
          <w:rFonts w:ascii="宋体" w:hAnsi="宋体"/>
          <w:sz w:val="24"/>
        </w:rPr>
        <w:t>基金募集专户</w:t>
      </w:r>
      <w:r>
        <w:rPr>
          <w:rFonts w:ascii="宋体" w:hAnsi="宋体"/>
          <w:sz w:val="24"/>
        </w:rPr>
        <w:t>”</w:t>
      </w:r>
      <w:r>
        <w:rPr>
          <w:rFonts w:ascii="宋体" w:hAnsi="宋体"/>
          <w:sz w:val="24"/>
        </w:rPr>
        <w:t>。该账户由基金管理人或基金管理人委托的登记机构</w:t>
      </w:r>
      <w:r>
        <w:rPr>
          <w:rFonts w:ascii="宋体" w:hAnsi="宋体" w:hint="eastAsia"/>
          <w:sz w:val="24"/>
        </w:rPr>
        <w:t>开立并管理。</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基金募集期</w:t>
      </w:r>
      <w:r>
        <w:rPr>
          <w:rFonts w:ascii="宋体" w:hAnsi="宋体"/>
          <w:sz w:val="24"/>
        </w:rPr>
        <w:t>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w:t>
      </w:r>
      <w:bookmarkStart w:id="80" w:name="_Hlk48047709"/>
      <w:r>
        <w:rPr>
          <w:rFonts w:ascii="宋体" w:hAnsi="宋体" w:hint="eastAsia"/>
          <w:sz w:val="24"/>
        </w:rPr>
        <w:t>符合</w:t>
      </w:r>
      <w:proofErr w:type="gramEnd"/>
      <w:r>
        <w:rPr>
          <w:rFonts w:ascii="宋体" w:hAnsi="宋体" w:hint="eastAsia"/>
          <w:sz w:val="24"/>
        </w:rPr>
        <w:t>《中华人民共和国证券法》规定</w:t>
      </w:r>
      <w:bookmarkEnd w:id="80"/>
      <w:r>
        <w:rPr>
          <w:rFonts w:ascii="宋体" w:hAnsi="宋体" w:hint="eastAsia"/>
          <w:sz w:val="24"/>
        </w:rPr>
        <w:t>的会计师事务所进行验资，出具验资报告，</w:t>
      </w:r>
      <w:r>
        <w:rPr>
          <w:rFonts w:ascii="宋体" w:hAnsi="宋体" w:hint="eastAsia"/>
          <w:bCs/>
          <w:sz w:val="24"/>
        </w:rPr>
        <w:t>验资报告需对发起资金提供方及其持有的基金份额进行专门说明</w:t>
      </w:r>
      <w:r>
        <w:rPr>
          <w:rFonts w:ascii="宋体" w:hAnsi="宋体" w:hint="eastAsia"/>
          <w:sz w:val="24"/>
        </w:rPr>
        <w:t>。出具的验资报告由参加验资的</w:t>
      </w:r>
      <w:r>
        <w:rPr>
          <w:rFonts w:ascii="宋体" w:hAnsi="宋体"/>
          <w:sz w:val="24"/>
        </w:rPr>
        <w:t>2</w:t>
      </w:r>
      <w:r>
        <w:rPr>
          <w:rFonts w:ascii="宋体" w:hAnsi="宋体"/>
          <w:sz w:val="24"/>
        </w:rPr>
        <w:t>名或</w:t>
      </w:r>
      <w:r>
        <w:rPr>
          <w:rFonts w:ascii="宋体" w:hAnsi="宋体"/>
          <w:sz w:val="24"/>
        </w:rPr>
        <w:t>2</w:t>
      </w:r>
      <w:r>
        <w:rPr>
          <w:rFonts w:ascii="宋体" w:hAnsi="宋体"/>
          <w:sz w:val="24"/>
        </w:rPr>
        <w:t>名以上中国注册会计师签字方为有效。</w:t>
      </w:r>
    </w:p>
    <w:p w:rsidR="00065659" w:rsidRDefault="00A43F61">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三）基金资金账户的开立和管理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东方阿尔法医疗健康混合型发起式证券投资基金</w:t>
      </w:r>
      <w:r>
        <w:rPr>
          <w:rFonts w:ascii="宋体" w:hAnsi="宋体" w:hint="eastAsia"/>
          <w:sz w:val="24"/>
        </w:rPr>
        <w:t>”，预留印鉴为基金托管人印章。</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w:t>
      </w:r>
      <w:r>
        <w:rPr>
          <w:rFonts w:ascii="宋体" w:hAnsi="宋体" w:hint="eastAsia"/>
          <w:sz w:val="24"/>
        </w:rPr>
        <w:t>资金账户的开立和管理应符合法律法规及银行业监督管理机构的有关规定。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资金交收</w:t>
      </w:r>
      <w:r>
        <w:rPr>
          <w:rFonts w:ascii="宋体" w:hAnsi="宋体" w:hint="eastAsia"/>
          <w:sz w:val="24"/>
        </w:rPr>
        <w:t>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基金托管人在中国证券登记结算有限责任公司上海分公司、深圳分公司为基金开立基金托管人与基金联名的证券账户。</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基金证券账户的开立和证券账户卡的保管由基金托管人负责，账户资产的管理和运用由基金管理人负责。</w:t>
      </w:r>
    </w:p>
    <w:p w:rsidR="00065659" w:rsidRDefault="00A43F61">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w:t>
      </w:r>
      <w:r>
        <w:rPr>
          <w:rFonts w:ascii="宋体" w:hAnsi="宋体" w:cs="Arial" w:hint="eastAsia"/>
          <w:sz w:val="24"/>
        </w:rPr>
        <w:t>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rsidR="00065659" w:rsidRDefault="00A43F61">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基金托管人和基金管理人不得出借或转让证券账户、证券交易资金账户，亦不得使用证券账户或证券交易资金账户进行本基金业务以外的活动。本基金通过证</w:t>
      </w:r>
      <w:r>
        <w:rPr>
          <w:rFonts w:ascii="宋体" w:hAnsi="宋体" w:cs="Arial" w:hint="eastAsia"/>
          <w:sz w:val="24"/>
        </w:rPr>
        <w:lastRenderedPageBreak/>
        <w:t>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rsidR="00065659" w:rsidRDefault="00A43F61">
      <w:pPr>
        <w:spacing w:line="360" w:lineRule="auto"/>
        <w:ind w:firstLineChars="200" w:firstLine="480"/>
        <w:contextualSpacing/>
        <w:rPr>
          <w:rFonts w:ascii="宋体" w:hAnsi="宋体" w:cs="Arial"/>
          <w:sz w:val="24"/>
        </w:rPr>
      </w:pPr>
      <w:r>
        <w:rPr>
          <w:rFonts w:ascii="宋体" w:hAnsi="宋体" w:cs="Arial"/>
          <w:sz w:val="24"/>
        </w:rPr>
        <w:t>5.</w:t>
      </w:r>
      <w:r>
        <w:rPr>
          <w:rFonts w:ascii="宋体" w:hAnsi="宋体" w:cs="Arial"/>
          <w:sz w:val="24"/>
        </w:rPr>
        <w:t>基金管理人承诺证券交易资金账户为主资金账户，不开立任何辅助资金账户；不为证券交易资金账户另行开立银行托管账户以外的其他银行账户。</w:t>
      </w:r>
    </w:p>
    <w:p w:rsidR="00065659" w:rsidRDefault="00A43F61">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（六）其他账户的开立和管理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w:t>
      </w:r>
      <w:r>
        <w:rPr>
          <w:rFonts w:ascii="宋体" w:hAnsi="宋体" w:hint="eastAsia"/>
          <w:sz w:val="24"/>
        </w:rPr>
        <w:t>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w:t>
      </w:r>
      <w:r>
        <w:rPr>
          <w:rFonts w:ascii="宋体" w:hAnsi="宋体" w:hint="eastAsia"/>
          <w:sz w:val="24"/>
        </w:rPr>
        <w:t>律法规和基金合同的规定，由基金管理人协助基金托管人按照有关法律法规和本协议的约定协商后开立。新账户按有关规定使用并管理。</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法律法规等有关规定对相关账户的开立和管理另有规定的，从其规定办理。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w:t>
      </w:r>
      <w:r>
        <w:rPr>
          <w:rFonts w:ascii="宋体" w:hAnsi="宋体" w:hint="eastAsia"/>
          <w:sz w:val="24"/>
        </w:rPr>
        <w:t>据基金管理人的指令办理。基金托管人对由上述存放机构及基金托管人以外机构实际有</w:t>
      </w:r>
      <w:r>
        <w:rPr>
          <w:rFonts w:ascii="宋体" w:hAnsi="宋体" w:hint="eastAsia"/>
          <w:sz w:val="24"/>
        </w:rPr>
        <w:lastRenderedPageBreak/>
        <w:t>效控制的有价凭证不承担保管责任。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（八）与基金财产有关的重大合同的保管</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w:t>
      </w:r>
      <w:r>
        <w:rPr>
          <w:rFonts w:ascii="宋体" w:hAnsi="宋体" w:hint="eastAsia"/>
          <w:sz w:val="24"/>
        </w:rPr>
        <w:t>不一致所造成的后果，由基金管理人负责。重大合同的保管期限不低于法律法规规定的最低期限</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065659" w:rsidRDefault="00065659">
      <w:pPr>
        <w:spacing w:line="360" w:lineRule="auto"/>
        <w:ind w:firstLineChars="200" w:firstLine="480"/>
        <w:contextualSpacing/>
        <w:rPr>
          <w:rFonts w:ascii="宋体" w:hAnsi="宋体"/>
          <w:sz w:val="24"/>
        </w:rPr>
      </w:pPr>
    </w:p>
    <w:bookmarkEnd w:id="78"/>
    <w:p w:rsidR="00065659" w:rsidRDefault="00065659">
      <w:pPr>
        <w:spacing w:line="360" w:lineRule="auto"/>
        <w:ind w:firstLineChars="200" w:firstLine="480"/>
        <w:contextualSpacing/>
        <w:rPr>
          <w:rFonts w:ascii="宋体" w:hAnsi="宋体"/>
          <w:sz w:val="24"/>
        </w:rPr>
        <w:sectPr w:rsidR="00065659">
          <w:footerReference w:type="default" r:id="rId59"/>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81" w:name="_Toc384992696"/>
      <w:bookmarkStart w:id="82" w:name="_Toc86649724"/>
      <w:bookmarkStart w:id="83" w:name="_Toc86223244"/>
      <w:bookmarkStart w:id="84" w:name="_Toc84234389"/>
      <w:bookmarkStart w:id="85" w:name="_Toc108512360"/>
      <w:bookmarkStart w:id="86" w:name="_Toc118212952"/>
      <w:bookmarkStart w:id="87" w:name="_Toc120435785"/>
      <w:bookmarkStart w:id="88" w:name="_Toc84133787"/>
      <w:bookmarkStart w:id="89" w:name="_Toc119402712"/>
      <w:bookmarkStart w:id="90" w:name="_Toc348082034"/>
      <w:bookmarkStart w:id="91" w:name="_Toc110765662"/>
      <w:bookmarkStart w:id="92" w:name="_Toc86225293"/>
      <w:bookmarkStart w:id="93" w:name="_Toc86726441"/>
      <w:bookmarkStart w:id="94" w:name="_Toc86204790"/>
      <w:bookmarkStart w:id="95" w:name="_Toc86737931"/>
      <w:bookmarkStart w:id="96" w:name="_Toc3276853"/>
      <w:bookmarkStart w:id="97" w:name="_Toc118774805"/>
      <w:bookmarkStart w:id="98" w:name="_Toc86727357"/>
      <w:bookmarkStart w:id="99" w:name="_Toc110761798"/>
      <w:bookmarkStart w:id="100" w:name="_Toc84234436"/>
      <w:bookmarkStart w:id="101" w:name="_Toc89163370"/>
      <w:bookmarkStart w:id="102" w:name="_Toc110830494"/>
      <w:bookmarkStart w:id="103" w:name="_Toc118972650"/>
      <w:bookmarkStart w:id="104" w:name="CLAUSE_34806e539a8f471b92f0dfa4de179c52"/>
      <w:r>
        <w:rPr>
          <w:rFonts w:ascii="宋体" w:eastAsia="宋体" w:hAnsi="宋体"/>
        </w:rPr>
        <w:lastRenderedPageBreak/>
        <w:t xml:space="preserve"> </w:t>
      </w:r>
      <w:bookmarkStart w:id="105" w:name="CTS_34806e539a8f471b92f0dfa4de179c52"/>
      <w:bookmarkEnd w:id="105"/>
      <w:r>
        <w:rPr>
          <w:rFonts w:ascii="宋体" w:eastAsia="宋体" w:hAnsi="宋体" w:hint="eastAsia"/>
        </w:rPr>
        <w:t>指令的发送、确认及执行</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w:t>
      </w:r>
      <w:r>
        <w:rPr>
          <w:rFonts w:ascii="宋体" w:hAnsi="宋体" w:hint="eastAsia"/>
          <w:sz w:val="24"/>
        </w:rPr>
        <w:t>加盖</w:t>
      </w:r>
      <w:proofErr w:type="gramEnd"/>
      <w:r>
        <w:rPr>
          <w:rFonts w:ascii="宋体" w:hAnsi="宋体" w:hint="eastAsia"/>
          <w:sz w:val="24"/>
        </w:rPr>
        <w:t>基金管理人公司公章。</w:t>
      </w:r>
    </w:p>
    <w:p w:rsidR="00065659" w:rsidRDefault="00A43F61">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w:t>
      </w:r>
      <w:r>
        <w:rPr>
          <w:rFonts w:ascii="宋体" w:hAnsi="宋体" w:hint="eastAsia"/>
          <w:sz w:val="24"/>
        </w:rPr>
        <w:t>个工作日内将授权通知的正本送交基金托管人。授权通知书正本内容与基金托管人收到的传真不一致的，以基金托管人收到的传真为准。</w:t>
      </w:r>
    </w:p>
    <w:p w:rsidR="00065659" w:rsidRDefault="00A43F61">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（二）指令的内容</w:t>
      </w:r>
    </w:p>
    <w:p w:rsidR="00065659" w:rsidRDefault="00A43F61">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Pr>
          <w:rFonts w:ascii="宋体" w:hAnsi="宋体" w:hint="eastAsia"/>
          <w:sz w:val="24"/>
        </w:rPr>
        <w:lastRenderedPageBreak/>
        <w:t>出款和收</w:t>
      </w:r>
      <w:r>
        <w:rPr>
          <w:rFonts w:ascii="宋体" w:hAnsi="宋体" w:hint="eastAsia"/>
          <w:sz w:val="24"/>
        </w:rPr>
        <w:t>款账户信息等。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sz w:val="24"/>
        </w:rPr>
        <w:t>10:00</w:t>
      </w:r>
      <w:r>
        <w:rPr>
          <w:rFonts w:ascii="宋体" w:hAnsi="宋体"/>
          <w:sz w:val="24"/>
        </w:rPr>
        <w:t>前将指令发送给</w:t>
      </w:r>
      <w:r>
        <w:rPr>
          <w:rFonts w:ascii="宋体" w:hAnsi="宋体" w:hint="eastAsia"/>
          <w:sz w:val="24"/>
        </w:rPr>
        <w:t>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w:t>
      </w:r>
      <w:r>
        <w:rPr>
          <w:rFonts w:ascii="宋体" w:hAnsi="宋体"/>
          <w:sz w:val="24"/>
        </w:rPr>
        <w:t>2</w:t>
      </w:r>
      <w:r>
        <w:rPr>
          <w:rFonts w:ascii="宋体" w:hAnsi="宋体"/>
          <w:sz w:val="24"/>
        </w:rPr>
        <w:t>小时将期</w:t>
      </w:r>
      <w:r>
        <w:rPr>
          <w:rFonts w:ascii="宋体" w:hAnsi="宋体"/>
          <w:sz w:val="24"/>
        </w:rPr>
        <w:t>货</w:t>
      </w:r>
      <w:proofErr w:type="gramStart"/>
      <w:r>
        <w:rPr>
          <w:rFonts w:ascii="宋体" w:hAnsi="宋体"/>
          <w:sz w:val="24"/>
        </w:rPr>
        <w:t>出入金</w:t>
      </w:r>
      <w:proofErr w:type="gramEnd"/>
      <w:r>
        <w:rPr>
          <w:rFonts w:ascii="宋体" w:hAnsi="宋体"/>
          <w:sz w:val="24"/>
        </w:rPr>
        <w:t>指令发送至</w:t>
      </w:r>
      <w:r>
        <w:rPr>
          <w:rFonts w:ascii="宋体" w:hAnsi="宋体" w:hint="eastAsia"/>
          <w:sz w:val="24"/>
        </w:rPr>
        <w:t>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对于场内业务，基金管理人在运用基金财产时，开展场内证券交易前，基金管理人通过基金托管账户与证券资金账户已建立的第三方存管系统在基金</w:t>
      </w:r>
      <w:proofErr w:type="gramStart"/>
      <w:r>
        <w:rPr>
          <w:rFonts w:ascii="宋体" w:hAnsi="宋体" w:hint="eastAsia"/>
          <w:sz w:val="24"/>
        </w:rPr>
        <w:t>托管户</w:t>
      </w:r>
      <w:proofErr w:type="gramEnd"/>
      <w:r>
        <w:rPr>
          <w:rFonts w:ascii="宋体" w:hAnsi="宋体" w:hint="eastAsia"/>
          <w:sz w:val="24"/>
        </w:rPr>
        <w:t>与证券资金账户之间划款，</w:t>
      </w:r>
      <w:proofErr w:type="gramStart"/>
      <w:r>
        <w:rPr>
          <w:rFonts w:ascii="宋体" w:hAnsi="宋体" w:hint="eastAsia"/>
          <w:sz w:val="24"/>
        </w:rPr>
        <w:t>即银证互</w:t>
      </w:r>
      <w:proofErr w:type="gramEnd"/>
      <w:r>
        <w:rPr>
          <w:rFonts w:ascii="宋体" w:hAnsi="宋体" w:hint="eastAsia"/>
          <w:sz w:val="24"/>
        </w:rPr>
        <w:t>转。</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w:t>
      </w:r>
      <w:r>
        <w:rPr>
          <w:rFonts w:ascii="宋体" w:hAnsi="宋体"/>
          <w:sz w:val="24"/>
        </w:rPr>
        <w:t>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对于指定时间出款的交易指令，基金管理人应提前</w:t>
      </w:r>
      <w:r>
        <w:rPr>
          <w:rFonts w:ascii="宋体" w:hAnsi="宋体"/>
          <w:sz w:val="24"/>
        </w:rPr>
        <w:t>2</w:t>
      </w:r>
      <w:r>
        <w:rPr>
          <w:rFonts w:ascii="宋体" w:hAnsi="宋体"/>
          <w:sz w:val="24"/>
        </w:rPr>
        <w:t>小时将指令发送至</w:t>
      </w:r>
      <w:r>
        <w:rPr>
          <w:rFonts w:ascii="宋体" w:hAnsi="宋体" w:hint="eastAsia"/>
          <w:sz w:val="24"/>
        </w:rPr>
        <w:t>基金托管人；对于基金管理</w:t>
      </w:r>
      <w:r>
        <w:rPr>
          <w:rFonts w:ascii="宋体" w:hAnsi="宋体" w:hint="eastAsia"/>
          <w:sz w:val="24"/>
        </w:rPr>
        <w:t>人于</w:t>
      </w:r>
      <w:r>
        <w:rPr>
          <w:rFonts w:ascii="宋体" w:hAnsi="宋体"/>
          <w:sz w:val="24"/>
        </w:rPr>
        <w:t>15:00</w:t>
      </w:r>
      <w:r>
        <w:rPr>
          <w:rFonts w:ascii="宋体" w:hAnsi="宋体"/>
          <w:sz w:val="24"/>
        </w:rPr>
        <w:t>以后发送至</w:t>
      </w:r>
      <w:r>
        <w:rPr>
          <w:rFonts w:ascii="宋体" w:hAnsi="宋体" w:hint="eastAsia"/>
          <w:sz w:val="24"/>
        </w:rPr>
        <w:t>基金托管人的指令，基金托管人不保证当日出款。</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指令的确认</w:t>
      </w:r>
      <w:r>
        <w:rPr>
          <w:rFonts w:ascii="宋体" w:hAnsi="宋体" w:hint="eastAsia"/>
          <w:sz w:val="24"/>
        </w:rPr>
        <w:t>：基金管理人有义务在发送指令后与基金托管人进行电话确认。对于依照“授权通知”发出的指令，基金管理人不得否认其效力。</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t>非银期转账</w:t>
      </w:r>
      <w:proofErr w:type="gramEnd"/>
      <w:r>
        <w:rPr>
          <w:rFonts w:ascii="宋体" w:hAnsi="宋体" w:hint="eastAsia"/>
          <w:sz w:val="24"/>
        </w:rPr>
        <w:t>手工出入金。</w:t>
      </w:r>
    </w:p>
    <w:p w:rsidR="00065659" w:rsidRDefault="00A43F61">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lastRenderedPageBreak/>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Pr>
          <w:rFonts w:ascii="宋体" w:hAnsi="宋体" w:hint="eastAsia"/>
          <w:sz w:val="24"/>
        </w:rPr>
        <w:t>网银系统划往基金</w:t>
      </w:r>
      <w:proofErr w:type="gramEnd"/>
      <w:r>
        <w:rPr>
          <w:rFonts w:ascii="宋体" w:hAnsi="宋体" w:hint="eastAsia"/>
          <w:sz w:val="24"/>
        </w:rPr>
        <w:t>托管账户。</w:t>
      </w:r>
    </w:p>
    <w:p w:rsidR="00065659" w:rsidRDefault="00A43F61">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w:t>
      </w:r>
      <w:r>
        <w:rPr>
          <w:rFonts w:ascii="宋体" w:hAnsi="宋体" w:hint="eastAsia"/>
          <w:sz w:val="24"/>
        </w:rPr>
        <w:t>理人撤销指令，基金管理人应在原指令上注明“作废”、</w:t>
      </w:r>
      <w:r>
        <w:rPr>
          <w:rFonts w:ascii="宋体" w:hAnsi="宋体"/>
          <w:sz w:val="24"/>
        </w:rPr>
        <w:t>“</w:t>
      </w:r>
      <w:r>
        <w:rPr>
          <w:rFonts w:ascii="宋体" w:hAnsi="宋体"/>
          <w:sz w:val="24"/>
        </w:rPr>
        <w:t>废</w:t>
      </w:r>
      <w:r>
        <w:rPr>
          <w:rFonts w:ascii="宋体" w:hAnsi="宋体"/>
          <w:sz w:val="24"/>
        </w:rPr>
        <w:t>”</w:t>
      </w:r>
      <w:r>
        <w:rPr>
          <w:rFonts w:ascii="宋体" w:hAnsi="宋体"/>
          <w:sz w:val="24"/>
        </w:rPr>
        <w:t>等字样</w:t>
      </w:r>
      <w:r>
        <w:rPr>
          <w:rFonts w:ascii="宋体" w:hAnsi="宋体" w:hint="eastAsia"/>
          <w:sz w:val="24"/>
        </w:rPr>
        <w:t>并加盖预留印鉴及被授权人签章后传真给基金托管人，并电话通知基金托管人。</w:t>
      </w:r>
    </w:p>
    <w:p w:rsidR="00065659" w:rsidRDefault="00A43F61">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基金管理人发送错误指令的情形包括指令发送人员无权或超越权限发送指令，指令不能辨识或要素不全导致无法执行等情形。</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w:t>
      </w:r>
      <w:r>
        <w:rPr>
          <w:rFonts w:ascii="宋体" w:hAnsi="宋体" w:hint="eastAsia"/>
          <w:sz w:val="24"/>
        </w:rPr>
        <w:t>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（五）基金托管人依照法律法规暂缓、拒绝执行指令的情形和处理程序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w:t>
      </w:r>
      <w:r>
        <w:rPr>
          <w:rFonts w:ascii="宋体" w:hAnsi="宋体"/>
          <w:sz w:val="24"/>
        </w:rPr>
        <w:t>个工作日内纠正，</w:t>
      </w:r>
      <w:r>
        <w:rPr>
          <w:rFonts w:ascii="宋体" w:hAnsi="宋体"/>
          <w:sz w:val="24"/>
        </w:rPr>
        <w:t>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（六）基金托管人未按照基金管理人指令执行的处理方法</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对于基金管理人的有效指令和通知，除非违反法律法规、基金合同、托管协议或具有第（四）项所述错误</w:t>
      </w:r>
      <w:r>
        <w:rPr>
          <w:rFonts w:ascii="宋体" w:hAnsi="宋体"/>
          <w:sz w:val="24"/>
        </w:rPr>
        <w:t xml:space="preserve"> </w:t>
      </w:r>
      <w:r>
        <w:rPr>
          <w:rFonts w:ascii="宋体" w:hAnsi="宋体" w:hint="eastAsia"/>
          <w:sz w:val="24"/>
        </w:rPr>
        <w:t>，基金托管人不得无故拒绝或拖延执行，否则应就基金</w:t>
      </w:r>
      <w:r>
        <w:rPr>
          <w:rFonts w:ascii="宋体" w:hAnsi="宋体" w:hint="eastAsia"/>
          <w:sz w:val="24"/>
        </w:rPr>
        <w:t>或基金管理人由此产生的损失负赔偿责任。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（七）更换被授权人员的程序</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w:t>
      </w:r>
      <w:r>
        <w:rPr>
          <w:rFonts w:ascii="宋体" w:hAnsi="宋体" w:hint="eastAsia"/>
          <w:sz w:val="24"/>
        </w:rPr>
        <w:t>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w:t>
      </w:r>
      <w:r>
        <w:rPr>
          <w:rFonts w:ascii="宋体" w:hAnsi="宋体" w:hint="eastAsia"/>
          <w:sz w:val="24"/>
        </w:rPr>
        <w:t>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基金托管人根据本协议相关规定履行形式审核职责，如果基金管理人的指令存在事实上未经授权、欺诈、伪造或未能及时提供授权通知等情形，基金托管人不</w:t>
      </w:r>
      <w:r>
        <w:rPr>
          <w:rFonts w:ascii="宋体" w:hAnsi="宋体" w:hint="eastAsia"/>
          <w:sz w:val="24"/>
        </w:rPr>
        <w:lastRenderedPageBreak/>
        <w:t>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104"/>
    <w:p w:rsidR="00065659" w:rsidRDefault="00065659">
      <w:pPr>
        <w:spacing w:line="360" w:lineRule="auto"/>
        <w:ind w:firstLineChars="200" w:firstLine="480"/>
        <w:contextualSpacing/>
        <w:rPr>
          <w:rFonts w:ascii="宋体" w:hAnsi="宋体"/>
          <w:sz w:val="24"/>
        </w:rPr>
        <w:sectPr w:rsidR="00065659">
          <w:footerReference w:type="default" r:id="rId60"/>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06" w:name="_Toc384992697"/>
      <w:bookmarkStart w:id="107" w:name="_Toc86727358"/>
      <w:bookmarkStart w:id="108" w:name="_Toc86223245"/>
      <w:bookmarkStart w:id="109" w:name="_Toc84234437"/>
      <w:bookmarkStart w:id="110" w:name="_Toc86649725"/>
      <w:bookmarkStart w:id="111" w:name="_Toc84133788"/>
      <w:bookmarkStart w:id="112" w:name="_Toc118212953"/>
      <w:bookmarkStart w:id="113" w:name="_Toc108512361"/>
      <w:bookmarkStart w:id="114" w:name="_Toc86726442"/>
      <w:bookmarkStart w:id="115" w:name="_Toc110761799"/>
      <w:bookmarkStart w:id="116" w:name="_Toc86204791"/>
      <w:bookmarkStart w:id="117" w:name="_Toc84234390"/>
      <w:bookmarkStart w:id="118" w:name="_Toc118774806"/>
      <w:bookmarkStart w:id="119" w:name="_Toc86225294"/>
      <w:bookmarkStart w:id="120" w:name="_Toc89163371"/>
      <w:bookmarkStart w:id="121" w:name="_Toc348082035"/>
      <w:bookmarkStart w:id="122" w:name="_Toc110765663"/>
      <w:bookmarkStart w:id="123" w:name="_Toc120435786"/>
      <w:bookmarkStart w:id="124" w:name="_Toc3276854"/>
      <w:bookmarkStart w:id="125" w:name="_Toc110830495"/>
      <w:bookmarkStart w:id="126" w:name="_Toc118972651"/>
      <w:bookmarkStart w:id="127" w:name="_Toc119402713"/>
      <w:bookmarkStart w:id="128" w:name="_Toc86737932"/>
      <w:bookmarkStart w:id="129" w:name="CLAUSE_051bfcee3a0d41e3adef2ce664b42c36"/>
      <w:r>
        <w:rPr>
          <w:rFonts w:ascii="宋体" w:eastAsia="宋体" w:hAnsi="宋体"/>
        </w:rPr>
        <w:lastRenderedPageBreak/>
        <w:t xml:space="preserve"> </w:t>
      </w:r>
      <w:bookmarkStart w:id="130" w:name="CTS_051bfcee3a0d41e3adef2ce664b42c36"/>
      <w:bookmarkEnd w:id="130"/>
      <w:r>
        <w:rPr>
          <w:rFonts w:ascii="宋体" w:eastAsia="宋体" w:hAnsi="宋体" w:hint="eastAsia"/>
        </w:rPr>
        <w:t>交易及清算交收安排</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065659" w:rsidRDefault="00A43F61">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经营</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基金管理人负责选择代理本基金期货交易的期货经纪机构，并与其签订期货</w:t>
      </w:r>
      <w:r>
        <w:rPr>
          <w:rFonts w:ascii="宋体" w:hAnsi="宋体" w:hint="eastAsia"/>
          <w:sz w:val="24"/>
        </w:rPr>
        <w:t>经纪合同，其他事宜根据法律法规、《基金合同》的相关规定执行，若无明确规定的，可参照有关证券买卖、证券经纪机构选择的规则执行。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w:t>
      </w:r>
      <w:r>
        <w:rPr>
          <w:rFonts w:ascii="宋体" w:hAnsi="宋体" w:hint="eastAsia"/>
          <w:sz w:val="24"/>
        </w:rPr>
        <w:t>基金管理人所选择的期货公司负责办理委托资产的期货交易的清算交割。</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065659" w:rsidRDefault="00A43F61">
      <w:pPr>
        <w:spacing w:line="360" w:lineRule="auto"/>
        <w:ind w:firstLineChars="200" w:firstLine="480"/>
        <w:contextualSpacing/>
        <w:rPr>
          <w:rFonts w:ascii="宋体" w:hAnsi="宋体"/>
          <w:sz w:val="24"/>
        </w:rPr>
      </w:pPr>
      <w:r>
        <w:rPr>
          <w:rFonts w:ascii="宋体" w:hAnsi="宋体" w:hint="eastAsia"/>
          <w:sz w:val="24"/>
        </w:rPr>
        <w:t>正常情况下当日交易结算报告的发</w:t>
      </w:r>
      <w:r>
        <w:rPr>
          <w:rFonts w:ascii="宋体" w:hAnsi="宋体" w:hint="eastAsia"/>
          <w:sz w:val="24"/>
        </w:rPr>
        <w:t>送时间应在交易日当日的</w:t>
      </w:r>
      <w:r>
        <w:rPr>
          <w:rFonts w:ascii="宋体" w:hAnsi="宋体"/>
          <w:sz w:val="24"/>
        </w:rPr>
        <w:t>17</w:t>
      </w:r>
      <w:r>
        <w:rPr>
          <w:rFonts w:ascii="宋体" w:hAnsi="宋体"/>
          <w:sz w:val="24"/>
        </w:rPr>
        <w:t>：</w:t>
      </w:r>
      <w:r>
        <w:rPr>
          <w:rFonts w:ascii="宋体" w:hAnsi="宋体"/>
          <w:sz w:val="24"/>
        </w:rPr>
        <w:t>00</w:t>
      </w:r>
      <w:r>
        <w:rPr>
          <w:rFonts w:ascii="宋体" w:hAnsi="宋体"/>
          <w:sz w:val="24"/>
        </w:rPr>
        <w:t>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sz w:val="24"/>
        </w:rPr>
        <w:t>）</w:t>
      </w:r>
      <w:r>
        <w:rPr>
          <w:rFonts w:ascii="宋体" w:hAnsi="宋体" w:hint="eastAsia"/>
          <w:sz w:val="24"/>
        </w:rPr>
        <w:t>基金管理人应责成其选择的期货公司对发送的数据的准确性、完整性、真实性负责。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w:t>
      </w:r>
      <w:r>
        <w:rPr>
          <w:rFonts w:ascii="宋体" w:hAnsi="宋体" w:cs="Tahoma" w:hint="eastAsia"/>
          <w:color w:val="000000"/>
          <w:sz w:val="24"/>
        </w:rPr>
        <w:t>易资金结算业务中的责任。</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非交易</w:t>
      </w:r>
      <w:proofErr w:type="gramEnd"/>
      <w:r>
        <w:rPr>
          <w:rFonts w:ascii="宋体" w:hAnsi="宋体" w:cs="Tahoma" w:hint="eastAsia"/>
          <w:color w:val="000000"/>
          <w:sz w:val="24"/>
        </w:rPr>
        <w:t>涉及的证券资金结算业务，并承担由证券经纪机构原因造成的正常结算、交收业务无法完成的责任。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基金份额申购、赎回</w:t>
      </w:r>
      <w:r>
        <w:rPr>
          <w:rFonts w:ascii="宋体" w:hAnsi="宋体" w:hint="eastAsia"/>
          <w:sz w:val="24"/>
        </w:rPr>
        <w:t>、转换的确认、清算由基金管理人或其委托的登记机构负责。</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基金管理人应将每个开放日的申购、赎回、转换开放式基金的数</w:t>
      </w:r>
      <w:r>
        <w:rPr>
          <w:rFonts w:ascii="宋体" w:hAnsi="宋体"/>
          <w:sz w:val="24"/>
        </w:rPr>
        <w:t>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基金管理人应保证本基金（或本基金管理人委托）的</w:t>
      </w:r>
      <w:r>
        <w:rPr>
          <w:rFonts w:ascii="宋体" w:hAnsi="宋体" w:hint="eastAsia"/>
          <w:sz w:val="24"/>
        </w:rPr>
        <w:t>注册登记机构每个工作日</w:t>
      </w:r>
      <w:r>
        <w:rPr>
          <w:rFonts w:ascii="宋体" w:hAnsi="宋体"/>
          <w:sz w:val="24"/>
        </w:rPr>
        <w:t>15:00</w:t>
      </w:r>
      <w:r>
        <w:rPr>
          <w:rFonts w:ascii="宋体" w:hAnsi="宋体"/>
          <w:sz w:val="24"/>
        </w:rPr>
        <w:t>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rsidR="00065659" w:rsidRDefault="00A43F61">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w:t>
      </w:r>
      <w:r>
        <w:rPr>
          <w:rFonts w:ascii="宋体" w:hAnsi="宋体" w:hint="eastAsia"/>
          <w:sz w:val="24"/>
        </w:rPr>
        <w:t>发送的数据，双方各自按有关规定保存。</w:t>
      </w:r>
    </w:p>
    <w:p w:rsidR="00065659" w:rsidRDefault="00A43F61">
      <w:pPr>
        <w:spacing w:line="360" w:lineRule="auto"/>
        <w:ind w:firstLineChars="200" w:firstLine="480"/>
        <w:contextualSpacing/>
        <w:rPr>
          <w:rFonts w:ascii="宋体" w:hAnsi="宋体"/>
          <w:sz w:val="24"/>
        </w:rPr>
      </w:pPr>
      <w:r>
        <w:rPr>
          <w:rFonts w:ascii="宋体" w:hAnsi="宋体"/>
          <w:sz w:val="24"/>
        </w:rPr>
        <w:t>5.</w:t>
      </w:r>
      <w:r>
        <w:rPr>
          <w:rFonts w:ascii="宋体" w:hAnsi="宋体"/>
          <w:sz w:val="24"/>
        </w:rPr>
        <w:t>如基金管理人委托其他机构办理本基金的</w:t>
      </w:r>
      <w:r>
        <w:rPr>
          <w:rFonts w:ascii="宋体" w:hAnsi="宋体" w:hint="eastAsia"/>
          <w:sz w:val="24"/>
        </w:rPr>
        <w:t>注册登记业务，应保证上述相关事宜按时进行。否则，由基金管理人承担相应的责任。</w:t>
      </w:r>
    </w:p>
    <w:p w:rsidR="00065659" w:rsidRDefault="00A43F61">
      <w:pPr>
        <w:spacing w:line="360" w:lineRule="auto"/>
        <w:ind w:firstLineChars="200" w:firstLine="480"/>
        <w:contextualSpacing/>
        <w:rPr>
          <w:rFonts w:ascii="宋体" w:hAnsi="宋体"/>
          <w:sz w:val="24"/>
        </w:rPr>
      </w:pPr>
      <w:r>
        <w:rPr>
          <w:rFonts w:ascii="宋体" w:hAnsi="宋体"/>
          <w:sz w:val="24"/>
        </w:rPr>
        <w:t>6.</w:t>
      </w:r>
      <w:r>
        <w:rPr>
          <w:rFonts w:ascii="宋体" w:hAnsi="宋体"/>
          <w:sz w:val="24"/>
        </w:rPr>
        <w:t>关于清算专用账户的设立和管理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rsidR="00065659" w:rsidRDefault="00A43F61">
      <w:pPr>
        <w:spacing w:line="360" w:lineRule="auto"/>
        <w:ind w:firstLineChars="200" w:firstLine="480"/>
        <w:contextualSpacing/>
        <w:rPr>
          <w:rFonts w:ascii="宋体" w:hAnsi="宋体"/>
          <w:sz w:val="24"/>
        </w:rPr>
      </w:pPr>
      <w:r>
        <w:rPr>
          <w:rFonts w:ascii="宋体" w:hAnsi="宋体"/>
          <w:sz w:val="24"/>
        </w:rPr>
        <w:t>7.</w:t>
      </w:r>
      <w:r>
        <w:rPr>
          <w:rFonts w:ascii="宋体" w:hAnsi="宋体"/>
          <w:sz w:val="24"/>
        </w:rPr>
        <w:t>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w:t>
      </w:r>
      <w:r>
        <w:rPr>
          <w:rFonts w:ascii="宋体" w:hAnsi="宋体" w:hint="eastAsia"/>
          <w:sz w:val="24"/>
        </w:rPr>
        <w:t>人应负责向有关当事人追偿基金的损失。</w:t>
      </w:r>
    </w:p>
    <w:p w:rsidR="00065659" w:rsidRDefault="00A43F61">
      <w:pPr>
        <w:spacing w:line="360" w:lineRule="auto"/>
        <w:ind w:firstLineChars="200" w:firstLine="480"/>
        <w:contextualSpacing/>
        <w:rPr>
          <w:rFonts w:ascii="宋体" w:hAnsi="宋体"/>
          <w:sz w:val="24"/>
        </w:rPr>
      </w:pPr>
      <w:r>
        <w:rPr>
          <w:rFonts w:ascii="宋体" w:hAnsi="宋体"/>
          <w:sz w:val="24"/>
        </w:rPr>
        <w:t>8.</w:t>
      </w:r>
      <w:r>
        <w:rPr>
          <w:rFonts w:ascii="宋体" w:hAnsi="宋体"/>
          <w:sz w:val="24"/>
        </w:rPr>
        <w:t>赎回</w:t>
      </w:r>
      <w:r>
        <w:rPr>
          <w:rFonts w:ascii="宋体" w:hAnsi="宋体" w:hint="eastAsia"/>
          <w:sz w:val="24"/>
        </w:rPr>
        <w:t>、转换资金划付规定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065659" w:rsidRDefault="00A43F61">
      <w:pPr>
        <w:spacing w:line="360" w:lineRule="auto"/>
        <w:ind w:firstLineChars="200" w:firstLine="480"/>
        <w:contextualSpacing/>
        <w:rPr>
          <w:rFonts w:ascii="宋体" w:hAnsi="宋体"/>
          <w:sz w:val="24"/>
        </w:rPr>
      </w:pPr>
      <w:r>
        <w:rPr>
          <w:rFonts w:ascii="宋体" w:hAnsi="宋体"/>
          <w:sz w:val="24"/>
        </w:rPr>
        <w:t>9.</w:t>
      </w:r>
      <w:r>
        <w:rPr>
          <w:rFonts w:ascii="宋体" w:hAnsi="宋体"/>
          <w:sz w:val="24"/>
        </w:rPr>
        <w:t>资金指令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（四）资金净额结算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w:t>
      </w:r>
      <w:r>
        <w:rPr>
          <w:rFonts w:ascii="宋体" w:hAnsi="宋体" w:hint="eastAsia"/>
          <w:sz w:val="24"/>
        </w:rPr>
        <w:t>人提供的方式查询结果。</w:t>
      </w:r>
    </w:p>
    <w:p w:rsidR="00065659" w:rsidRDefault="00A43F61">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（五）基金现金分红</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基金管理人确定分红方案通知基金托管人，双方核定后依照《信息披露办法》的有关规定在中国证监会</w:t>
      </w:r>
      <w:r>
        <w:rPr>
          <w:rFonts w:ascii="宋体" w:hAnsi="宋体" w:hint="eastAsia"/>
          <w:sz w:val="24"/>
        </w:rPr>
        <w:t>规定媒介上公告。</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rsidR="00065659" w:rsidRDefault="00A43F61">
      <w:pPr>
        <w:spacing w:line="360" w:lineRule="auto"/>
        <w:ind w:firstLineChars="200" w:firstLine="480"/>
        <w:contextualSpacing/>
        <w:rPr>
          <w:rFonts w:ascii="宋体" w:hAnsi="宋体"/>
          <w:sz w:val="24"/>
        </w:rPr>
      </w:pPr>
      <w:r>
        <w:rPr>
          <w:rFonts w:ascii="宋体" w:hAnsi="宋体"/>
          <w:sz w:val="24"/>
        </w:rPr>
        <w:lastRenderedPageBreak/>
        <w:t>3.</w:t>
      </w:r>
      <w:r>
        <w:rPr>
          <w:rFonts w:ascii="宋体" w:hAnsi="宋体"/>
          <w:sz w:val="24"/>
        </w:rPr>
        <w:t>基金管理人在下达指令时，应给基金托管人留出必需的划款时间。</w:t>
      </w:r>
    </w:p>
    <w:p w:rsidR="00065659" w:rsidRDefault="00065659">
      <w:pPr>
        <w:spacing w:line="360" w:lineRule="auto"/>
        <w:ind w:firstLineChars="200" w:firstLine="480"/>
        <w:contextualSpacing/>
        <w:rPr>
          <w:rFonts w:ascii="宋体" w:hAnsi="宋体"/>
          <w:sz w:val="24"/>
        </w:rPr>
      </w:pPr>
    </w:p>
    <w:p w:rsidR="00065659" w:rsidRDefault="00065659">
      <w:pPr>
        <w:spacing w:line="360" w:lineRule="auto"/>
        <w:ind w:firstLineChars="200" w:firstLine="480"/>
        <w:contextualSpacing/>
        <w:rPr>
          <w:rFonts w:ascii="宋体" w:hAnsi="宋体"/>
          <w:sz w:val="24"/>
        </w:rPr>
      </w:pPr>
    </w:p>
    <w:bookmarkEnd w:id="129"/>
    <w:p w:rsidR="00065659" w:rsidRDefault="00065659">
      <w:pPr>
        <w:spacing w:line="360" w:lineRule="auto"/>
        <w:ind w:firstLineChars="200" w:firstLine="480"/>
        <w:contextualSpacing/>
        <w:rPr>
          <w:rFonts w:ascii="宋体" w:hAnsi="宋体"/>
          <w:sz w:val="24"/>
        </w:rPr>
        <w:sectPr w:rsidR="00065659">
          <w:footerReference w:type="default" r:id="rId61"/>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31" w:name="_Toc384992698"/>
      <w:bookmarkStart w:id="132" w:name="_Toc348082036"/>
      <w:bookmarkStart w:id="133" w:name="_Toc3276855"/>
      <w:bookmarkStart w:id="134" w:name="CLAUSE_91e51f2778d64c7db088a52e2454c65e"/>
      <w:r>
        <w:rPr>
          <w:rFonts w:ascii="宋体" w:eastAsia="宋体" w:hAnsi="宋体"/>
        </w:rPr>
        <w:lastRenderedPageBreak/>
        <w:t xml:space="preserve"> </w:t>
      </w:r>
      <w:bookmarkStart w:id="135" w:name="CTS_91e51f2778d64c7db088a52e2454c65e"/>
      <w:bookmarkEnd w:id="135"/>
      <w:r>
        <w:rPr>
          <w:rFonts w:ascii="宋体" w:eastAsia="宋体" w:hAnsi="宋体" w:hint="eastAsia"/>
        </w:rPr>
        <w:t>基金资产净值计算、估值和会计核算</w:t>
      </w:r>
      <w:bookmarkEnd w:id="131"/>
      <w:bookmarkEnd w:id="132"/>
      <w:bookmarkEnd w:id="133"/>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基金资产净值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基金份额净值是指</w:t>
      </w:r>
      <w:r>
        <w:rPr>
          <w:rFonts w:ascii="宋体" w:hAnsi="宋体" w:hint="eastAsia"/>
          <w:sz w:val="24"/>
        </w:rPr>
        <w:t>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元，小数点后第五位四舍五入。基金管理人可以设立大额赎回情形下的净值精度应急调整机制。国家另有规定的，从其规定。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复核程序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基金管理人每工作日对基金资产进行估值后，将基金净值信息发送基金托管人，经基金托管人复核无误后，由基金管理人对外公布。</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（二）基金资产的估值</w:t>
      </w:r>
    </w:p>
    <w:p w:rsidR="00065659" w:rsidRDefault="00A43F61">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（四）基金会计制度</w:t>
      </w:r>
    </w:p>
    <w:p w:rsidR="00065659" w:rsidRDefault="00A43F61">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（五）基金账</w:t>
      </w:r>
      <w:r>
        <w:rPr>
          <w:rFonts w:ascii="宋体" w:hAnsi="宋体" w:hint="eastAsia"/>
          <w:sz w:val="24"/>
        </w:rPr>
        <w:t>册的建立</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财务报表的编制</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rsidR="00065659" w:rsidRDefault="00A43F61">
      <w:pPr>
        <w:spacing w:line="360" w:lineRule="auto"/>
        <w:ind w:firstLineChars="200" w:firstLine="480"/>
        <w:contextualSpacing/>
        <w:rPr>
          <w:rFonts w:ascii="宋体" w:hAnsi="宋体"/>
          <w:sz w:val="24"/>
        </w:rPr>
      </w:pPr>
      <w:r>
        <w:rPr>
          <w:rFonts w:ascii="宋体" w:hAnsi="宋体"/>
          <w:sz w:val="24"/>
        </w:rPr>
        <w:lastRenderedPageBreak/>
        <w:t>2.</w:t>
      </w:r>
      <w:r>
        <w:rPr>
          <w:rFonts w:ascii="宋体" w:hAnsi="宋体"/>
          <w:sz w:val="24"/>
        </w:rPr>
        <w:t>报表复核</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财务报表的编制与复核时间安排</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w:t>
      </w:r>
      <w:r>
        <w:rPr>
          <w:rFonts w:ascii="宋体" w:hAnsi="宋体" w:hint="eastAsia"/>
          <w:sz w:val="24"/>
        </w:rPr>
        <w:t>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w:t>
      </w:r>
      <w:r>
        <w:rPr>
          <w:rFonts w:ascii="宋体" w:hAnsi="宋体" w:hint="eastAsia"/>
          <w:sz w:val="24"/>
        </w:rPr>
        <w:t>定报刊上。基金年度报告中的财务会计报告应当经过符合《中华人民共和国证券法》规定的会计师事务所审计。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w:t>
      </w:r>
      <w:r>
        <w:rPr>
          <w:rFonts w:ascii="宋体" w:hAnsi="宋体"/>
          <w:sz w:val="24"/>
        </w:rPr>
        <w:t>中期</w:t>
      </w:r>
      <w:r>
        <w:rPr>
          <w:rFonts w:ascii="宋体" w:hAnsi="宋体" w:hint="eastAsia"/>
          <w:sz w:val="24"/>
        </w:rPr>
        <w:t>报告或者年度报告。</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rsidR="00065659" w:rsidRDefault="00065659">
      <w:pPr>
        <w:spacing w:line="360" w:lineRule="auto"/>
        <w:ind w:firstLineChars="200" w:firstLine="480"/>
        <w:contextualSpacing/>
        <w:rPr>
          <w:rFonts w:ascii="宋体" w:hAnsi="宋体"/>
          <w:sz w:val="24"/>
        </w:rPr>
      </w:pPr>
    </w:p>
    <w:p w:rsidR="00065659" w:rsidRDefault="00065659">
      <w:pPr>
        <w:spacing w:line="360" w:lineRule="auto"/>
        <w:ind w:firstLineChars="200" w:firstLine="480"/>
        <w:contextualSpacing/>
        <w:rPr>
          <w:rFonts w:ascii="宋体" w:hAnsi="宋体"/>
          <w:sz w:val="24"/>
        </w:rPr>
      </w:pPr>
    </w:p>
    <w:bookmarkEnd w:id="134"/>
    <w:p w:rsidR="00065659" w:rsidRDefault="00065659">
      <w:pPr>
        <w:spacing w:line="360" w:lineRule="auto"/>
        <w:ind w:firstLineChars="200" w:firstLine="480"/>
        <w:contextualSpacing/>
        <w:rPr>
          <w:rFonts w:ascii="宋体" w:hAnsi="宋体"/>
          <w:sz w:val="24"/>
        </w:rPr>
        <w:sectPr w:rsidR="00065659">
          <w:footerReference w:type="default" r:id="rId62"/>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36" w:name="_Toc3276856"/>
      <w:bookmarkStart w:id="137" w:name="_Toc384992699"/>
      <w:bookmarkStart w:id="138" w:name="_Toc348082037"/>
      <w:bookmarkStart w:id="139" w:name="CLAUSE_e32c4de07a234c189729f8cf9261cf56"/>
      <w:r>
        <w:rPr>
          <w:rFonts w:ascii="宋体" w:eastAsia="宋体" w:hAnsi="宋体"/>
        </w:rPr>
        <w:lastRenderedPageBreak/>
        <w:t xml:space="preserve"> </w:t>
      </w:r>
      <w:bookmarkStart w:id="140" w:name="CTS_e32c4de07a234c189729f8cf9261cf56"/>
      <w:bookmarkEnd w:id="140"/>
      <w:r>
        <w:rPr>
          <w:rFonts w:ascii="宋体" w:eastAsia="宋体" w:hAnsi="宋体" w:hint="eastAsia"/>
        </w:rPr>
        <w:t>基金收益分配</w:t>
      </w:r>
      <w:bookmarkEnd w:id="136"/>
      <w:bookmarkEnd w:id="137"/>
      <w:bookmarkEnd w:id="138"/>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rsidR="00065659" w:rsidRDefault="00065659">
      <w:pPr>
        <w:spacing w:line="360" w:lineRule="auto"/>
        <w:ind w:firstLineChars="200" w:firstLine="480"/>
        <w:contextualSpacing/>
        <w:rPr>
          <w:rFonts w:ascii="宋体" w:hAnsi="宋体"/>
          <w:sz w:val="24"/>
        </w:rPr>
      </w:pPr>
    </w:p>
    <w:bookmarkEnd w:id="139"/>
    <w:p w:rsidR="00065659" w:rsidRDefault="00065659">
      <w:pPr>
        <w:spacing w:line="360" w:lineRule="auto"/>
        <w:ind w:firstLineChars="200" w:firstLine="480"/>
        <w:contextualSpacing/>
        <w:rPr>
          <w:rFonts w:ascii="宋体" w:hAnsi="宋体"/>
          <w:sz w:val="24"/>
        </w:rPr>
        <w:sectPr w:rsidR="00065659">
          <w:footerReference w:type="default" r:id="rId63"/>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41" w:name="_Toc3276857"/>
      <w:bookmarkStart w:id="142" w:name="_Toc348082038"/>
      <w:bookmarkStart w:id="143" w:name="_Toc384992700"/>
      <w:bookmarkStart w:id="144" w:name="CLAUSE_0db4b9e12cfe4efeacf7c3e563c7f79f"/>
      <w:r>
        <w:rPr>
          <w:rFonts w:ascii="宋体" w:eastAsia="宋体" w:hAnsi="宋体"/>
        </w:rPr>
        <w:lastRenderedPageBreak/>
        <w:t xml:space="preserve"> </w:t>
      </w:r>
      <w:bookmarkStart w:id="145" w:name="CTS_0db4b9e12cfe4efeacf7c3e563c7f79f"/>
      <w:bookmarkEnd w:id="145"/>
      <w:r>
        <w:rPr>
          <w:rFonts w:ascii="宋体" w:eastAsia="宋体" w:hAnsi="宋体" w:hint="eastAsia"/>
        </w:rPr>
        <w:t>基金信息披露</w:t>
      </w:r>
      <w:bookmarkEnd w:id="141"/>
      <w:bookmarkEnd w:id="142"/>
      <w:bookmarkEnd w:id="143"/>
    </w:p>
    <w:p w:rsidR="00065659" w:rsidRDefault="00A43F61">
      <w:pPr>
        <w:spacing w:line="360" w:lineRule="auto"/>
        <w:ind w:firstLineChars="200" w:firstLine="480"/>
        <w:contextualSpacing/>
        <w:rPr>
          <w:rFonts w:ascii="宋体" w:hAnsi="宋体"/>
          <w:sz w:val="24"/>
        </w:rPr>
      </w:pPr>
      <w:r>
        <w:rPr>
          <w:rFonts w:ascii="宋体" w:hAnsi="宋体" w:hint="eastAsia"/>
          <w:sz w:val="24"/>
        </w:rPr>
        <w:t>（一）保密义务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非因基金管理人和基金托管人的原因导致保密信息被披露、泄露或公开；</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基金管理人和基金托管人为遵守和服从法院判决或裁定、仲裁裁决或中国证监会等监管机构的命令、决定所做出的信息披露或公开。</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二）信息披露的内容</w:t>
      </w:r>
    </w:p>
    <w:p w:rsidR="00065659" w:rsidRDefault="00A43F61">
      <w:pPr>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w:t>
      </w:r>
      <w:r>
        <w:rPr>
          <w:rFonts w:ascii="宋体" w:hAnsi="宋体" w:cs="Arial" w:hint="eastAsia"/>
          <w:sz w:val="24"/>
        </w:rPr>
        <w:t>基金投资股指期货、国债期货的信息披露、基金投资资产支持证券的信息披露、基金参与融资业务的信息披露、基金投资证券公司短期公司债券的信息披露、投资流通受限证券信息披露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kern w:val="0"/>
          <w:sz w:val="24"/>
        </w:rPr>
        <w:t>基金参与股票期权交易的</w:t>
      </w:r>
      <w:r>
        <w:rPr>
          <w:rFonts w:ascii="宋体" w:hAnsi="宋体"/>
          <w:bCs/>
          <w:kern w:val="0"/>
          <w:sz w:val="24"/>
        </w:rPr>
        <w:t>信息披露</w:t>
      </w:r>
      <w:r>
        <w:rPr>
          <w:rFonts w:ascii="宋体" w:hAnsi="宋体" w:hint="eastAsia"/>
          <w:bCs/>
          <w:kern w:val="0"/>
          <w:sz w:val="24"/>
        </w:rPr>
        <w:t>、</w:t>
      </w:r>
      <w:r>
        <w:rPr>
          <w:rFonts w:ascii="宋体" w:hAnsi="宋体" w:hint="eastAsia"/>
          <w:sz w:val="24"/>
        </w:rPr>
        <w:t>基金参与</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及深港通股票）投资的信息披露、清算报告及中国证监会规定的其他信息。基金年度报告需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职责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w:t>
      </w:r>
      <w:r>
        <w:rPr>
          <w:rFonts w:ascii="宋体" w:hAnsi="宋体" w:hint="eastAsia"/>
          <w:sz w:val="24"/>
        </w:rPr>
        <w:t>管理人和基金托管人应积极配合、互相监督，保证其履行按照法定方式和</w:t>
      </w:r>
      <w:r>
        <w:rPr>
          <w:rFonts w:ascii="宋体" w:hAnsi="宋体" w:hint="eastAsia"/>
          <w:sz w:val="24"/>
        </w:rPr>
        <w:lastRenderedPageBreak/>
        <w:t>限时披露的义务。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基金管理人应当在中国证监会规定的时间内，将应予披露的基金信息通过中国证监会规定的媒介披露。根据法律法规应由基金托管人公开披露的信息，基金托管人在规定媒介公开披露。</w:t>
      </w:r>
    </w:p>
    <w:p w:rsidR="00065659" w:rsidRDefault="00A43F61">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rsidR="00065659" w:rsidRDefault="00A43F61">
      <w:pPr>
        <w:spacing w:line="360" w:lineRule="auto"/>
        <w:ind w:firstLineChars="200" w:firstLine="480"/>
        <w:contextualSpacing/>
        <w:rPr>
          <w:rFonts w:ascii="宋体" w:hAnsi="宋体" w:cs="Arial"/>
          <w:szCs w:val="21"/>
        </w:rPr>
      </w:pPr>
      <w:r>
        <w:rPr>
          <w:rFonts w:ascii="宋体" w:hAnsi="宋体"/>
          <w:sz w:val="24"/>
        </w:rPr>
        <w:t>(2)</w:t>
      </w:r>
      <w:r>
        <w:rPr>
          <w:rFonts w:ascii="宋体" w:hAnsi="宋体"/>
          <w:sz w:val="24"/>
        </w:rPr>
        <w:t>基金投资所涉及的证券</w:t>
      </w:r>
      <w:r>
        <w:rPr>
          <w:rFonts w:ascii="宋体" w:hAnsi="宋体" w:hint="eastAsia"/>
          <w:sz w:val="24"/>
        </w:rPr>
        <w:t>、期货交易市场或外汇市场遇法定节假日或因其他原因暂停营业时；</w:t>
      </w:r>
    </w:p>
    <w:p w:rsidR="00065659" w:rsidRDefault="00A43F61">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rPr>
        <w:t xml:space="preserve"> </w:t>
      </w:r>
      <w:r>
        <w:rPr>
          <w:rFonts w:ascii="宋体" w:hAnsi="宋体" w:hint="eastAsia"/>
          <w:sz w:val="24"/>
        </w:rPr>
        <w:t>基金合同约定的暂停估值的情形；</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hint="eastAsia"/>
          <w:sz w:val="24"/>
        </w:rPr>
        <w:t>法律法规、基金合同或中国证监会规定的情况。</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信息文本的存放</w:t>
      </w:r>
    </w:p>
    <w:p w:rsidR="00065659" w:rsidRDefault="00A43F61">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4"/>
    <w:p w:rsidR="00065659" w:rsidRDefault="00065659">
      <w:pPr>
        <w:pStyle w:val="a0"/>
        <w:spacing w:line="360" w:lineRule="auto"/>
        <w:ind w:firstLine="480"/>
        <w:contextualSpacing/>
        <w:rPr>
          <w:rFonts w:ascii="宋体" w:hAnsi="宋体"/>
          <w:sz w:val="24"/>
        </w:rPr>
        <w:sectPr w:rsidR="00065659">
          <w:footerReference w:type="default" r:id="rId64"/>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46" w:name="_Toc348082039"/>
      <w:bookmarkStart w:id="147" w:name="_Toc384992701"/>
      <w:bookmarkStart w:id="148" w:name="_Toc3276858"/>
      <w:bookmarkStart w:id="149" w:name="CLAUSE_f1999dfefdd042ebbbe1c40830c3d358"/>
      <w:r>
        <w:rPr>
          <w:rFonts w:ascii="宋体" w:eastAsia="宋体" w:hAnsi="宋体"/>
        </w:rPr>
        <w:lastRenderedPageBreak/>
        <w:t xml:space="preserve"> </w:t>
      </w:r>
      <w:bookmarkStart w:id="150" w:name="CTS_f1999dfefdd042ebbbe1c40830c3d358"/>
      <w:bookmarkEnd w:id="150"/>
      <w:r>
        <w:rPr>
          <w:rFonts w:ascii="宋体" w:eastAsia="宋体" w:hAnsi="宋体"/>
        </w:rPr>
        <w:t xml:space="preserve">  </w:t>
      </w:r>
      <w:r>
        <w:rPr>
          <w:rFonts w:ascii="宋体" w:eastAsia="宋体" w:hAnsi="宋体" w:hint="eastAsia"/>
        </w:rPr>
        <w:t>基金费用</w:t>
      </w:r>
      <w:bookmarkEnd w:id="146"/>
      <w:bookmarkEnd w:id="147"/>
      <w:bookmarkEnd w:id="148"/>
    </w:p>
    <w:bookmarkEnd w:id="149"/>
    <w:p w:rsidR="00065659" w:rsidRDefault="00A43F61">
      <w:pPr>
        <w:spacing w:line="360" w:lineRule="auto"/>
        <w:ind w:firstLineChars="200" w:firstLine="480"/>
        <w:rPr>
          <w:rFonts w:ascii="宋体" w:hAnsi="宋体"/>
          <w:sz w:val="24"/>
        </w:rPr>
      </w:pPr>
      <w:r>
        <w:rPr>
          <w:rFonts w:ascii="宋体" w:hAnsi="宋体" w:hint="eastAsia"/>
          <w:sz w:val="24"/>
        </w:rPr>
        <w:t>（一）基金管理人的管理费</w:t>
      </w:r>
    </w:p>
    <w:p w:rsidR="00065659" w:rsidRDefault="00A43F61">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065659" w:rsidRDefault="00A43F61">
      <w:pPr>
        <w:spacing w:line="360" w:lineRule="auto"/>
        <w:ind w:firstLineChars="200" w:firstLine="480"/>
        <w:rPr>
          <w:rFonts w:ascii="宋体" w:hAnsi="宋体"/>
          <w:bCs/>
          <w:sz w:val="24"/>
        </w:rPr>
      </w:pPr>
      <w:r>
        <w:rPr>
          <w:rFonts w:ascii="宋体" w:hAnsi="宋体"/>
          <w:bCs/>
          <w:sz w:val="24"/>
        </w:rPr>
        <w:t>H</w:t>
      </w:r>
      <w:r>
        <w:rPr>
          <w:rFonts w:ascii="宋体" w:hAnsi="宋体"/>
          <w:bCs/>
          <w:sz w:val="24"/>
        </w:rPr>
        <w:t>为每日应计提的基金管理费</w:t>
      </w:r>
    </w:p>
    <w:p w:rsidR="00065659" w:rsidRDefault="00A43F61">
      <w:pPr>
        <w:spacing w:line="360" w:lineRule="auto"/>
        <w:ind w:firstLineChars="200" w:firstLine="480"/>
        <w:rPr>
          <w:rFonts w:ascii="宋体" w:hAnsi="宋体"/>
          <w:bCs/>
          <w:sz w:val="24"/>
        </w:rPr>
      </w:pPr>
      <w:r>
        <w:rPr>
          <w:rFonts w:ascii="宋体" w:hAnsi="宋体"/>
          <w:bCs/>
          <w:sz w:val="24"/>
        </w:rPr>
        <w:t>E</w:t>
      </w:r>
      <w:r>
        <w:rPr>
          <w:rFonts w:ascii="宋体" w:hAnsi="宋体"/>
          <w:bCs/>
          <w:sz w:val="24"/>
        </w:rPr>
        <w:t>为前一日的基金资产净值</w:t>
      </w:r>
    </w:p>
    <w:p w:rsidR="00065659" w:rsidRDefault="00A43F61">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w:t>
      </w:r>
      <w:r>
        <w:rPr>
          <w:rFonts w:ascii="宋体" w:hAnsi="宋体" w:hint="eastAsia"/>
          <w:bCs/>
          <w:sz w:val="24"/>
        </w:rPr>
        <w:t>5</w:t>
      </w:r>
      <w:r>
        <w:rPr>
          <w:rFonts w:ascii="宋体" w:hAnsi="宋体" w:hint="eastAsia"/>
          <w:bCs/>
          <w:sz w:val="24"/>
        </w:rPr>
        <w:t>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065659" w:rsidRDefault="00A43F61">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rsidR="00065659" w:rsidRDefault="00A43F61">
      <w:pPr>
        <w:spacing w:line="360" w:lineRule="auto"/>
        <w:ind w:firstLineChars="200" w:firstLine="480"/>
        <w:rPr>
          <w:rFonts w:ascii="宋体" w:hAnsi="宋体"/>
          <w:sz w:val="24"/>
        </w:rPr>
      </w:pPr>
      <w:r>
        <w:rPr>
          <w:rFonts w:ascii="宋体" w:hAnsi="宋体"/>
          <w:bCs/>
          <w:sz w:val="24"/>
        </w:rPr>
        <w:t>本基金的托管费按前一日基金资产净值的</w:t>
      </w:r>
      <w:r>
        <w:rPr>
          <w:rFonts w:ascii="宋体" w:hAnsi="宋体"/>
          <w:bCs/>
          <w:sz w:val="24"/>
        </w:rPr>
        <w:t>0.25</w:t>
      </w:r>
      <w:r>
        <w:rPr>
          <w:rFonts w:ascii="宋体" w:hAnsi="宋体"/>
          <w:sz w:val="24"/>
        </w:rPr>
        <w:t>%</w:t>
      </w:r>
      <w:r>
        <w:rPr>
          <w:rFonts w:ascii="宋体" w:hAnsi="宋体" w:hint="eastAsia"/>
          <w:sz w:val="24"/>
        </w:rPr>
        <w:t>的年费率计提。托管费的计算方法如下：</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065659" w:rsidRDefault="00A43F61">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065659" w:rsidRDefault="00A43F61">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065659" w:rsidRDefault="00A43F61">
      <w:pPr>
        <w:spacing w:line="360" w:lineRule="auto"/>
        <w:ind w:firstLineChars="200" w:firstLine="480"/>
        <w:rPr>
          <w:rFonts w:ascii="宋体" w:hAnsi="宋体"/>
          <w:bCs/>
          <w:sz w:val="24"/>
        </w:rPr>
      </w:pPr>
      <w:r>
        <w:rPr>
          <w:rFonts w:ascii="宋体" w:hAnsi="宋体" w:hint="eastAsia"/>
          <w:bCs/>
          <w:sz w:val="24"/>
        </w:rPr>
        <w:t>（三）基金销售服务费</w:t>
      </w:r>
    </w:p>
    <w:p w:rsidR="00065659" w:rsidRDefault="00A43F61">
      <w:pPr>
        <w:spacing w:line="360" w:lineRule="auto"/>
        <w:ind w:firstLineChars="200" w:firstLine="480"/>
        <w:rPr>
          <w:rFonts w:ascii="宋体" w:hAnsi="宋体"/>
          <w:bCs/>
          <w:sz w:val="24"/>
        </w:rPr>
      </w:pPr>
      <w:r>
        <w:rPr>
          <w:rFonts w:ascii="宋体" w:hAnsi="宋体" w:hint="eastAsia"/>
          <w:bCs/>
          <w:sz w:val="24"/>
        </w:rPr>
        <w:t>本基金</w:t>
      </w:r>
      <w:r>
        <w:rPr>
          <w:rFonts w:ascii="宋体" w:hAnsi="宋体" w:hint="eastAsia"/>
          <w:bCs/>
          <w:sz w:val="24"/>
        </w:rPr>
        <w:t>A</w:t>
      </w:r>
      <w:r>
        <w:rPr>
          <w:rFonts w:ascii="宋体" w:hAnsi="宋体" w:hint="eastAsia"/>
          <w:bCs/>
          <w:sz w:val="24"/>
        </w:rPr>
        <w:t>类基金份额不收取销售服务费，</w:t>
      </w:r>
      <w:r>
        <w:rPr>
          <w:rFonts w:ascii="宋体" w:hAnsi="宋体" w:hint="eastAsia"/>
          <w:bCs/>
          <w:sz w:val="24"/>
        </w:rPr>
        <w:t>C</w:t>
      </w:r>
      <w:r>
        <w:rPr>
          <w:rFonts w:ascii="宋体" w:hAnsi="宋体" w:hint="eastAsia"/>
          <w:bCs/>
          <w:sz w:val="24"/>
        </w:rPr>
        <w:t>类基金份额的销售服务费年费率为</w:t>
      </w:r>
      <w:r>
        <w:rPr>
          <w:rFonts w:ascii="宋体" w:hAnsi="宋体" w:hint="eastAsia"/>
          <w:bCs/>
          <w:sz w:val="24"/>
        </w:rPr>
        <w:t>0.5%</w:t>
      </w:r>
      <w:r>
        <w:rPr>
          <w:rFonts w:ascii="宋体" w:hAnsi="宋体" w:hint="eastAsia"/>
          <w:bCs/>
          <w:sz w:val="24"/>
        </w:rPr>
        <w:t>。本基</w:t>
      </w:r>
      <w:r>
        <w:rPr>
          <w:rFonts w:ascii="宋体" w:hAnsi="宋体" w:hint="eastAsia"/>
          <w:bCs/>
          <w:sz w:val="24"/>
        </w:rPr>
        <w:t>金销售服务费将专门用于本基金的销售与基金份额持有人服务，基金管理人将在基金年度报告中对该项费用的列支情况作专项说明。销售服务费计提的计算公式如下：</w:t>
      </w:r>
    </w:p>
    <w:p w:rsidR="00065659" w:rsidRDefault="00A43F61">
      <w:pPr>
        <w:spacing w:line="360" w:lineRule="auto"/>
        <w:ind w:firstLineChars="200" w:firstLine="480"/>
        <w:rPr>
          <w:rFonts w:ascii="宋体" w:hAnsi="宋体"/>
          <w:bCs/>
          <w:sz w:val="24"/>
        </w:rPr>
      </w:pPr>
      <w:r>
        <w:rPr>
          <w:rFonts w:ascii="宋体" w:hAnsi="宋体" w:hint="eastAsia"/>
          <w:bCs/>
          <w:sz w:val="24"/>
        </w:rPr>
        <w:t>H=E</w:t>
      </w:r>
      <w:r>
        <w:rPr>
          <w:rFonts w:ascii="宋体" w:hAnsi="宋体" w:hint="eastAsia"/>
          <w:bCs/>
          <w:sz w:val="24"/>
        </w:rPr>
        <w:t>×</w:t>
      </w:r>
      <w:r>
        <w:rPr>
          <w:rFonts w:ascii="宋体" w:hAnsi="宋体" w:hint="eastAsia"/>
          <w:bCs/>
          <w:sz w:val="24"/>
        </w:rPr>
        <w:t>0.5%</w:t>
      </w:r>
      <w:r>
        <w:rPr>
          <w:rFonts w:ascii="宋体" w:hAnsi="宋体" w:hint="eastAsia"/>
          <w:bCs/>
          <w:sz w:val="24"/>
        </w:rPr>
        <w:t>÷当年天数</w:t>
      </w:r>
    </w:p>
    <w:p w:rsidR="00065659" w:rsidRDefault="00A43F61">
      <w:pPr>
        <w:spacing w:line="360" w:lineRule="auto"/>
        <w:ind w:firstLineChars="200"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hint="eastAsia"/>
          <w:bCs/>
          <w:sz w:val="24"/>
        </w:rPr>
        <w:t>C</w:t>
      </w:r>
      <w:r>
        <w:rPr>
          <w:rFonts w:ascii="宋体" w:hAnsi="宋体" w:hint="eastAsia"/>
          <w:bCs/>
          <w:sz w:val="24"/>
        </w:rPr>
        <w:t>类基金份额每日应计提的销售服务费</w:t>
      </w:r>
    </w:p>
    <w:p w:rsidR="00065659" w:rsidRDefault="00A43F61">
      <w:pPr>
        <w:spacing w:line="360" w:lineRule="auto"/>
        <w:ind w:firstLineChars="200" w:firstLine="480"/>
        <w:rPr>
          <w:rFonts w:ascii="宋体" w:hAnsi="宋体"/>
          <w:bCs/>
          <w:sz w:val="24"/>
        </w:rPr>
      </w:pPr>
      <w:r>
        <w:rPr>
          <w:rFonts w:ascii="宋体" w:hAnsi="宋体" w:hint="eastAsia"/>
          <w:bCs/>
          <w:sz w:val="24"/>
        </w:rPr>
        <w:lastRenderedPageBreak/>
        <w:t>E</w:t>
      </w:r>
      <w:r>
        <w:rPr>
          <w:rFonts w:ascii="宋体" w:hAnsi="宋体" w:hint="eastAsia"/>
          <w:bCs/>
          <w:sz w:val="24"/>
        </w:rPr>
        <w:t>为</w:t>
      </w:r>
      <w:r>
        <w:rPr>
          <w:rFonts w:ascii="宋体" w:hAnsi="宋体" w:hint="eastAsia"/>
          <w:bCs/>
          <w:sz w:val="24"/>
        </w:rPr>
        <w:t>C</w:t>
      </w:r>
      <w:r>
        <w:rPr>
          <w:rFonts w:ascii="宋体" w:hAnsi="宋体" w:hint="eastAsia"/>
          <w:bCs/>
          <w:sz w:val="24"/>
        </w:rPr>
        <w:t>类基金份额前一日的基金资产净值</w:t>
      </w:r>
    </w:p>
    <w:p w:rsidR="00065659" w:rsidRDefault="00A43F61">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w:t>
      </w:r>
      <w:r>
        <w:rPr>
          <w:rFonts w:ascii="宋体" w:hAnsi="宋体" w:hint="eastAsia"/>
          <w:bCs/>
          <w:sz w:val="24"/>
        </w:rPr>
        <w:t>5</w:t>
      </w:r>
      <w:r>
        <w:rPr>
          <w:rFonts w:ascii="宋体" w:hAnsi="宋体" w:hint="eastAsia"/>
          <w:bCs/>
          <w:sz w:val="24"/>
        </w:rPr>
        <w:t>个工作日内从基金财产中一次性支付。若遇法定节假日、公休假等，支付日期顺延。</w:t>
      </w:r>
    </w:p>
    <w:p w:rsidR="00065659" w:rsidRDefault="00A43F61">
      <w:pPr>
        <w:spacing w:line="360" w:lineRule="auto"/>
        <w:ind w:firstLineChars="200" w:firstLine="480"/>
        <w:contextualSpacing/>
        <w:rPr>
          <w:rFonts w:ascii="宋体" w:hAnsi="宋体"/>
          <w:color w:val="000000"/>
          <w:sz w:val="24"/>
        </w:rPr>
        <w:sectPr w:rsidR="00065659">
          <w:footerReference w:type="default" r:id="rId65"/>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51" w:name="_Toc384992702"/>
      <w:bookmarkStart w:id="152" w:name="_Toc348082040"/>
      <w:bookmarkStart w:id="153" w:name="_Toc3276859"/>
      <w:bookmarkStart w:id="154" w:name="CLAUSE_0422aebe02654a45964d03ac7f42cc7b"/>
      <w:r>
        <w:rPr>
          <w:rFonts w:ascii="宋体" w:eastAsia="宋体" w:hAnsi="宋体"/>
        </w:rPr>
        <w:lastRenderedPageBreak/>
        <w:t xml:space="preserve"> </w:t>
      </w:r>
      <w:bookmarkStart w:id="155" w:name="CTS_0422aebe02654a45964d03ac7f42cc7b"/>
      <w:bookmarkEnd w:id="155"/>
      <w:r>
        <w:rPr>
          <w:rFonts w:ascii="宋体" w:eastAsia="宋体" w:hAnsi="宋体"/>
        </w:rPr>
        <w:t xml:space="preserve">   </w:t>
      </w:r>
      <w:r>
        <w:rPr>
          <w:rFonts w:ascii="宋体" w:eastAsia="宋体" w:hAnsi="宋体" w:hint="eastAsia"/>
        </w:rPr>
        <w:t>基金份额持有人名册的保管</w:t>
      </w:r>
      <w:bookmarkEnd w:id="151"/>
      <w:bookmarkEnd w:id="152"/>
      <w:bookmarkEnd w:id="153"/>
    </w:p>
    <w:p w:rsidR="00065659" w:rsidRDefault="00A43F61">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4"/>
    <w:p w:rsidR="00065659" w:rsidRDefault="00065659">
      <w:pPr>
        <w:spacing w:line="360" w:lineRule="auto"/>
        <w:ind w:firstLineChars="200" w:firstLine="480"/>
        <w:contextualSpacing/>
        <w:rPr>
          <w:rFonts w:ascii="宋体" w:hAnsi="宋体"/>
          <w:sz w:val="24"/>
        </w:rPr>
        <w:sectPr w:rsidR="00065659">
          <w:footerReference w:type="default" r:id="rId66"/>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56" w:name="_Toc348082041"/>
      <w:bookmarkStart w:id="157" w:name="_Toc3276860"/>
      <w:bookmarkStart w:id="158" w:name="_Toc384992703"/>
      <w:bookmarkStart w:id="159" w:name="CLAUSE_b85fcc6f0af54c569bb6bed1ba0fe2a0"/>
      <w:r>
        <w:rPr>
          <w:rFonts w:ascii="宋体" w:eastAsia="宋体" w:hAnsi="宋体"/>
        </w:rPr>
        <w:lastRenderedPageBreak/>
        <w:t xml:space="preserve"> </w:t>
      </w:r>
      <w:bookmarkStart w:id="160" w:name="CTS_b85fcc6f0af54c569bb6bed1ba0fe2a0"/>
      <w:bookmarkEnd w:id="160"/>
      <w:r>
        <w:rPr>
          <w:rFonts w:ascii="宋体" w:eastAsia="宋体" w:hAnsi="宋体"/>
        </w:rPr>
        <w:t xml:space="preserve">   </w:t>
      </w:r>
      <w:r>
        <w:rPr>
          <w:rFonts w:ascii="宋体" w:eastAsia="宋体" w:hAnsi="宋体" w:hint="eastAsia"/>
        </w:rPr>
        <w:t>基金有关文件档案的保存</w:t>
      </w:r>
      <w:bookmarkEnd w:id="156"/>
      <w:bookmarkEnd w:id="157"/>
      <w:bookmarkEnd w:id="158"/>
    </w:p>
    <w:p w:rsidR="00065659" w:rsidRDefault="00A43F61">
      <w:pPr>
        <w:spacing w:line="360" w:lineRule="auto"/>
        <w:ind w:firstLineChars="200" w:firstLine="480"/>
        <w:contextualSpacing/>
        <w:rPr>
          <w:rFonts w:ascii="宋体" w:hAnsi="宋体"/>
          <w:sz w:val="24"/>
        </w:rPr>
      </w:pPr>
      <w:r>
        <w:rPr>
          <w:rFonts w:ascii="宋体" w:hAnsi="宋体" w:hint="eastAsia"/>
          <w:sz w:val="24"/>
        </w:rPr>
        <w:t>（一）档案保存</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w:t>
      </w:r>
      <w:r>
        <w:rPr>
          <w:rFonts w:ascii="宋体" w:hAnsi="宋体" w:hint="eastAsia"/>
          <w:sz w:val="24"/>
        </w:rPr>
        <w:t>人和基金托管人都应当按规定的期限保管。</w:t>
      </w:r>
      <w:bookmarkStart w:id="161" w:name="_Hlk82531222"/>
      <w:r>
        <w:rPr>
          <w:rFonts w:ascii="宋体" w:hAnsi="宋体" w:hint="eastAsia"/>
          <w:sz w:val="24"/>
        </w:rPr>
        <w:t>保存期限不低于法律法规规定的最低期限</w:t>
      </w:r>
      <w:bookmarkEnd w:id="161"/>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（二）合同档案的建立</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基金管理人签署重大合同文本后，应及时将合同文本正本送达基金托管人处。</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基金管理人应及时将与本基金账务处理、资金划拨等有关的合同、协议传真</w:t>
      </w:r>
      <w:r>
        <w:rPr>
          <w:rFonts w:ascii="宋体" w:hAnsi="宋体" w:hint="eastAsia"/>
          <w:sz w:val="24"/>
        </w:rPr>
        <w:t>或通过双方认可的其他方式发送至基金托管人。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（三）变更与协助</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w:t>
      </w:r>
      <w:r>
        <w:rPr>
          <w:rFonts w:ascii="宋体" w:hAnsi="宋体"/>
          <w:sz w:val="24"/>
        </w:rPr>
        <w:t>基金托管人发生变更，未变更的一方有义务协助变更后的接任人接收相应文件。</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w:t>
      </w:r>
      <w:r>
        <w:rPr>
          <w:rFonts w:ascii="宋体" w:hAnsi="宋体" w:hint="eastAsia"/>
          <w:sz w:val="24"/>
        </w:rPr>
        <w:t>低于法律法规规定的最低年限。</w:t>
      </w:r>
    </w:p>
    <w:p w:rsidR="00065659" w:rsidRDefault="00065659">
      <w:pPr>
        <w:spacing w:line="360" w:lineRule="auto"/>
        <w:ind w:firstLineChars="200" w:firstLine="480"/>
        <w:contextualSpacing/>
        <w:rPr>
          <w:rFonts w:ascii="宋体" w:hAnsi="宋体"/>
          <w:sz w:val="24"/>
        </w:rPr>
      </w:pPr>
    </w:p>
    <w:bookmarkEnd w:id="159"/>
    <w:p w:rsidR="00065659" w:rsidRDefault="00065659">
      <w:pPr>
        <w:spacing w:line="360" w:lineRule="auto"/>
        <w:ind w:firstLineChars="200" w:firstLine="480"/>
        <w:contextualSpacing/>
        <w:rPr>
          <w:rFonts w:ascii="宋体" w:hAnsi="宋体"/>
          <w:sz w:val="24"/>
        </w:rPr>
        <w:sectPr w:rsidR="00065659">
          <w:footerReference w:type="default" r:id="rId67"/>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62" w:name="_Toc3276861"/>
      <w:bookmarkStart w:id="163" w:name="_Toc348082042"/>
      <w:bookmarkStart w:id="164" w:name="_Toc384992704"/>
      <w:bookmarkStart w:id="165" w:name="CLAUSE_1c80864023b14515872c5ea4e90d1d45"/>
      <w:r>
        <w:rPr>
          <w:rFonts w:ascii="宋体" w:eastAsia="宋体" w:hAnsi="宋体"/>
        </w:rPr>
        <w:lastRenderedPageBreak/>
        <w:t xml:space="preserve"> </w:t>
      </w:r>
      <w:bookmarkStart w:id="166" w:name="CTS_1c80864023b14515872c5ea4e90d1d45"/>
      <w:bookmarkEnd w:id="166"/>
      <w:r>
        <w:rPr>
          <w:rFonts w:ascii="宋体" w:eastAsia="宋体" w:hAnsi="宋体"/>
        </w:rPr>
        <w:t xml:space="preserve">   </w:t>
      </w:r>
      <w:r>
        <w:rPr>
          <w:rFonts w:ascii="宋体" w:eastAsia="宋体" w:hAnsi="宋体" w:hint="eastAsia"/>
        </w:rPr>
        <w:t>基金管理人和基金托管人的更换</w:t>
      </w:r>
      <w:bookmarkEnd w:id="162"/>
      <w:bookmarkEnd w:id="163"/>
      <w:bookmarkEnd w:id="164"/>
    </w:p>
    <w:p w:rsidR="00065659" w:rsidRDefault="00A43F61">
      <w:pPr>
        <w:spacing w:line="360" w:lineRule="auto"/>
        <w:ind w:firstLineChars="200" w:firstLine="480"/>
        <w:contextualSpacing/>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065659" w:rsidRDefault="00A43F61">
      <w:pPr>
        <w:spacing w:line="360" w:lineRule="auto"/>
        <w:ind w:firstLineChars="200" w:firstLine="480"/>
        <w:contextualSpacing/>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rsidR="00065659" w:rsidRDefault="00065659">
      <w:pPr>
        <w:spacing w:line="360" w:lineRule="auto"/>
        <w:ind w:firstLineChars="200" w:firstLine="480"/>
        <w:contextualSpacing/>
        <w:rPr>
          <w:rFonts w:ascii="宋体" w:hAnsi="宋体"/>
          <w:sz w:val="24"/>
        </w:rPr>
      </w:pPr>
    </w:p>
    <w:bookmarkEnd w:id="165"/>
    <w:p w:rsidR="00065659" w:rsidRDefault="00065659">
      <w:pPr>
        <w:spacing w:line="360" w:lineRule="auto"/>
        <w:ind w:firstLineChars="200" w:firstLine="480"/>
        <w:contextualSpacing/>
        <w:rPr>
          <w:rFonts w:ascii="宋体" w:hAnsi="宋体"/>
          <w:sz w:val="24"/>
        </w:rPr>
        <w:sectPr w:rsidR="00065659">
          <w:footerReference w:type="default" r:id="rId68"/>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67" w:name="_Toc3276862"/>
      <w:bookmarkStart w:id="168" w:name="_Toc348082043"/>
      <w:bookmarkStart w:id="169" w:name="_Toc384992705"/>
      <w:bookmarkStart w:id="170" w:name="CLAUSE_08a667822ab64fa99425ccc1e6235624"/>
      <w:r>
        <w:rPr>
          <w:rFonts w:ascii="宋体" w:eastAsia="宋体" w:hAnsi="宋体"/>
        </w:rPr>
        <w:lastRenderedPageBreak/>
        <w:t xml:space="preserve"> </w:t>
      </w:r>
      <w:bookmarkStart w:id="171" w:name="CTS_08a667822ab64fa99425ccc1e6235624"/>
      <w:bookmarkEnd w:id="171"/>
      <w:r>
        <w:rPr>
          <w:rFonts w:ascii="宋体" w:eastAsia="宋体" w:hAnsi="宋体"/>
        </w:rPr>
        <w:t xml:space="preserve">   </w:t>
      </w:r>
      <w:r>
        <w:rPr>
          <w:rFonts w:ascii="宋体" w:eastAsia="宋体" w:hAnsi="宋体" w:hint="eastAsia"/>
        </w:rPr>
        <w:t>禁止行为</w:t>
      </w:r>
      <w:bookmarkEnd w:id="167"/>
      <w:bookmarkEnd w:id="168"/>
      <w:bookmarkEnd w:id="169"/>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rsidR="00065659" w:rsidRDefault="00A43F61">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w:t>
      </w:r>
      <w:r>
        <w:rPr>
          <w:rFonts w:ascii="宋体" w:eastAsia="宋体" w:hAnsi="宋体" w:hint="eastAsia"/>
        </w:rPr>
        <w:t>指令，或违规向基金托管人发出指令。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rsidR="00065659" w:rsidRDefault="00A43F61">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70"/>
    <w:p w:rsidR="00065659" w:rsidRDefault="00065659">
      <w:pPr>
        <w:spacing w:line="360" w:lineRule="auto"/>
        <w:ind w:firstLineChars="200" w:firstLine="480"/>
        <w:contextualSpacing/>
        <w:rPr>
          <w:rFonts w:ascii="宋体" w:hAnsi="宋体"/>
          <w:sz w:val="24"/>
        </w:rPr>
        <w:sectPr w:rsidR="00065659">
          <w:footerReference w:type="default" r:id="rId69"/>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72" w:name="_Toc384992706"/>
      <w:bookmarkStart w:id="173" w:name="_Toc348082044"/>
      <w:bookmarkStart w:id="174" w:name="_Toc3276863"/>
      <w:bookmarkStart w:id="175" w:name="CLAUSE_caf10f8a7dd84769a7415b028c909c41"/>
      <w:r>
        <w:rPr>
          <w:rFonts w:ascii="宋体" w:eastAsia="宋体" w:hAnsi="宋体"/>
        </w:rPr>
        <w:lastRenderedPageBreak/>
        <w:t xml:space="preserve"> </w:t>
      </w:r>
      <w:bookmarkStart w:id="176" w:name="CTS_caf10f8a7dd84769a7415b028c909c41"/>
      <w:bookmarkEnd w:id="176"/>
      <w:r>
        <w:rPr>
          <w:rFonts w:ascii="宋体" w:eastAsia="宋体" w:hAnsi="宋体"/>
        </w:rPr>
        <w:t xml:space="preserve">   </w:t>
      </w:r>
      <w:r>
        <w:rPr>
          <w:rFonts w:ascii="宋体" w:eastAsia="宋体" w:hAnsi="宋体" w:hint="eastAsia"/>
        </w:rPr>
        <w:t>托管协议的变更、终止与基金财产的清算</w:t>
      </w:r>
      <w:bookmarkEnd w:id="172"/>
      <w:bookmarkEnd w:id="173"/>
      <w:bookmarkEnd w:id="174"/>
    </w:p>
    <w:p w:rsidR="00065659" w:rsidRDefault="00A43F61">
      <w:pPr>
        <w:spacing w:line="360" w:lineRule="auto"/>
        <w:ind w:firstLineChars="200" w:firstLine="480"/>
        <w:contextualSpacing/>
        <w:rPr>
          <w:rFonts w:ascii="宋体" w:hAnsi="宋体"/>
          <w:sz w:val="24"/>
        </w:rPr>
      </w:pPr>
      <w:r>
        <w:rPr>
          <w:rFonts w:ascii="宋体" w:hAnsi="宋体" w:hint="eastAsia"/>
          <w:sz w:val="24"/>
        </w:rPr>
        <w:t>（一）托管协议的变更程序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（二）基金托管协议终止的情形</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《基金合同》终止；</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基金托管人因解散、破产、撤销等事由，不能继续担任基金托管人的职务，而在</w:t>
      </w:r>
      <w:r>
        <w:rPr>
          <w:rFonts w:ascii="宋体" w:hAnsi="宋体"/>
          <w:sz w:val="24"/>
        </w:rPr>
        <w:t>6</w:t>
      </w:r>
      <w:r>
        <w:rPr>
          <w:rFonts w:ascii="宋体" w:hAnsi="宋体"/>
          <w:sz w:val="24"/>
        </w:rPr>
        <w:t>个月内无其他适当的托管机构承接其原有权利义务；</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基金管理人因解散、破产、撤销等事由，不能继续担任基金管理人的职务，而在</w:t>
      </w:r>
      <w:r>
        <w:rPr>
          <w:rFonts w:ascii="宋体" w:hAnsi="宋体"/>
          <w:sz w:val="24"/>
        </w:rPr>
        <w:t>6</w:t>
      </w:r>
      <w:r>
        <w:rPr>
          <w:rFonts w:ascii="宋体" w:hAnsi="宋体"/>
          <w:sz w:val="24"/>
        </w:rPr>
        <w:t>个月内无其他适当的基金管理公司承接其原有权利义务；</w:t>
      </w:r>
    </w:p>
    <w:p w:rsidR="00065659" w:rsidRDefault="00A43F61">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发生法律法规</w:t>
      </w:r>
      <w:r>
        <w:rPr>
          <w:rFonts w:ascii="宋体" w:hAnsi="宋体" w:hint="eastAsia"/>
          <w:sz w:val="24"/>
        </w:rPr>
        <w:t>、中国证监会</w:t>
      </w:r>
      <w:r>
        <w:rPr>
          <w:rFonts w:ascii="宋体" w:hAnsi="宋体"/>
          <w:sz w:val="24"/>
        </w:rPr>
        <w:t>或《基金合同》规定的</w:t>
      </w:r>
      <w:r>
        <w:rPr>
          <w:rFonts w:ascii="宋体" w:hAnsi="宋体" w:hint="eastAsia"/>
          <w:sz w:val="24"/>
        </w:rPr>
        <w:t>其他终止事项。</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（三）基金财产的清算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基金管理人与基金托管人按照《基金合同》的约定处理基金财产的清算。</w:t>
      </w:r>
    </w:p>
    <w:p w:rsidR="00065659" w:rsidRDefault="00065659">
      <w:pPr>
        <w:spacing w:line="360" w:lineRule="auto"/>
        <w:ind w:firstLineChars="200" w:firstLine="480"/>
        <w:contextualSpacing/>
        <w:rPr>
          <w:rFonts w:ascii="宋体" w:hAnsi="宋体"/>
          <w:sz w:val="24"/>
        </w:rPr>
      </w:pPr>
    </w:p>
    <w:bookmarkEnd w:id="175"/>
    <w:p w:rsidR="00065659" w:rsidRDefault="00065659">
      <w:pPr>
        <w:spacing w:line="360" w:lineRule="auto"/>
        <w:ind w:firstLineChars="200" w:firstLine="480"/>
        <w:contextualSpacing/>
        <w:rPr>
          <w:rFonts w:ascii="宋体" w:hAnsi="宋体"/>
          <w:sz w:val="24"/>
        </w:rPr>
        <w:sectPr w:rsidR="00065659">
          <w:footerReference w:type="default" r:id="rId70"/>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rPr>
          <w:rFonts w:ascii="宋体" w:eastAsia="宋体" w:hAnsi="宋体"/>
        </w:rPr>
      </w:pPr>
      <w:bookmarkStart w:id="177" w:name="_Toc3276864"/>
      <w:bookmarkStart w:id="178" w:name="_Toc348082045"/>
      <w:bookmarkStart w:id="179" w:name="_Toc384992707"/>
      <w:bookmarkStart w:id="180" w:name="CLAUSE_a4421962ac9445af887fcc890c50a95e"/>
      <w:r>
        <w:rPr>
          <w:rFonts w:ascii="宋体" w:eastAsia="宋体" w:hAnsi="宋体"/>
        </w:rPr>
        <w:lastRenderedPageBreak/>
        <w:t xml:space="preserve"> </w:t>
      </w:r>
      <w:bookmarkStart w:id="181" w:name="CTS_a4421962ac9445af887fcc890c50a95e"/>
      <w:bookmarkEnd w:id="181"/>
      <w:r>
        <w:rPr>
          <w:rFonts w:ascii="宋体" w:eastAsia="宋体" w:hAnsi="宋体"/>
        </w:rPr>
        <w:t xml:space="preserve">  </w:t>
      </w:r>
      <w:r>
        <w:rPr>
          <w:rFonts w:ascii="宋体" w:eastAsia="宋体" w:hAnsi="宋体" w:hint="eastAsia"/>
        </w:rPr>
        <w:t>违约责任</w:t>
      </w:r>
      <w:bookmarkEnd w:id="177"/>
      <w:bookmarkEnd w:id="178"/>
      <w:bookmarkEnd w:id="179"/>
    </w:p>
    <w:p w:rsidR="00065659" w:rsidRDefault="00A43F61">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约定，给基金财产或者基金份额持有人造成损害的，应当分别对各自的行为依法承担赔偿责任；因共同行为给基金财产或者基金份额持有人造成损害的，应当</w:t>
      </w:r>
      <w:r>
        <w:rPr>
          <w:rFonts w:ascii="宋体" w:hAnsi="宋体" w:hint="eastAsia"/>
          <w:sz w:val="24"/>
        </w:rPr>
        <w:t>根据各自的过错程度对由此造成的直接损失分别承担相应的</w:t>
      </w:r>
      <w:r>
        <w:rPr>
          <w:rFonts w:ascii="宋体" w:hAnsi="宋体"/>
          <w:sz w:val="24"/>
        </w:rPr>
        <w:t>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w:t>
      </w:r>
      <w:r>
        <w:rPr>
          <w:rFonts w:ascii="宋体" w:hAnsi="宋体" w:hint="eastAsia"/>
          <w:sz w:val="24"/>
        </w:rPr>
        <w:t>/</w:t>
      </w:r>
      <w:r>
        <w:rPr>
          <w:rFonts w:ascii="宋体" w:hAnsi="宋体" w:hint="eastAsia"/>
          <w:sz w:val="24"/>
        </w:rPr>
        <w:t>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065659" w:rsidRDefault="00A43F61">
      <w:pPr>
        <w:spacing w:line="360" w:lineRule="auto"/>
        <w:ind w:firstLineChars="200" w:firstLine="480"/>
        <w:contextualSpacing/>
        <w:rPr>
          <w:rFonts w:ascii="宋体" w:hAnsi="宋体"/>
          <w:sz w:val="24"/>
        </w:rPr>
        <w:sectPr w:rsidR="00065659">
          <w:footerReference w:type="default" r:id="rId71"/>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w:t>
      </w:r>
      <w:r>
        <w:rPr>
          <w:rFonts w:ascii="宋体" w:hAnsi="宋体" w:hint="eastAsia"/>
          <w:sz w:val="24"/>
        </w:rPr>
        <w:t>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65659" w:rsidRDefault="00065659">
      <w:pPr>
        <w:spacing w:line="360" w:lineRule="auto"/>
        <w:ind w:firstLineChars="200" w:firstLine="480"/>
        <w:contextualSpacing/>
        <w:rPr>
          <w:rFonts w:ascii="宋体" w:hAnsi="宋体"/>
          <w:sz w:val="24"/>
        </w:rPr>
      </w:pPr>
    </w:p>
    <w:p w:rsidR="00065659" w:rsidRDefault="00A43F61">
      <w:pPr>
        <w:pStyle w:val="ac"/>
        <w:numPr>
          <w:ilvl w:val="0"/>
          <w:numId w:val="2"/>
        </w:numPr>
        <w:spacing w:before="100" w:beforeAutospacing="1" w:after="100" w:afterAutospacing="1"/>
        <w:ind w:left="0" w:firstLine="0"/>
        <w:rPr>
          <w:rFonts w:ascii="宋体" w:eastAsia="宋体" w:hAnsi="宋体"/>
        </w:rPr>
      </w:pPr>
      <w:r>
        <w:rPr>
          <w:rFonts w:ascii="宋体" w:eastAsia="宋体" w:hAnsi="宋体" w:cs="Arial"/>
          <w:szCs w:val="21"/>
        </w:rPr>
        <w:br w:type="page"/>
      </w:r>
      <w:bookmarkStart w:id="182" w:name="_Toc348082046"/>
      <w:bookmarkStart w:id="183" w:name="_Toc384992708"/>
      <w:bookmarkStart w:id="184" w:name="_Toc3276865"/>
      <w:r>
        <w:rPr>
          <w:rFonts w:ascii="宋体" w:eastAsia="宋体" w:hAnsi="宋体"/>
        </w:rPr>
        <w:lastRenderedPageBreak/>
        <w:t xml:space="preserve">   </w:t>
      </w:r>
      <w:r>
        <w:rPr>
          <w:rFonts w:ascii="宋体" w:eastAsia="宋体" w:hAnsi="宋体" w:hint="eastAsia"/>
        </w:rPr>
        <w:t>争议解决方式</w:t>
      </w:r>
      <w:bookmarkEnd w:id="182"/>
      <w:bookmarkEnd w:id="183"/>
      <w:bookmarkEnd w:id="184"/>
    </w:p>
    <w:p w:rsidR="00065659" w:rsidRDefault="00A43F61">
      <w:pPr>
        <w:spacing w:line="360" w:lineRule="auto"/>
        <w:ind w:firstLineChars="200" w:firstLine="480"/>
        <w:contextualSpacing/>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深圳国际仲裁院，按照其届时有效的仲裁规则进行仲裁。仲裁地点为深圳市。仲裁裁决是终局的，对双方当事人均有约束力。除非仲裁裁决另有决</w:t>
      </w:r>
      <w:r>
        <w:rPr>
          <w:rFonts w:ascii="宋体" w:hAnsi="宋体" w:hint="eastAsia"/>
          <w:sz w:val="24"/>
        </w:rPr>
        <w:t>定，仲裁费用由败诉方承担。</w:t>
      </w:r>
    </w:p>
    <w:p w:rsidR="00065659" w:rsidRDefault="00A43F61">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w:t>
      </w:r>
    </w:p>
    <w:p w:rsidR="00065659" w:rsidRDefault="00065659">
      <w:pPr>
        <w:spacing w:line="360" w:lineRule="auto"/>
        <w:ind w:firstLineChars="200" w:firstLine="480"/>
        <w:contextualSpacing/>
        <w:rPr>
          <w:rFonts w:ascii="宋体" w:hAnsi="宋体"/>
          <w:sz w:val="24"/>
        </w:rPr>
      </w:pPr>
    </w:p>
    <w:bookmarkEnd w:id="180"/>
    <w:p w:rsidR="00065659" w:rsidRDefault="00065659">
      <w:pPr>
        <w:spacing w:line="360" w:lineRule="auto"/>
        <w:ind w:firstLineChars="200" w:firstLine="480"/>
        <w:contextualSpacing/>
        <w:rPr>
          <w:rFonts w:ascii="宋体" w:hAnsi="宋体"/>
          <w:sz w:val="24"/>
        </w:rPr>
        <w:sectPr w:rsidR="00065659">
          <w:footerReference w:type="default" r:id="rId72"/>
          <w:type w:val="continuous"/>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85" w:name="_Toc384992709"/>
      <w:bookmarkStart w:id="186" w:name="_Toc348082047"/>
      <w:bookmarkStart w:id="187" w:name="_Toc3276866"/>
      <w:bookmarkStart w:id="188" w:name="CLAUSE_0edbdfc79ee74f15b2a5095eb68f0827"/>
      <w:r>
        <w:rPr>
          <w:rFonts w:ascii="宋体" w:eastAsia="宋体" w:hAnsi="宋体"/>
        </w:rPr>
        <w:lastRenderedPageBreak/>
        <w:t xml:space="preserve"> </w:t>
      </w:r>
      <w:bookmarkStart w:id="189" w:name="CTS_0edbdfc79ee74f15b2a5095eb68f0827"/>
      <w:bookmarkEnd w:id="189"/>
      <w:r>
        <w:rPr>
          <w:rFonts w:ascii="宋体" w:eastAsia="宋体" w:hAnsi="宋体"/>
        </w:rPr>
        <w:t xml:space="preserve">   </w:t>
      </w:r>
      <w:r>
        <w:rPr>
          <w:rFonts w:ascii="宋体" w:eastAsia="宋体" w:hAnsi="宋体" w:hint="eastAsia"/>
        </w:rPr>
        <w:t>托管协议的效力</w:t>
      </w:r>
      <w:bookmarkEnd w:id="185"/>
      <w:bookmarkEnd w:id="186"/>
      <w:bookmarkEnd w:id="187"/>
    </w:p>
    <w:p w:rsidR="00065659" w:rsidRDefault="00A43F61">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（一）基金管理人在向中国证监会申请基金募集注册时提交的托管协议，应经托管协议当事人双方盖章以及双方法定代表人或授权代表签字或盖章，协议当事人双方根据</w:t>
      </w:r>
      <w:r>
        <w:rPr>
          <w:rFonts w:ascii="宋体" w:hAnsi="宋体" w:hint="eastAsia"/>
          <w:sz w:val="24"/>
        </w:rPr>
        <w:t>中国证监会的意见修改并正式签署托管协议。托管协议以中国证监会注册的文本为正式文本。</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8"/>
    <w:p w:rsidR="00065659" w:rsidRDefault="00065659">
      <w:pPr>
        <w:spacing w:line="360" w:lineRule="auto"/>
        <w:ind w:firstLineChars="200" w:firstLine="480"/>
        <w:contextualSpacing/>
        <w:rPr>
          <w:rFonts w:ascii="宋体" w:hAnsi="宋体"/>
          <w:sz w:val="24"/>
        </w:rPr>
        <w:sectPr w:rsidR="00065659">
          <w:footerReference w:type="default" r:id="rId73"/>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90" w:name="_Toc384992710"/>
      <w:bookmarkStart w:id="191" w:name="_Toc348082048"/>
      <w:bookmarkStart w:id="192" w:name="_Toc3276867"/>
      <w:bookmarkStart w:id="193" w:name="CLAUSE_ef77158db4244c4896d00920fd2b4b7b"/>
      <w:r>
        <w:rPr>
          <w:rFonts w:ascii="宋体" w:eastAsia="宋体" w:hAnsi="宋体"/>
        </w:rPr>
        <w:lastRenderedPageBreak/>
        <w:t xml:space="preserve"> </w:t>
      </w:r>
      <w:bookmarkStart w:id="194" w:name="CTS_ef77158db4244c4896d00920fd2b4b7b"/>
      <w:bookmarkEnd w:id="194"/>
      <w:r>
        <w:rPr>
          <w:rFonts w:ascii="宋体" w:eastAsia="宋体" w:hAnsi="宋体"/>
        </w:rPr>
        <w:t xml:space="preserve">   </w:t>
      </w:r>
      <w:r>
        <w:rPr>
          <w:rFonts w:ascii="宋体" w:eastAsia="宋体" w:hAnsi="宋体" w:hint="eastAsia"/>
        </w:rPr>
        <w:t>其他事项</w:t>
      </w:r>
      <w:bookmarkEnd w:id="190"/>
      <w:bookmarkEnd w:id="191"/>
      <w:bookmarkEnd w:id="192"/>
    </w:p>
    <w:p w:rsidR="00065659" w:rsidRDefault="00A43F61">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本协议附件构成本协议不可分割的组成部分。</w:t>
      </w:r>
    </w:p>
    <w:bookmarkEnd w:id="193"/>
    <w:p w:rsidR="00065659" w:rsidRDefault="00065659">
      <w:pPr>
        <w:spacing w:line="360" w:lineRule="auto"/>
        <w:ind w:firstLineChars="200" w:firstLine="480"/>
        <w:contextualSpacing/>
        <w:rPr>
          <w:rFonts w:ascii="宋体" w:hAnsi="宋体"/>
          <w:sz w:val="24"/>
        </w:rPr>
        <w:sectPr w:rsidR="00065659">
          <w:footerReference w:type="default" r:id="rId74"/>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95" w:name="_Toc384992711"/>
      <w:bookmarkStart w:id="196" w:name="_Toc348082049"/>
      <w:bookmarkStart w:id="197" w:name="_Toc3276868"/>
      <w:bookmarkStart w:id="198" w:name="CLAUSE_21b2d0fce39e458b881a6acf05e113ec"/>
      <w:r>
        <w:rPr>
          <w:rFonts w:ascii="宋体" w:eastAsia="宋体" w:hAnsi="宋体"/>
        </w:rPr>
        <w:lastRenderedPageBreak/>
        <w:t xml:space="preserve"> </w:t>
      </w:r>
      <w:bookmarkStart w:id="199" w:name="CTS_21b2d0fce39e458b881a6acf05e113ec"/>
      <w:bookmarkEnd w:id="199"/>
      <w:r>
        <w:rPr>
          <w:rFonts w:ascii="宋体" w:eastAsia="宋体" w:hAnsi="宋体"/>
        </w:rPr>
        <w:t xml:space="preserve">   </w:t>
      </w:r>
      <w:r>
        <w:rPr>
          <w:rFonts w:ascii="宋体" w:eastAsia="宋体" w:hAnsi="宋体" w:hint="eastAsia"/>
        </w:rPr>
        <w:t>托管协议的签订</w:t>
      </w:r>
      <w:bookmarkEnd w:id="195"/>
      <w:bookmarkEnd w:id="196"/>
      <w:bookmarkEnd w:id="197"/>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rsidR="00065659" w:rsidRDefault="00065659">
      <w:pPr>
        <w:spacing w:line="360" w:lineRule="auto"/>
        <w:contextualSpacing/>
        <w:rPr>
          <w:rFonts w:ascii="宋体" w:hAnsi="宋体"/>
          <w:sz w:val="24"/>
        </w:rPr>
      </w:pPr>
    </w:p>
    <w:bookmarkEnd w:id="9"/>
    <w:bookmarkEnd w:id="10"/>
    <w:bookmarkEnd w:id="11"/>
    <w:bookmarkEnd w:id="198"/>
    <w:p w:rsidR="00065659" w:rsidRDefault="00065659">
      <w:pPr>
        <w:spacing w:line="360" w:lineRule="auto"/>
        <w:ind w:firstLineChars="200" w:firstLine="480"/>
        <w:contextualSpacing/>
        <w:rPr>
          <w:rFonts w:ascii="宋体" w:hAnsi="宋体"/>
          <w:sz w:val="24"/>
        </w:rPr>
        <w:sectPr w:rsidR="00065659">
          <w:footerReference w:type="default" r:id="rId75"/>
          <w:pgSz w:w="11906" w:h="16838"/>
          <w:pgMar w:top="1418" w:right="1701" w:bottom="1418" w:left="1701" w:header="851" w:footer="992" w:gutter="0"/>
          <w:pgNumType w:start="1" w:chapStyle="1"/>
          <w:cols w:space="425"/>
          <w:docGrid w:type="lines" w:linePitch="312"/>
        </w:sectPr>
      </w:pPr>
    </w:p>
    <w:p w:rsidR="00065659" w:rsidRDefault="00A43F61">
      <w:pPr>
        <w:spacing w:line="360" w:lineRule="auto"/>
        <w:contextualSpacing/>
        <w:rPr>
          <w:rFonts w:ascii="宋体" w:hAnsi="宋体"/>
          <w:sz w:val="24"/>
        </w:rPr>
      </w:pPr>
      <w:bookmarkStart w:id="200" w:name="CLAUSE_6eae47de7a574b50b4ae849139c98b19"/>
      <w:r>
        <w:rPr>
          <w:rFonts w:ascii="宋体" w:hAnsi="宋体"/>
        </w:rPr>
        <w:lastRenderedPageBreak/>
        <w:t xml:space="preserve"> </w:t>
      </w:r>
      <w:bookmarkStart w:id="201" w:name="CTS_6eae47de7a574b50b4ae849139c98b19"/>
      <w:bookmarkEnd w:id="201"/>
      <w:r>
        <w:rPr>
          <w:rFonts w:ascii="宋体" w:hAnsi="宋体" w:hint="eastAsia"/>
          <w:sz w:val="20"/>
        </w:rPr>
        <w:t>（</w:t>
      </w:r>
      <w:r>
        <w:rPr>
          <w:rFonts w:ascii="宋体" w:hAnsi="宋体" w:hint="eastAsia"/>
          <w:sz w:val="22"/>
          <w:szCs w:val="21"/>
        </w:rPr>
        <w:t>本页为《东方阿尔法医疗健康混合型发起式证券投资基金托管协议》签署页，无正文）</w:t>
      </w:r>
    </w:p>
    <w:p w:rsidR="00065659" w:rsidRDefault="00065659">
      <w:pPr>
        <w:widowControl/>
        <w:jc w:val="left"/>
        <w:rPr>
          <w:rFonts w:ascii="宋体" w:hAnsi="宋体"/>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sz w:val="28"/>
          <w:szCs w:val="28"/>
        </w:rPr>
        <w:t>月</w:t>
      </w:r>
      <w:r>
        <w:rPr>
          <w:rFonts w:ascii="宋体" w:hAnsi="宋体" w:cs="Arial"/>
          <w:sz w:val="28"/>
          <w:szCs w:val="28"/>
        </w:rPr>
        <w:t xml:space="preserve">    </w:t>
      </w:r>
      <w:r>
        <w:rPr>
          <w:rFonts w:ascii="宋体" w:hAnsi="宋体" w:cs="Arial"/>
          <w:sz w:val="28"/>
          <w:szCs w:val="28"/>
        </w:rPr>
        <w:t>日</w:t>
      </w: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w:t>
      </w:r>
      <w:r>
        <w:rPr>
          <w:rFonts w:ascii="宋体" w:hAnsi="宋体" w:cs="Arial"/>
          <w:sz w:val="28"/>
          <w:szCs w:val="28"/>
        </w:rPr>
        <w:t xml:space="preserve"> </w:t>
      </w:r>
      <w:r>
        <w:rPr>
          <w:rFonts w:ascii="宋体" w:hAnsi="宋体" w:cs="Arial" w:hint="eastAsia"/>
          <w:sz w:val="28"/>
          <w:szCs w:val="28"/>
        </w:rPr>
        <w:t>（公章）</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rsidR="00065659" w:rsidRDefault="00A43F61">
      <w:pPr>
        <w:adjustRightInd w:val="0"/>
        <w:snapToGrid w:val="0"/>
        <w:spacing w:line="360" w:lineRule="auto"/>
        <w:ind w:firstLineChars="200" w:firstLine="562"/>
        <w:rPr>
          <w:rFonts w:ascii="宋体" w:hAnsi="宋体"/>
          <w:b/>
        </w:rPr>
      </w:pPr>
      <w:r>
        <w:rPr>
          <w:rFonts w:ascii="宋体" w:hAnsi="宋体" w:cs="Arial"/>
          <w:b/>
          <w:sz w:val="28"/>
          <w:szCs w:val="28"/>
        </w:rPr>
        <w:t>签署地</w:t>
      </w:r>
      <w:r>
        <w:rPr>
          <w:rFonts w:ascii="宋体" w:hAnsi="宋体" w:cs="Arial" w:hint="eastAsia"/>
          <w:b/>
          <w:sz w:val="28"/>
          <w:szCs w:val="28"/>
        </w:rPr>
        <w:t>：</w:t>
      </w:r>
      <w:bookmarkEnd w:id="200"/>
    </w:p>
    <w:sectPr w:rsidR="00065659">
      <w:footerReference w:type="default" r:id="rId76"/>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F61" w:rsidRDefault="00A43F61">
      <w:r>
        <w:separator/>
      </w:r>
    </w:p>
  </w:endnote>
  <w:endnote w:type="continuationSeparator" w:id="0">
    <w:p w:rsidR="00A43F61" w:rsidRDefault="00A4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jc w:val="center"/>
    </w:pPr>
    <w:r>
      <w:fldChar w:fldCharType="begin"/>
    </w:r>
    <w:r>
      <w:instrText>PAGE   \* MERGEFORMAT</w:instrText>
    </w:r>
    <w:r>
      <w:fldChar w:fldCharType="separate"/>
    </w:r>
    <w:r w:rsidR="00EC5E15" w:rsidRPr="00EC5E15">
      <w:rPr>
        <w:noProof/>
        <w:lang w:val="zh-CN"/>
      </w:rPr>
      <w:t>II</w:t>
    </w:r>
    <w:r>
      <w:fldChar w:fldCharType="end"/>
    </w:r>
  </w:p>
  <w:p w:rsidR="00065659" w:rsidRDefault="00065659">
    <w:pPr>
      <w:pStyle w:val="a9"/>
      <w:ind w:left="420"/>
    </w:pPr>
  </w:p>
  <w:p w:rsidR="00065659" w:rsidRDefault="00065659">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60EBC" w:rsidRPr="00460EBC">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460EBC" w:rsidRPr="00460EBC">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2</w:t>
    </w:r>
    <w:r>
      <w:fldChar w:fldCharType="end"/>
    </w:r>
  </w:p>
  <w:p w:rsidR="00065659" w:rsidRDefault="00065659">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t>1</w:t>
    </w:r>
  </w:p>
  <w:p w:rsidR="00065659" w:rsidRDefault="00065659">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t>1</w:t>
    </w:r>
  </w:p>
  <w:p w:rsidR="00065659" w:rsidRDefault="00065659">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20" w:firstLine="3996"/>
    </w:pPr>
    <w:r>
      <w:fldChar w:fldCharType="begin"/>
    </w:r>
    <w:r>
      <w:instrText>PAGE   \* MERGEFORMAT</w:instrText>
    </w:r>
    <w:r>
      <w:fldChar w:fldCharType="separate"/>
    </w:r>
    <w:r w:rsidR="00EC5E15" w:rsidRPr="00EC5E15">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460EBC" w:rsidRPr="00460EBC">
      <w:rPr>
        <w:noProof/>
        <w:lang w:val="zh-CN"/>
      </w:rPr>
      <w:t>1</w:t>
    </w:r>
    <w:r>
      <w:fldChar w:fldCharType="end"/>
    </w:r>
  </w:p>
  <w:p w:rsidR="00065659" w:rsidRDefault="00065659">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w:instrText>
    </w:r>
    <w:r>
      <w:instrText>EFORMAT</w:instrText>
    </w:r>
    <w:r>
      <w:fldChar w:fldCharType="separate"/>
    </w:r>
    <w:r w:rsidR="00460EBC" w:rsidRPr="00460EBC">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065659">
    <w:pPr>
      <w:pStyle w:val="a9"/>
      <w:ind w:left="3906"/>
    </w:pPr>
  </w:p>
  <w:p w:rsidR="00065659" w:rsidRDefault="0006565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EC5E15" w:rsidRPr="00EC5E15">
      <w:rPr>
        <w:noProof/>
        <w:lang w:val="zh-CN"/>
      </w:rPr>
      <w:t>1</w:t>
    </w:r>
    <w:r>
      <w:fldChar w:fldCharType="end"/>
    </w:r>
  </w:p>
  <w:p w:rsidR="00065659" w:rsidRDefault="00065659">
    <w:pPr>
      <w:pStyle w:val="a9"/>
      <w:ind w:left="420"/>
    </w:pPr>
  </w:p>
  <w:p w:rsidR="00065659" w:rsidRDefault="000656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20" w:firstLine="3996"/>
    </w:pPr>
    <w:r>
      <w:fldChar w:fldCharType="begin"/>
    </w:r>
    <w:r>
      <w:instrText>PAGE   \* MERGEFORMAT</w:instrText>
    </w:r>
    <w:r>
      <w:fldChar w:fldCharType="separate"/>
    </w:r>
    <w:r w:rsidR="00EC5E15" w:rsidRPr="00EC5E15">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EC5E15" w:rsidRPr="00EC5E15">
      <w:rPr>
        <w:noProof/>
        <w:lang w:val="zh-CN"/>
      </w:rPr>
      <w:t>1</w:t>
    </w:r>
    <w:r>
      <w:fldChar w:fldCharType="end"/>
    </w:r>
  </w:p>
  <w:p w:rsidR="00065659" w:rsidRDefault="00065659">
    <w:pPr>
      <w:pStyle w:val="a9"/>
      <w:ind w:left="420"/>
    </w:pPr>
  </w:p>
  <w:p w:rsidR="00065659" w:rsidRDefault="000656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EC5E15" w:rsidRPr="00EC5E15">
      <w:rPr>
        <w:noProof/>
        <w:lang w:val="zh-CN"/>
      </w:rPr>
      <w:t>4</w:t>
    </w:r>
    <w:r>
      <w:fldChar w:fldCharType="end"/>
    </w:r>
  </w:p>
  <w:p w:rsidR="00065659" w:rsidRDefault="00065659">
    <w:pPr>
      <w:pStyle w:val="a9"/>
      <w:ind w:left="420"/>
    </w:pPr>
  </w:p>
  <w:p w:rsidR="00065659" w:rsidRDefault="0006565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EC5E15" w:rsidRPr="00EC5E15">
      <w:rPr>
        <w:noProof/>
        <w:lang w:val="zh-CN"/>
      </w:rPr>
      <w:t>5</w:t>
    </w:r>
    <w:r>
      <w:fldChar w:fldCharType="end"/>
    </w:r>
  </w:p>
  <w:p w:rsidR="00065659" w:rsidRDefault="00065659">
    <w:pPr>
      <w:pStyle w:val="a9"/>
      <w:ind w:left="420"/>
    </w:pPr>
  </w:p>
  <w:p w:rsidR="00065659" w:rsidRDefault="0006565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EC5E15" w:rsidRPr="00EC5E15">
      <w:rPr>
        <w:noProof/>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60EBC" w:rsidRPr="00460EBC">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F61" w:rsidRDefault="00A43F61">
      <w:r>
        <w:separator/>
      </w:r>
    </w:p>
  </w:footnote>
  <w:footnote w:type="continuationSeparator" w:id="0">
    <w:p w:rsidR="00A43F61" w:rsidRDefault="00A43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rsidP="00D805D6">
    <w:pPr>
      <w:pStyle w:val="aa"/>
      <w:rPr>
        <w:rFonts w:ascii="宋体" w:hAnsi="宋体"/>
      </w:rPr>
    </w:pPr>
    <w:r>
      <w:rPr>
        <w:rFonts w:ascii="宋体" w:hAnsi="宋体" w:cs="宋体" w:hint="eastAsia"/>
      </w:rPr>
      <w:t>东方阿尔法医疗健康混合型发起式</w:t>
    </w:r>
    <w:r>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rsidP="00460EBC">
    <w:pPr>
      <w:pStyle w:val="aa"/>
      <w:ind w:right="180"/>
      <w:rPr>
        <w:rFonts w:ascii="宋体" w:hAnsi="宋体"/>
      </w:rPr>
    </w:pPr>
    <w:r>
      <w:rPr>
        <w:rFonts w:ascii="宋体" w:hAnsi="宋体" w:cs="宋体" w:hint="eastAsia"/>
      </w:rPr>
      <w:t>东方阿尔法医疗健康混合型发起式</w:t>
    </w:r>
    <w:r>
      <w:rPr>
        <w:rFonts w:ascii="宋体" w:hAnsi="宋体" w:hint="eastAsia"/>
      </w:rPr>
      <w:t>证券投资基金托管协议</w:t>
    </w:r>
  </w:p>
  <w:p w:rsidR="00065659" w:rsidRDefault="00065659">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CCA92EF"/>
    <w:multiLevelType w:val="singleLevel"/>
    <w:tmpl w:val="4CCA92EF"/>
    <w:lvl w:ilvl="0">
      <w:start w:val="4"/>
      <w:numFmt w:val="decimal"/>
      <w:suff w:val="nothing"/>
      <w:lvlText w:val="（%1）"/>
      <w:lvlJc w:val="left"/>
    </w:lvl>
  </w:abstractNum>
  <w:abstractNum w:abstractNumId="3">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0604D3"/>
    <w:multiLevelType w:val="singleLevel"/>
    <w:tmpl w:val="5F0604D3"/>
    <w:lvl w:ilvl="0">
      <w:start w:val="3"/>
      <w:numFmt w:val="decimal"/>
      <w:suff w:val="nothing"/>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5659"/>
    <w:rsid w:val="00066315"/>
    <w:rsid w:val="00066AA1"/>
    <w:rsid w:val="0006703B"/>
    <w:rsid w:val="0006718A"/>
    <w:rsid w:val="00067DA7"/>
    <w:rsid w:val="00071723"/>
    <w:rsid w:val="000719D4"/>
    <w:rsid w:val="000720FA"/>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3F64"/>
    <w:rsid w:val="0009481B"/>
    <w:rsid w:val="00095055"/>
    <w:rsid w:val="00096097"/>
    <w:rsid w:val="00097239"/>
    <w:rsid w:val="000A1593"/>
    <w:rsid w:val="000A1777"/>
    <w:rsid w:val="000A20C8"/>
    <w:rsid w:val="000A5690"/>
    <w:rsid w:val="000B165E"/>
    <w:rsid w:val="000B3268"/>
    <w:rsid w:val="000B46F2"/>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2DC"/>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8AE"/>
    <w:rsid w:val="0019194A"/>
    <w:rsid w:val="001945D9"/>
    <w:rsid w:val="00195CFB"/>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20573"/>
    <w:rsid w:val="002215D2"/>
    <w:rsid w:val="002216E7"/>
    <w:rsid w:val="00221872"/>
    <w:rsid w:val="00222341"/>
    <w:rsid w:val="00222498"/>
    <w:rsid w:val="00230087"/>
    <w:rsid w:val="002306C9"/>
    <w:rsid w:val="00231B62"/>
    <w:rsid w:val="002326BC"/>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574E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2C55"/>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D2977"/>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840"/>
    <w:rsid w:val="00360FE3"/>
    <w:rsid w:val="003659AF"/>
    <w:rsid w:val="0037101B"/>
    <w:rsid w:val="00371CDD"/>
    <w:rsid w:val="003726C2"/>
    <w:rsid w:val="00383076"/>
    <w:rsid w:val="00387900"/>
    <w:rsid w:val="003936BA"/>
    <w:rsid w:val="0039446D"/>
    <w:rsid w:val="0039673F"/>
    <w:rsid w:val="003979A1"/>
    <w:rsid w:val="003A0E59"/>
    <w:rsid w:val="003A1410"/>
    <w:rsid w:val="003A30E5"/>
    <w:rsid w:val="003A4492"/>
    <w:rsid w:val="003A45C3"/>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1A7B"/>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668B"/>
    <w:rsid w:val="00457443"/>
    <w:rsid w:val="004607BB"/>
    <w:rsid w:val="00460EBC"/>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082"/>
    <w:rsid w:val="005248B6"/>
    <w:rsid w:val="00524C77"/>
    <w:rsid w:val="00526015"/>
    <w:rsid w:val="00527783"/>
    <w:rsid w:val="00527B02"/>
    <w:rsid w:val="00541673"/>
    <w:rsid w:val="00541BD4"/>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C97"/>
    <w:rsid w:val="0059090B"/>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3DA6"/>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6E0F"/>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87E6D"/>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0EC4"/>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1AF5"/>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2AD7"/>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7F7FA4"/>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6603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1901"/>
    <w:rsid w:val="00895499"/>
    <w:rsid w:val="0089558B"/>
    <w:rsid w:val="00895C7C"/>
    <w:rsid w:val="00897577"/>
    <w:rsid w:val="008A0ABE"/>
    <w:rsid w:val="008A0D1F"/>
    <w:rsid w:val="008A0EC8"/>
    <w:rsid w:val="008A2276"/>
    <w:rsid w:val="008A2DBE"/>
    <w:rsid w:val="008A381C"/>
    <w:rsid w:val="008A475E"/>
    <w:rsid w:val="008A4AF8"/>
    <w:rsid w:val="008A4F88"/>
    <w:rsid w:val="008A5737"/>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1CA3"/>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67974"/>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9DF"/>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3F61"/>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141"/>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0C37"/>
    <w:rsid w:val="00BE1FE7"/>
    <w:rsid w:val="00BE21CA"/>
    <w:rsid w:val="00BE32ED"/>
    <w:rsid w:val="00BE3551"/>
    <w:rsid w:val="00BE3691"/>
    <w:rsid w:val="00BE4978"/>
    <w:rsid w:val="00BE4A3A"/>
    <w:rsid w:val="00BE552A"/>
    <w:rsid w:val="00BF24DC"/>
    <w:rsid w:val="00BF2AC2"/>
    <w:rsid w:val="00BF2C5A"/>
    <w:rsid w:val="00BF3A23"/>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40E0"/>
    <w:rsid w:val="00CB5002"/>
    <w:rsid w:val="00CB51C0"/>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4180"/>
    <w:rsid w:val="00CE606A"/>
    <w:rsid w:val="00CE6D88"/>
    <w:rsid w:val="00CE7CC4"/>
    <w:rsid w:val="00CF070D"/>
    <w:rsid w:val="00CF0A27"/>
    <w:rsid w:val="00CF2FDE"/>
    <w:rsid w:val="00CF5676"/>
    <w:rsid w:val="00CF6DD7"/>
    <w:rsid w:val="00CF7A06"/>
    <w:rsid w:val="00CF7C44"/>
    <w:rsid w:val="00D01BCE"/>
    <w:rsid w:val="00D028A0"/>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5701"/>
    <w:rsid w:val="00D7640E"/>
    <w:rsid w:val="00D766FD"/>
    <w:rsid w:val="00D76F14"/>
    <w:rsid w:val="00D77360"/>
    <w:rsid w:val="00D80573"/>
    <w:rsid w:val="00D805D6"/>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5DC9"/>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1CD"/>
    <w:rsid w:val="00E029DC"/>
    <w:rsid w:val="00E039FE"/>
    <w:rsid w:val="00E062AD"/>
    <w:rsid w:val="00E1062A"/>
    <w:rsid w:val="00E11751"/>
    <w:rsid w:val="00E12670"/>
    <w:rsid w:val="00E12CDB"/>
    <w:rsid w:val="00E13C85"/>
    <w:rsid w:val="00E140DB"/>
    <w:rsid w:val="00E14D7E"/>
    <w:rsid w:val="00E15472"/>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035A"/>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5E15"/>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2373"/>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6E8B"/>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2D54597D"/>
    <w:rsid w:val="306D79CF"/>
    <w:rsid w:val="3D352BE8"/>
    <w:rsid w:val="58424AD9"/>
    <w:rsid w:val="774E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4F7243-16C8-40CB-A1D2-B6EA314A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footer" Target="footer2.xml"/><Relationship Id="rId63" Type="http://schemas.openxmlformats.org/officeDocument/2006/relationships/footer" Target="footer10.xml"/><Relationship Id="rId68" Type="http://schemas.openxmlformats.org/officeDocument/2006/relationships/footer" Target="footer15.xml"/><Relationship Id="rId76" Type="http://schemas.openxmlformats.org/officeDocument/2006/relationships/footer" Target="footer23.xml"/><Relationship Id="rId7" Type="http://schemas.openxmlformats.org/officeDocument/2006/relationships/customXml" Target="../customXml/item7.xml"/><Relationship Id="rId71"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header" Target="header2.xml"/><Relationship Id="rId58" Type="http://schemas.openxmlformats.org/officeDocument/2006/relationships/footer" Target="footer5.xml"/><Relationship Id="rId66" Type="http://schemas.openxmlformats.org/officeDocument/2006/relationships/footer" Target="footer13.xml"/><Relationship Id="rId74"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footer" Target="footer4.xml"/><Relationship Id="rId61" Type="http://schemas.openxmlformats.org/officeDocument/2006/relationships/footer" Target="footer8.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1.xml"/><Relationship Id="rId60" Type="http://schemas.openxmlformats.org/officeDocument/2006/relationships/footer" Target="footer7.xml"/><Relationship Id="rId65" Type="http://schemas.openxmlformats.org/officeDocument/2006/relationships/footer" Target="footer12.xml"/><Relationship Id="rId73" Type="http://schemas.openxmlformats.org/officeDocument/2006/relationships/footer" Target="footer20.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56" Type="http://schemas.openxmlformats.org/officeDocument/2006/relationships/footer" Target="footer3.xml"/><Relationship Id="rId64" Type="http://schemas.openxmlformats.org/officeDocument/2006/relationships/footer" Target="footer11.xml"/><Relationship Id="rId69" Type="http://schemas.openxmlformats.org/officeDocument/2006/relationships/footer" Target="footer16.xml"/><Relationship Id="rId77"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footer" Target="footer6.xml"/><Relationship Id="rId67" Type="http://schemas.openxmlformats.org/officeDocument/2006/relationships/footer" Target="footer14.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1.xml"/><Relationship Id="rId62" Type="http://schemas.openxmlformats.org/officeDocument/2006/relationships/footer" Target="footer9.xml"/><Relationship Id="rId70" Type="http://schemas.openxmlformats.org/officeDocument/2006/relationships/footer" Target="footer17.xm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719D9-AA44-4EB1-B55A-445907169FFD}">
  <ds:schemaRefs>
    <ds:schemaRef ds:uri="http://schemas.openxmlformats.org/officeDocument/2006/bibliography"/>
  </ds:schemaRefs>
</ds:datastoreItem>
</file>

<file path=customXml/itemProps10.xml><?xml version="1.0" encoding="utf-8"?>
<ds:datastoreItem xmlns:ds="http://schemas.openxmlformats.org/officeDocument/2006/customXml" ds:itemID="{0FB5A36F-FBD0-4DEF-9F0F-40DDE2E77649}">
  <ds:schemaRefs>
    <ds:schemaRef ds:uri="http://schemas.openxmlformats.org/officeDocument/2006/bibliography"/>
  </ds:schemaRefs>
</ds:datastoreItem>
</file>

<file path=customXml/itemProps11.xml><?xml version="1.0" encoding="utf-8"?>
<ds:datastoreItem xmlns:ds="http://schemas.openxmlformats.org/officeDocument/2006/customXml" ds:itemID="{F7D422B3-FAD8-4142-B92F-A73C7CB808BA}">
  <ds:schemaRefs>
    <ds:schemaRef ds:uri="http://schemas.openxmlformats.org/officeDocument/2006/bibliography"/>
  </ds:schemaRefs>
</ds:datastoreItem>
</file>

<file path=customXml/itemProps12.xml><?xml version="1.0" encoding="utf-8"?>
<ds:datastoreItem xmlns:ds="http://schemas.openxmlformats.org/officeDocument/2006/customXml" ds:itemID="{B17E42B5-9E0C-4872-B175-3F5CEE6E66CC}">
  <ds:schemaRefs>
    <ds:schemaRef ds:uri="http://schemas.openxmlformats.org/officeDocument/2006/bibliography"/>
  </ds:schemaRefs>
</ds:datastoreItem>
</file>

<file path=customXml/itemProps13.xml><?xml version="1.0" encoding="utf-8"?>
<ds:datastoreItem xmlns:ds="http://schemas.openxmlformats.org/officeDocument/2006/customXml" ds:itemID="{F28A3F21-041A-4A0E-885C-CE006835DB26}">
  <ds:schemaRefs>
    <ds:schemaRef ds:uri="http://schemas.openxmlformats.org/officeDocument/2006/bibliography"/>
  </ds:schemaRefs>
</ds:datastoreItem>
</file>

<file path=customXml/itemProps14.xml><?xml version="1.0" encoding="utf-8"?>
<ds:datastoreItem xmlns:ds="http://schemas.openxmlformats.org/officeDocument/2006/customXml" ds:itemID="{3AF51520-93A2-4F6E-8D13-440F48485031}">
  <ds:schemaRefs>
    <ds:schemaRef ds:uri="http://schemas.openxmlformats.org/officeDocument/2006/bibliography"/>
  </ds:schemaRefs>
</ds:datastoreItem>
</file>

<file path=customXml/itemProps15.xml><?xml version="1.0" encoding="utf-8"?>
<ds:datastoreItem xmlns:ds="http://schemas.openxmlformats.org/officeDocument/2006/customXml" ds:itemID="{F80688CA-ADB7-42AA-B45B-888E6F0F998F}">
  <ds:schemaRefs>
    <ds:schemaRef ds:uri="http://schemas.openxmlformats.org/officeDocument/2006/bibliography"/>
  </ds:schemaRefs>
</ds:datastoreItem>
</file>

<file path=customXml/itemProps16.xml><?xml version="1.0" encoding="utf-8"?>
<ds:datastoreItem xmlns:ds="http://schemas.openxmlformats.org/officeDocument/2006/customXml" ds:itemID="{362514F0-552B-4E69-B50B-A6A5A4189538}">
  <ds:schemaRefs>
    <ds:schemaRef ds:uri="http://schemas.openxmlformats.org/officeDocument/2006/bibliography"/>
  </ds:schemaRefs>
</ds:datastoreItem>
</file>

<file path=customXml/itemProps17.xml><?xml version="1.0" encoding="utf-8"?>
<ds:datastoreItem xmlns:ds="http://schemas.openxmlformats.org/officeDocument/2006/customXml" ds:itemID="{D17C954E-8BB0-4D81-B12C-F0A9D21234E8}">
  <ds:schemaRefs>
    <ds:schemaRef ds:uri="http://schemas.openxmlformats.org/officeDocument/2006/bibliography"/>
  </ds:schemaRefs>
</ds:datastoreItem>
</file>

<file path=customXml/itemProps18.xml><?xml version="1.0" encoding="utf-8"?>
<ds:datastoreItem xmlns:ds="http://schemas.openxmlformats.org/officeDocument/2006/customXml" ds:itemID="{63F2683C-2017-4691-A814-E95D85BE6FBA}">
  <ds:schemaRefs>
    <ds:schemaRef ds:uri="http://schemas.openxmlformats.org/officeDocument/2006/bibliography"/>
  </ds:schemaRefs>
</ds:datastoreItem>
</file>

<file path=customXml/itemProps19.xml><?xml version="1.0" encoding="utf-8"?>
<ds:datastoreItem xmlns:ds="http://schemas.openxmlformats.org/officeDocument/2006/customXml" ds:itemID="{07E9EA21-B7C6-45CA-A3E8-57B60F11CC00}">
  <ds:schemaRefs>
    <ds:schemaRef ds:uri="http://schemas.openxmlformats.org/officeDocument/2006/bibliography"/>
  </ds:schemaRefs>
</ds:datastoreItem>
</file>

<file path=customXml/itemProps2.xml><?xml version="1.0" encoding="utf-8"?>
<ds:datastoreItem xmlns:ds="http://schemas.openxmlformats.org/officeDocument/2006/customXml" ds:itemID="{ACDE3938-3330-4973-900B-964D37516B3B}">
  <ds:schemaRefs>
    <ds:schemaRef ds:uri="http://schemas.openxmlformats.org/officeDocument/2006/bibliography"/>
  </ds:schemaRefs>
</ds:datastoreItem>
</file>

<file path=customXml/itemProps20.xml><?xml version="1.0" encoding="utf-8"?>
<ds:datastoreItem xmlns:ds="http://schemas.openxmlformats.org/officeDocument/2006/customXml" ds:itemID="{9968C39B-ACEB-4FC0-A8E2-DB553634E939}">
  <ds:schemaRefs>
    <ds:schemaRef ds:uri="http://schemas.openxmlformats.org/officeDocument/2006/bibliography"/>
  </ds:schemaRefs>
</ds:datastoreItem>
</file>

<file path=customXml/itemProps21.xml><?xml version="1.0" encoding="utf-8"?>
<ds:datastoreItem xmlns:ds="http://schemas.openxmlformats.org/officeDocument/2006/customXml" ds:itemID="{436CC5B6-3B61-4C69-B7BE-229D520B3464}">
  <ds:schemaRefs>
    <ds:schemaRef ds:uri="http://schemas.openxmlformats.org/officeDocument/2006/bibliography"/>
  </ds:schemaRefs>
</ds:datastoreItem>
</file>

<file path=customXml/itemProps22.xml><?xml version="1.0" encoding="utf-8"?>
<ds:datastoreItem xmlns:ds="http://schemas.openxmlformats.org/officeDocument/2006/customXml" ds:itemID="{B5500DFF-B06A-4262-A534-69E1E86CA9C3}">
  <ds:schemaRefs>
    <ds:schemaRef ds:uri="http://schemas.openxmlformats.org/officeDocument/2006/bibliography"/>
  </ds:schemaRefs>
</ds:datastoreItem>
</file>

<file path=customXml/itemProps23.xml><?xml version="1.0" encoding="utf-8"?>
<ds:datastoreItem xmlns:ds="http://schemas.openxmlformats.org/officeDocument/2006/customXml" ds:itemID="{8D746185-626D-4373-9F97-9CF2D481F027}">
  <ds:schemaRefs>
    <ds:schemaRef ds:uri="http://schemas.openxmlformats.org/officeDocument/2006/bibliography"/>
  </ds:schemaRefs>
</ds:datastoreItem>
</file>

<file path=customXml/itemProps24.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25.xml><?xml version="1.0" encoding="utf-8"?>
<ds:datastoreItem xmlns:ds="http://schemas.openxmlformats.org/officeDocument/2006/customXml" ds:itemID="{FCF05C67-145C-4E39-B177-97FA393910C7}">
  <ds:schemaRefs>
    <ds:schemaRef ds:uri="http://schemas.openxmlformats.org/officeDocument/2006/bibliography"/>
  </ds:schemaRefs>
</ds:datastoreItem>
</file>

<file path=customXml/itemProps26.xml><?xml version="1.0" encoding="utf-8"?>
<ds:datastoreItem xmlns:ds="http://schemas.openxmlformats.org/officeDocument/2006/customXml" ds:itemID="{A7CD0FAF-C0AE-43D3-8C4B-8010F4C7C03C}">
  <ds:schemaRefs>
    <ds:schemaRef ds:uri="http://schemas.openxmlformats.org/officeDocument/2006/bibliography"/>
  </ds:schemaRefs>
</ds:datastoreItem>
</file>

<file path=customXml/itemProps27.xml><?xml version="1.0" encoding="utf-8"?>
<ds:datastoreItem xmlns:ds="http://schemas.openxmlformats.org/officeDocument/2006/customXml" ds:itemID="{1401E9CC-C5FD-40AB-8FC1-30E9C07D111F}">
  <ds:schemaRefs>
    <ds:schemaRef ds:uri="http://schemas.openxmlformats.org/officeDocument/2006/bibliography"/>
  </ds:schemaRefs>
</ds:datastoreItem>
</file>

<file path=customXml/itemProps28.xml><?xml version="1.0" encoding="utf-8"?>
<ds:datastoreItem xmlns:ds="http://schemas.openxmlformats.org/officeDocument/2006/customXml" ds:itemID="{0014D2D0-C498-4760-B86E-A0DECFCE7FD5}">
  <ds:schemaRefs>
    <ds:schemaRef ds:uri="http://schemas.openxmlformats.org/officeDocument/2006/bibliography"/>
  </ds:schemaRefs>
</ds:datastoreItem>
</file>

<file path=customXml/itemProps29.xml><?xml version="1.0" encoding="utf-8"?>
<ds:datastoreItem xmlns:ds="http://schemas.openxmlformats.org/officeDocument/2006/customXml" ds:itemID="{56C783B0-194C-4A5B-8E6F-EA5603549C32}">
  <ds:schemaRefs>
    <ds:schemaRef ds:uri="http://schemas.openxmlformats.org/officeDocument/2006/bibliography"/>
  </ds:schemaRefs>
</ds:datastoreItem>
</file>

<file path=customXml/itemProps3.xml><?xml version="1.0" encoding="utf-8"?>
<ds:datastoreItem xmlns:ds="http://schemas.openxmlformats.org/officeDocument/2006/customXml" ds:itemID="{0F7FF9EA-C51C-4CA3-8BBC-A265AE0BC989}">
  <ds:schemaRefs>
    <ds:schemaRef ds:uri="http://schemas.openxmlformats.org/officeDocument/2006/bibliography"/>
  </ds:schemaRefs>
</ds:datastoreItem>
</file>

<file path=customXml/itemProps30.xml><?xml version="1.0" encoding="utf-8"?>
<ds:datastoreItem xmlns:ds="http://schemas.openxmlformats.org/officeDocument/2006/customXml" ds:itemID="{3061D8A5-6C2D-4745-8615-75166894F4B9}">
  <ds:schemaRefs>
    <ds:schemaRef ds:uri="http://schemas.openxmlformats.org/officeDocument/2006/bibliography"/>
  </ds:schemaRefs>
</ds:datastoreItem>
</file>

<file path=customXml/itemProps31.xml><?xml version="1.0" encoding="utf-8"?>
<ds:datastoreItem xmlns:ds="http://schemas.openxmlformats.org/officeDocument/2006/customXml" ds:itemID="{11C85EC9-E5BD-4696-9528-7C0087307C15}">
  <ds:schemaRefs>
    <ds:schemaRef ds:uri="http://schemas.openxmlformats.org/officeDocument/2006/bibliography"/>
  </ds:schemaRefs>
</ds:datastoreItem>
</file>

<file path=customXml/itemProps32.xml><?xml version="1.0" encoding="utf-8"?>
<ds:datastoreItem xmlns:ds="http://schemas.openxmlformats.org/officeDocument/2006/customXml" ds:itemID="{688CDF07-3C40-4376-80AF-0A4E2F5AD4BA}">
  <ds:schemaRefs>
    <ds:schemaRef ds:uri="http://schemas.openxmlformats.org/officeDocument/2006/bibliography"/>
  </ds:schemaRefs>
</ds:datastoreItem>
</file>

<file path=customXml/itemProps33.xml><?xml version="1.0" encoding="utf-8"?>
<ds:datastoreItem xmlns:ds="http://schemas.openxmlformats.org/officeDocument/2006/customXml" ds:itemID="{0F969613-BED8-422C-9325-17B72E97C422}">
  <ds:schemaRefs>
    <ds:schemaRef ds:uri="http://schemas.openxmlformats.org/officeDocument/2006/bibliography"/>
  </ds:schemaRefs>
</ds:datastoreItem>
</file>

<file path=customXml/itemProps34.xml><?xml version="1.0" encoding="utf-8"?>
<ds:datastoreItem xmlns:ds="http://schemas.openxmlformats.org/officeDocument/2006/customXml" ds:itemID="{097AE7E7-9888-493B-B5CF-6905DEF27CE1}">
  <ds:schemaRefs>
    <ds:schemaRef ds:uri="http://schemas.openxmlformats.org/officeDocument/2006/bibliography"/>
  </ds:schemaRefs>
</ds:datastoreItem>
</file>

<file path=customXml/itemProps35.xml><?xml version="1.0" encoding="utf-8"?>
<ds:datastoreItem xmlns:ds="http://schemas.openxmlformats.org/officeDocument/2006/customXml" ds:itemID="{619CC56C-3AFE-467E-B87D-C0F8B27CBFC5}">
  <ds:schemaRefs>
    <ds:schemaRef ds:uri="http://schemas.openxmlformats.org/officeDocument/2006/bibliography"/>
  </ds:schemaRefs>
</ds:datastoreItem>
</file>

<file path=customXml/itemProps36.xml><?xml version="1.0" encoding="utf-8"?>
<ds:datastoreItem xmlns:ds="http://schemas.openxmlformats.org/officeDocument/2006/customXml" ds:itemID="{69984C3F-30E1-4F50-9C6E-AE39707C9D94}">
  <ds:schemaRefs>
    <ds:schemaRef ds:uri="http://schemas.openxmlformats.org/officeDocument/2006/bibliography"/>
  </ds:schemaRefs>
</ds:datastoreItem>
</file>

<file path=customXml/itemProps37.xml><?xml version="1.0" encoding="utf-8"?>
<ds:datastoreItem xmlns:ds="http://schemas.openxmlformats.org/officeDocument/2006/customXml" ds:itemID="{6BE4124E-487E-4987-AC2C-414474C1B36E}">
  <ds:schemaRefs>
    <ds:schemaRef ds:uri="http://schemas.openxmlformats.org/officeDocument/2006/bibliography"/>
  </ds:schemaRefs>
</ds:datastoreItem>
</file>

<file path=customXml/itemProps38.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39.xml><?xml version="1.0" encoding="utf-8"?>
<ds:datastoreItem xmlns:ds="http://schemas.openxmlformats.org/officeDocument/2006/customXml" ds:itemID="{ADEAA222-3D7D-4D77-8DB1-BF9B3652C4B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0.xml><?xml version="1.0" encoding="utf-8"?>
<ds:datastoreItem xmlns:ds="http://schemas.openxmlformats.org/officeDocument/2006/customXml" ds:itemID="{84335FEC-61BE-427C-A960-CED6FF5C4D6A}">
  <ds:schemaRefs>
    <ds:schemaRef ds:uri="http://schemas.openxmlformats.org/officeDocument/2006/bibliography"/>
  </ds:schemaRefs>
</ds:datastoreItem>
</file>

<file path=customXml/itemProps41.xml><?xml version="1.0" encoding="utf-8"?>
<ds:datastoreItem xmlns:ds="http://schemas.openxmlformats.org/officeDocument/2006/customXml" ds:itemID="{DAEFE7B6-E96B-4C49-9B25-38B65481554D}">
  <ds:schemaRefs>
    <ds:schemaRef ds:uri="http://schemas.openxmlformats.org/officeDocument/2006/bibliography"/>
  </ds:schemaRefs>
</ds:datastoreItem>
</file>

<file path=customXml/itemProps42.xml><?xml version="1.0" encoding="utf-8"?>
<ds:datastoreItem xmlns:ds="http://schemas.openxmlformats.org/officeDocument/2006/customXml" ds:itemID="{4A080C8A-9E2B-4F12-82A1-5D497FC4275A}">
  <ds:schemaRefs>
    <ds:schemaRef ds:uri="http://schemas.openxmlformats.org/officeDocument/2006/bibliography"/>
  </ds:schemaRefs>
</ds:datastoreItem>
</file>

<file path=customXml/itemProps43.xml><?xml version="1.0" encoding="utf-8"?>
<ds:datastoreItem xmlns:ds="http://schemas.openxmlformats.org/officeDocument/2006/customXml" ds:itemID="{BDC29C3D-54FB-467C-B329-E747A6BACDE0}">
  <ds:schemaRefs>
    <ds:schemaRef ds:uri="http://schemas.openxmlformats.org/officeDocument/2006/bibliography"/>
  </ds:schemaRefs>
</ds:datastoreItem>
</file>

<file path=customXml/itemProps44.xml><?xml version="1.0" encoding="utf-8"?>
<ds:datastoreItem xmlns:ds="http://schemas.openxmlformats.org/officeDocument/2006/customXml" ds:itemID="{1B3DA8B5-4765-4867-BBC8-41C7F7341BD8}">
  <ds:schemaRefs>
    <ds:schemaRef ds:uri="http://schemas.openxmlformats.org/officeDocument/2006/bibliography"/>
  </ds:schemaRefs>
</ds:datastoreItem>
</file>

<file path=customXml/itemProps45.xml><?xml version="1.0" encoding="utf-8"?>
<ds:datastoreItem xmlns:ds="http://schemas.openxmlformats.org/officeDocument/2006/customXml" ds:itemID="{E0117926-8BC6-4225-8B31-9EAD6B7B1B50}">
  <ds:schemaRefs>
    <ds:schemaRef ds:uri="http://schemas.openxmlformats.org/officeDocument/2006/bibliography"/>
  </ds:schemaRefs>
</ds:datastoreItem>
</file>

<file path=customXml/itemProps5.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6.xml><?xml version="1.0" encoding="utf-8"?>
<ds:datastoreItem xmlns:ds="http://schemas.openxmlformats.org/officeDocument/2006/customXml" ds:itemID="{EE943400-BFEA-41CC-818F-D6A60A92E3BE}">
  <ds:schemaRefs>
    <ds:schemaRef ds:uri="http://schemas.openxmlformats.org/officeDocument/2006/bibliography"/>
  </ds:schemaRefs>
</ds:datastoreItem>
</file>

<file path=customXml/itemProps7.xml><?xml version="1.0" encoding="utf-8"?>
<ds:datastoreItem xmlns:ds="http://schemas.openxmlformats.org/officeDocument/2006/customXml" ds:itemID="{D9136FA3-31F4-4816-B1FE-99FD14E8E66C}">
  <ds:schemaRefs>
    <ds:schemaRef ds:uri="http://schemas.openxmlformats.org/officeDocument/2006/bibliography"/>
  </ds:schemaRefs>
</ds:datastoreItem>
</file>

<file path=customXml/itemProps8.xml><?xml version="1.0" encoding="utf-8"?>
<ds:datastoreItem xmlns:ds="http://schemas.openxmlformats.org/officeDocument/2006/customXml" ds:itemID="{FEDAC857-AA8C-4E54-BB37-DFD3621DD21A}">
  <ds:schemaRefs>
    <ds:schemaRef ds:uri="http://schemas.openxmlformats.org/officeDocument/2006/bibliography"/>
  </ds:schemaRefs>
</ds:datastoreItem>
</file>

<file path=customXml/itemProps9.xml><?xml version="1.0" encoding="utf-8"?>
<ds:datastoreItem xmlns:ds="http://schemas.openxmlformats.org/officeDocument/2006/customXml" ds:itemID="{FA98ADD8-2AD9-4BDA-8BF4-AF46458E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4319</Words>
  <Characters>24623</Characters>
  <Application>Microsoft Office Word</Application>
  <DocSecurity>0</DocSecurity>
  <Lines>205</Lines>
  <Paragraphs>57</Paragraphs>
  <ScaleCrop>false</ScaleCrop>
  <Company/>
  <LinksUpToDate>false</LinksUpToDate>
  <CharactersWithSpaces>28885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37</cp:revision>
  <cp:lastPrinted>2021-01-18T06:03:00Z</cp:lastPrinted>
  <dcterms:created xsi:type="dcterms:W3CDTF">2020-09-16T12:59:00Z</dcterms:created>
  <dcterms:modified xsi:type="dcterms:W3CDTF">2022-02-09T05:42:00Z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2052-11.1.0.11194</vt:lpwstr>
  </property>
  <property fmtid="{D5CDD505-2E9C-101B-9397-08002B2CF9AE}" pid="5" name="ICV">
    <vt:lpwstr>5E08C028BDC641CB80E9AD9E02E6258E</vt:lpwstr>
  </property>
</Properties>
</file>