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D8" w:rsidRDefault="000D7B19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东方阿尔法基金管理有限公司关于旗下基金增加</w:t>
      </w:r>
    </w:p>
    <w:p w:rsidR="001F2AD8" w:rsidRDefault="001338B8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东方财富证券股份有限公司</w:t>
      </w:r>
      <w:r w:rsidR="000D7B19"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:rsidR="001F2AD8" w:rsidRDefault="001F2AD8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 w:rsidR="007E3C34">
        <w:rPr>
          <w:rFonts w:ascii="Times New Roman" w:eastAsia="宋体" w:hAnsi="Times New Roman" w:cs="Times New Roman" w:hint="eastAsia"/>
          <w:sz w:val="24"/>
          <w:szCs w:val="28"/>
        </w:rPr>
        <w:t>“</w:t>
      </w:r>
      <w:r>
        <w:rPr>
          <w:rFonts w:ascii="Times New Roman" w:eastAsia="宋体" w:hAnsi="Times New Roman" w:cs="Times New Roman"/>
          <w:sz w:val="24"/>
          <w:szCs w:val="28"/>
        </w:rPr>
        <w:t>我司</w:t>
      </w:r>
      <w:r w:rsidR="007E3C34">
        <w:rPr>
          <w:rFonts w:ascii="Times New Roman" w:eastAsia="宋体" w:hAnsi="Times New Roman" w:cs="Times New Roman" w:hint="eastAsia"/>
          <w:sz w:val="24"/>
          <w:szCs w:val="28"/>
        </w:rPr>
        <w:t>”</w:t>
      </w:r>
      <w:r>
        <w:rPr>
          <w:rFonts w:ascii="Times New Roman" w:eastAsia="宋体" w:hAnsi="Times New Roman" w:cs="Times New Roman"/>
          <w:sz w:val="24"/>
          <w:szCs w:val="28"/>
        </w:rPr>
        <w:t>）与</w:t>
      </w:r>
      <w:r w:rsidR="001338B8">
        <w:rPr>
          <w:rFonts w:ascii="Times New Roman" w:eastAsia="宋体" w:hAnsi="Times New Roman" w:cs="Times New Roman" w:hint="eastAsia"/>
          <w:sz w:val="24"/>
          <w:szCs w:val="28"/>
        </w:rPr>
        <w:t>东方财富证券股份有限公司</w:t>
      </w:r>
      <w:r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 w:rsidR="001338B8" w:rsidRPr="003E1D2C">
        <w:rPr>
          <w:rFonts w:ascii="Times New Roman" w:eastAsia="宋体" w:hAnsi="Times New Roman" w:cs="Times New Roman"/>
          <w:sz w:val="24"/>
          <w:szCs w:val="28"/>
        </w:rPr>
        <w:t>2022</w:t>
      </w:r>
      <w:r w:rsidRPr="003E1D2C">
        <w:rPr>
          <w:rFonts w:ascii="Times New Roman" w:eastAsia="宋体" w:hAnsi="Times New Roman" w:cs="Times New Roman"/>
          <w:sz w:val="24"/>
          <w:szCs w:val="28"/>
        </w:rPr>
        <w:t>年</w:t>
      </w:r>
      <w:r w:rsidR="003E1D2C" w:rsidRPr="003E1D2C">
        <w:rPr>
          <w:rFonts w:ascii="Times New Roman" w:eastAsia="宋体" w:hAnsi="Times New Roman" w:cs="Times New Roman"/>
          <w:sz w:val="24"/>
          <w:szCs w:val="28"/>
        </w:rPr>
        <w:t>3</w:t>
      </w:r>
      <w:r w:rsidRPr="003E1D2C">
        <w:rPr>
          <w:rFonts w:ascii="Times New Roman" w:eastAsia="宋体" w:hAnsi="Times New Roman" w:cs="Times New Roman"/>
          <w:sz w:val="24"/>
          <w:szCs w:val="28"/>
        </w:rPr>
        <w:t>月</w:t>
      </w:r>
      <w:r w:rsidR="003E1D2C" w:rsidRPr="003E1D2C">
        <w:rPr>
          <w:rFonts w:ascii="Times New Roman" w:eastAsia="宋体" w:hAnsi="Times New Roman" w:cs="Times New Roman"/>
          <w:sz w:val="24"/>
          <w:szCs w:val="28"/>
        </w:rPr>
        <w:t>1</w:t>
      </w:r>
      <w:r w:rsidRPr="003E1D2C">
        <w:rPr>
          <w:rFonts w:ascii="Times New Roman" w:eastAsia="宋体" w:hAnsi="Times New Roman" w:cs="Times New Roman"/>
          <w:sz w:val="24"/>
          <w:szCs w:val="28"/>
        </w:rPr>
        <w:t>日</w:t>
      </w:r>
      <w:r>
        <w:rPr>
          <w:rFonts w:ascii="Times New Roman" w:eastAsia="宋体" w:hAnsi="Times New Roman" w:cs="Times New Roman"/>
          <w:sz w:val="24"/>
          <w:szCs w:val="28"/>
        </w:rPr>
        <w:t>起，我司旗下基金增加</w:t>
      </w:r>
      <w:r w:rsidR="001338B8">
        <w:rPr>
          <w:rFonts w:ascii="Times New Roman" w:eastAsia="宋体" w:hAnsi="Times New Roman" w:cs="Times New Roman"/>
          <w:sz w:val="24"/>
          <w:szCs w:val="28"/>
        </w:rPr>
        <w:t>东方财富证券股份有限公司</w:t>
      </w:r>
      <w:r>
        <w:rPr>
          <w:rFonts w:ascii="Times New Roman" w:eastAsia="宋体" w:hAnsi="Times New Roman" w:cs="Times New Roman"/>
          <w:sz w:val="24"/>
          <w:szCs w:val="28"/>
        </w:rPr>
        <w:t>为销售机构。现将有关事项公告如下</w:t>
      </w:r>
      <w:r w:rsidR="008D4C41">
        <w:rPr>
          <w:rFonts w:ascii="Times New Roman" w:eastAsia="宋体" w:hAnsi="Times New Roman" w:cs="Times New Roman" w:hint="eastAsia"/>
          <w:sz w:val="24"/>
          <w:szCs w:val="28"/>
        </w:rPr>
        <w:t>：</w:t>
      </w:r>
    </w:p>
    <w:p w:rsidR="001F2AD8" w:rsidRDefault="001F2AD8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 w:rsidP="00A22362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5749"/>
      </w:tblGrid>
      <w:tr w:rsidR="001F2AD8" w:rsidTr="00A35AC3">
        <w:trPr>
          <w:trHeight w:val="503"/>
          <w:jc w:val="center"/>
        </w:trPr>
        <w:tc>
          <w:tcPr>
            <w:tcW w:w="704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5749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1F2AD8" w:rsidTr="00A35AC3">
        <w:trPr>
          <w:trHeight w:val="503"/>
          <w:jc w:val="center"/>
        </w:trPr>
        <w:tc>
          <w:tcPr>
            <w:tcW w:w="704" w:type="dxa"/>
            <w:vMerge w:val="restart"/>
            <w:vAlign w:val="center"/>
          </w:tcPr>
          <w:p w:rsidR="001F2AD8" w:rsidRPr="004A2D0C" w:rsidRDefault="000D7B19" w:rsidP="00715B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4A2D0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</w:t>
            </w: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005358</w:t>
            </w:r>
          </w:p>
        </w:tc>
        <w:tc>
          <w:tcPr>
            <w:tcW w:w="5749" w:type="dxa"/>
            <w:vMerge w:val="restart"/>
            <w:vAlign w:val="center"/>
          </w:tcPr>
          <w:p w:rsidR="001F2AD8" w:rsidRDefault="000D7B19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东方阿尔法精选灵活配置混合型发起式证券投资基金</w:t>
            </w:r>
          </w:p>
        </w:tc>
      </w:tr>
      <w:tr w:rsidR="001F2AD8" w:rsidTr="00A35AC3">
        <w:trPr>
          <w:trHeight w:val="503"/>
          <w:jc w:val="center"/>
        </w:trPr>
        <w:tc>
          <w:tcPr>
            <w:tcW w:w="704" w:type="dxa"/>
            <w:vMerge/>
            <w:vAlign w:val="center"/>
          </w:tcPr>
          <w:p w:rsidR="001F2AD8" w:rsidRPr="004A2D0C" w:rsidRDefault="001F2AD8" w:rsidP="00715B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005359</w:t>
            </w:r>
          </w:p>
        </w:tc>
        <w:tc>
          <w:tcPr>
            <w:tcW w:w="5749" w:type="dxa"/>
            <w:vMerge/>
          </w:tcPr>
          <w:p w:rsidR="001F2AD8" w:rsidRDefault="001F2AD8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1F2AD8" w:rsidTr="00A35AC3">
        <w:trPr>
          <w:trHeight w:val="503"/>
          <w:jc w:val="center"/>
        </w:trPr>
        <w:tc>
          <w:tcPr>
            <w:tcW w:w="704" w:type="dxa"/>
            <w:vMerge w:val="restart"/>
            <w:vAlign w:val="center"/>
          </w:tcPr>
          <w:p w:rsidR="001F2AD8" w:rsidRPr="004A2D0C" w:rsidRDefault="000D7B19" w:rsidP="00715B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4A2D0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</w:t>
            </w: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007518</w:t>
            </w:r>
          </w:p>
        </w:tc>
        <w:tc>
          <w:tcPr>
            <w:tcW w:w="5749" w:type="dxa"/>
            <w:vMerge w:val="restart"/>
            <w:vAlign w:val="center"/>
          </w:tcPr>
          <w:p w:rsidR="001F2AD8" w:rsidRPr="00A35AC3" w:rsidRDefault="000D7B19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东方阿尔法优选混合型发起式证券投资基金</w:t>
            </w:r>
          </w:p>
        </w:tc>
      </w:tr>
      <w:tr w:rsidR="001F2AD8" w:rsidTr="00A35AC3">
        <w:trPr>
          <w:trHeight w:val="503"/>
          <w:jc w:val="center"/>
        </w:trPr>
        <w:tc>
          <w:tcPr>
            <w:tcW w:w="704" w:type="dxa"/>
            <w:vMerge/>
          </w:tcPr>
          <w:p w:rsidR="001F2AD8" w:rsidRDefault="001F2AD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007519</w:t>
            </w:r>
          </w:p>
        </w:tc>
        <w:tc>
          <w:tcPr>
            <w:tcW w:w="5749" w:type="dxa"/>
            <w:vMerge/>
          </w:tcPr>
          <w:p w:rsidR="001F2AD8" w:rsidRDefault="001F2AD8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1F2AD8" w:rsidTr="00A35AC3">
        <w:trPr>
          <w:trHeight w:val="450"/>
          <w:jc w:val="center"/>
        </w:trPr>
        <w:tc>
          <w:tcPr>
            <w:tcW w:w="704" w:type="dxa"/>
            <w:vMerge w:val="restart"/>
            <w:vAlign w:val="center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3</w:t>
            </w: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009644</w:t>
            </w:r>
          </w:p>
        </w:tc>
        <w:tc>
          <w:tcPr>
            <w:tcW w:w="5749" w:type="dxa"/>
            <w:vMerge w:val="restart"/>
            <w:vAlign w:val="center"/>
          </w:tcPr>
          <w:p w:rsidR="001F2AD8" w:rsidRDefault="000D7B19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法优势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产业混合型发起式证券投资基金</w:t>
            </w:r>
          </w:p>
        </w:tc>
      </w:tr>
      <w:tr w:rsidR="001F2AD8" w:rsidTr="00A35AC3">
        <w:trPr>
          <w:trHeight w:val="429"/>
          <w:jc w:val="center"/>
        </w:trPr>
        <w:tc>
          <w:tcPr>
            <w:tcW w:w="704" w:type="dxa"/>
            <w:vMerge/>
          </w:tcPr>
          <w:p w:rsidR="001F2AD8" w:rsidRDefault="001F2AD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009645</w:t>
            </w:r>
          </w:p>
        </w:tc>
        <w:tc>
          <w:tcPr>
            <w:tcW w:w="5749" w:type="dxa"/>
            <w:vMerge/>
            <w:vAlign w:val="center"/>
          </w:tcPr>
          <w:p w:rsidR="001F2AD8" w:rsidRDefault="001F2AD8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1F2AD8" w:rsidTr="00A35AC3">
        <w:trPr>
          <w:trHeight w:val="429"/>
          <w:jc w:val="center"/>
        </w:trPr>
        <w:tc>
          <w:tcPr>
            <w:tcW w:w="704" w:type="dxa"/>
            <w:vMerge w:val="restart"/>
            <w:vAlign w:val="center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11184</w:t>
            </w:r>
          </w:p>
        </w:tc>
        <w:tc>
          <w:tcPr>
            <w:tcW w:w="5749" w:type="dxa"/>
            <w:vMerge w:val="restart"/>
            <w:vAlign w:val="center"/>
          </w:tcPr>
          <w:p w:rsidR="001F2AD8" w:rsidRDefault="000D7B19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法</w:t>
            </w:r>
            <w:r w:rsidR="0096664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招阳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混合型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1F2AD8" w:rsidTr="00A35AC3">
        <w:trPr>
          <w:trHeight w:val="429"/>
          <w:jc w:val="center"/>
        </w:trPr>
        <w:tc>
          <w:tcPr>
            <w:tcW w:w="704" w:type="dxa"/>
            <w:vMerge/>
          </w:tcPr>
          <w:p w:rsidR="001F2AD8" w:rsidRDefault="001F2AD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11185</w:t>
            </w:r>
          </w:p>
        </w:tc>
        <w:tc>
          <w:tcPr>
            <w:tcW w:w="5749" w:type="dxa"/>
            <w:vMerge/>
            <w:vAlign w:val="center"/>
          </w:tcPr>
          <w:p w:rsidR="001F2AD8" w:rsidRDefault="001F2AD8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1F2AD8" w:rsidTr="00A35AC3">
        <w:trPr>
          <w:trHeight w:val="429"/>
          <w:jc w:val="center"/>
        </w:trPr>
        <w:tc>
          <w:tcPr>
            <w:tcW w:w="704" w:type="dxa"/>
            <w:vMerge w:val="restart"/>
            <w:vAlign w:val="center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011704</w:t>
            </w:r>
          </w:p>
        </w:tc>
        <w:tc>
          <w:tcPr>
            <w:tcW w:w="5749" w:type="dxa"/>
            <w:vMerge w:val="restart"/>
            <w:vAlign w:val="center"/>
          </w:tcPr>
          <w:p w:rsidR="001F2AD8" w:rsidRDefault="000D7B19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产业先锋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混合型发起式证券投资基金</w:t>
            </w:r>
          </w:p>
        </w:tc>
      </w:tr>
      <w:tr w:rsidR="001F2AD8" w:rsidTr="00A35AC3">
        <w:trPr>
          <w:trHeight w:val="390"/>
          <w:jc w:val="center"/>
        </w:trPr>
        <w:tc>
          <w:tcPr>
            <w:tcW w:w="704" w:type="dxa"/>
            <w:vMerge/>
          </w:tcPr>
          <w:p w:rsidR="001F2AD8" w:rsidRDefault="001F2AD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011705</w:t>
            </w:r>
          </w:p>
        </w:tc>
        <w:tc>
          <w:tcPr>
            <w:tcW w:w="5749" w:type="dxa"/>
            <w:vMerge/>
          </w:tcPr>
          <w:p w:rsidR="001F2AD8" w:rsidRDefault="001F2AD8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</w:tbl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投资人可按照</w:t>
      </w:r>
      <w:r w:rsidR="001338B8">
        <w:rPr>
          <w:rFonts w:ascii="Times New Roman" w:eastAsia="宋体" w:hAnsi="Times New Roman" w:cs="Times New Roman"/>
          <w:sz w:val="24"/>
          <w:szCs w:val="28"/>
        </w:rPr>
        <w:t>东方财富证券股份有限公司</w:t>
      </w:r>
      <w:r>
        <w:rPr>
          <w:rFonts w:ascii="Times New Roman" w:eastAsia="宋体" w:hAnsi="Times New Roman" w:cs="Times New Roman"/>
          <w:sz w:val="24"/>
          <w:szCs w:val="28"/>
        </w:rPr>
        <w:t>提供的方式办理上述基金的开户、申购、赎回、转换</w:t>
      </w:r>
      <w:proofErr w:type="gramStart"/>
      <w:r>
        <w:rPr>
          <w:rFonts w:ascii="Times New Roman" w:eastAsia="宋体" w:hAnsi="Times New Roman" w:cs="Times New Roman"/>
          <w:sz w:val="24"/>
          <w:szCs w:val="28"/>
        </w:rPr>
        <w:t>及定投业务</w:t>
      </w:r>
      <w:proofErr w:type="gramEnd"/>
      <w:r>
        <w:rPr>
          <w:rFonts w:ascii="Times New Roman" w:eastAsia="宋体" w:hAnsi="Times New Roman" w:cs="Times New Roman"/>
          <w:sz w:val="24"/>
          <w:szCs w:val="28"/>
        </w:rPr>
        <w:t>。具体业务办理规则请遵循</w:t>
      </w:r>
      <w:r w:rsidR="001338B8">
        <w:rPr>
          <w:rFonts w:ascii="Times New Roman" w:eastAsia="宋体" w:hAnsi="Times New Roman" w:cs="Times New Roman"/>
          <w:sz w:val="24"/>
          <w:szCs w:val="28"/>
        </w:rPr>
        <w:t>东方财富证券股份有限公司</w:t>
      </w:r>
      <w:r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:rsidR="001F2AD8" w:rsidRDefault="001F2AD8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:rsidR="001F2AD8" w:rsidRDefault="000D7B19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:rsidR="001F2AD8" w:rsidRDefault="000D7B19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、上述申购</w:t>
      </w:r>
      <w:r>
        <w:rPr>
          <w:rFonts w:ascii="Times New Roman" w:eastAsia="宋体" w:hAnsi="Times New Roman" w:cs="Times New Roman"/>
          <w:sz w:val="24"/>
          <w:szCs w:val="28"/>
        </w:rPr>
        <w:t>/</w:t>
      </w:r>
      <w:r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:rsidR="001F2AD8" w:rsidRDefault="000D7B19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</w:t>
      </w:r>
      <w:r>
        <w:rPr>
          <w:rFonts w:ascii="Times New Roman" w:eastAsia="宋体" w:hAnsi="Times New Roman" w:cs="Times New Roman"/>
          <w:sz w:val="24"/>
          <w:szCs w:val="28"/>
        </w:rPr>
        <w:lastRenderedPageBreak/>
        <w:t>况购买与本人风险承受能力相匹配的产品。</w:t>
      </w:r>
    </w:p>
    <w:p w:rsidR="001F2AD8" w:rsidRDefault="001F2AD8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:rsidR="001F2AD8" w:rsidRDefault="000D7B19" w:rsidP="001773A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</w:t>
      </w:r>
      <w:r w:rsidR="001338B8">
        <w:rPr>
          <w:rFonts w:ascii="Times New Roman" w:eastAsia="宋体" w:hAnsi="Times New Roman" w:cs="Times New Roman"/>
          <w:sz w:val="24"/>
          <w:szCs w:val="28"/>
        </w:rPr>
        <w:t>东方财富证券股份有限公司</w:t>
      </w:r>
    </w:p>
    <w:p w:rsidR="001F2AD8" w:rsidRPr="001773A1" w:rsidRDefault="000D7B1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 w:rsidR="001338B8">
        <w:rPr>
          <w:rFonts w:ascii="Times New Roman" w:eastAsia="宋体" w:hAnsi="Times New Roman" w:cs="Times New Roman"/>
          <w:sz w:val="24"/>
          <w:szCs w:val="28"/>
        </w:rPr>
        <w:t>95357</w:t>
      </w:r>
    </w:p>
    <w:p w:rsidR="001338B8" w:rsidRDefault="000D7B19" w:rsidP="00141D5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r>
        <w:rPr>
          <w:rFonts w:ascii="Times New Roman" w:eastAsia="宋体" w:hAnsi="Times New Roman" w:cs="Times New Roman"/>
          <w:sz w:val="24"/>
          <w:szCs w:val="28"/>
        </w:rPr>
        <w:t xml:space="preserve"> </w:t>
      </w:r>
      <w:hyperlink r:id="rId7" w:history="1">
        <w:r w:rsidR="00526AFB" w:rsidRPr="008B33C4">
          <w:rPr>
            <w:rStyle w:val="a9"/>
            <w:rFonts w:ascii="Times New Roman" w:eastAsia="宋体" w:hAnsi="Times New Roman" w:cs="Times New Roman"/>
            <w:sz w:val="24"/>
            <w:szCs w:val="28"/>
          </w:rPr>
          <w:t>www.18.cn</w:t>
        </w:r>
      </w:hyperlink>
    </w:p>
    <w:p w:rsidR="001F2AD8" w:rsidRDefault="000D7B19" w:rsidP="00141D5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、东方阿尔法基金管理有限公司</w:t>
      </w:r>
    </w:p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东方阿尔法基金客服电话：</w:t>
      </w:r>
      <w:r>
        <w:rPr>
          <w:rFonts w:ascii="Times New Roman" w:eastAsia="宋体" w:hAnsi="Times New Roman" w:cs="Times New Roman"/>
          <w:sz w:val="24"/>
          <w:szCs w:val="28"/>
        </w:rPr>
        <w:t>400-930-6677</w:t>
      </w:r>
    </w:p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东方阿尔法基金网址：</w:t>
      </w:r>
      <w:hyperlink r:id="rId8" w:history="1">
        <w:r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:rsidR="001F2AD8" w:rsidRDefault="001F2AD8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</w:t>
      </w: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元初始面值开展基金募集，在市场波动等因素的影响下，基金投资仍有可能出现亏损或基金净值仍有可能低于初始面值。敬请投资者留意投资风险。</w:t>
      </w:r>
    </w:p>
    <w:p w:rsidR="001F2AD8" w:rsidRDefault="001F2AD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:rsidR="001F2AD8" w:rsidRDefault="001F2AD8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1F2AD8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:rsidR="001F2AD8" w:rsidRDefault="000D7B19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   </w:t>
      </w:r>
      <w:r w:rsidR="003E1D2C" w:rsidRPr="003E1D2C">
        <w:rPr>
          <w:rFonts w:ascii="Times New Roman" w:eastAsia="宋体" w:hAnsi="Times New Roman" w:cs="Times New Roman"/>
          <w:sz w:val="24"/>
          <w:szCs w:val="28"/>
        </w:rPr>
        <w:t>2022</w:t>
      </w:r>
      <w:r w:rsidR="003E1D2C" w:rsidRPr="003E1D2C">
        <w:rPr>
          <w:rFonts w:ascii="Times New Roman" w:eastAsia="宋体" w:hAnsi="Times New Roman" w:cs="Times New Roman"/>
          <w:sz w:val="24"/>
          <w:szCs w:val="28"/>
        </w:rPr>
        <w:t>年</w:t>
      </w:r>
      <w:r w:rsidR="003E1D2C" w:rsidRPr="003E1D2C">
        <w:rPr>
          <w:rFonts w:ascii="Times New Roman" w:eastAsia="宋体" w:hAnsi="Times New Roman" w:cs="Times New Roman"/>
          <w:sz w:val="24"/>
          <w:szCs w:val="28"/>
        </w:rPr>
        <w:t>3</w:t>
      </w:r>
      <w:r w:rsidR="003E1D2C" w:rsidRPr="003E1D2C">
        <w:rPr>
          <w:rFonts w:ascii="Times New Roman" w:eastAsia="宋体" w:hAnsi="Times New Roman" w:cs="Times New Roman"/>
          <w:sz w:val="24"/>
          <w:szCs w:val="28"/>
        </w:rPr>
        <w:t>月</w:t>
      </w:r>
      <w:r w:rsidR="003E1D2C" w:rsidRPr="003E1D2C">
        <w:rPr>
          <w:rFonts w:ascii="Times New Roman" w:eastAsia="宋体" w:hAnsi="Times New Roman" w:cs="Times New Roman"/>
          <w:sz w:val="24"/>
          <w:szCs w:val="28"/>
        </w:rPr>
        <w:t>1</w:t>
      </w:r>
      <w:r w:rsidR="003E1D2C" w:rsidRPr="003E1D2C">
        <w:rPr>
          <w:rFonts w:ascii="Times New Roman" w:eastAsia="宋体" w:hAnsi="Times New Roman" w:cs="Times New Roman"/>
          <w:sz w:val="24"/>
          <w:szCs w:val="28"/>
        </w:rPr>
        <w:t>日</w:t>
      </w:r>
      <w:bookmarkStart w:id="0" w:name="_GoBack"/>
      <w:bookmarkEnd w:id="0"/>
    </w:p>
    <w:sectPr w:rsidR="001F2AD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B1E" w:rsidRDefault="00257B1E">
      <w:r>
        <w:separator/>
      </w:r>
    </w:p>
  </w:endnote>
  <w:endnote w:type="continuationSeparator" w:id="0">
    <w:p w:rsidR="00257B1E" w:rsidRDefault="0025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B1E" w:rsidRDefault="00257B1E">
      <w:r>
        <w:separator/>
      </w:r>
    </w:p>
  </w:footnote>
  <w:footnote w:type="continuationSeparator" w:id="0">
    <w:p w:rsidR="00257B1E" w:rsidRDefault="00257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D8" w:rsidRDefault="000D7B19">
    <w:pPr>
      <w:pStyle w:val="a6"/>
      <w:ind w:firstLineChars="50" w:firstLine="90"/>
      <w:jc w:val="left"/>
    </w:pPr>
    <w:r>
      <w:rPr>
        <w:rFonts w:hint="eastAsia"/>
        <w:noProof/>
      </w:rPr>
      <w:drawing>
        <wp:inline distT="0" distB="0" distL="0" distR="0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4177D"/>
    <w:rsid w:val="000606F2"/>
    <w:rsid w:val="0008268A"/>
    <w:rsid w:val="000D7B19"/>
    <w:rsid w:val="00110B40"/>
    <w:rsid w:val="00114551"/>
    <w:rsid w:val="001220D4"/>
    <w:rsid w:val="001338B8"/>
    <w:rsid w:val="00141D53"/>
    <w:rsid w:val="00143F57"/>
    <w:rsid w:val="001773A1"/>
    <w:rsid w:val="001A4C04"/>
    <w:rsid w:val="001C35F8"/>
    <w:rsid w:val="001C3E73"/>
    <w:rsid w:val="001F2AD8"/>
    <w:rsid w:val="002354CC"/>
    <w:rsid w:val="0025679D"/>
    <w:rsid w:val="00257B1E"/>
    <w:rsid w:val="00263B66"/>
    <w:rsid w:val="00277A25"/>
    <w:rsid w:val="002912F5"/>
    <w:rsid w:val="002A3043"/>
    <w:rsid w:val="002D16FC"/>
    <w:rsid w:val="0034158D"/>
    <w:rsid w:val="00344324"/>
    <w:rsid w:val="003B0BD5"/>
    <w:rsid w:val="003B0DE3"/>
    <w:rsid w:val="003D2686"/>
    <w:rsid w:val="003D5472"/>
    <w:rsid w:val="003E1D2C"/>
    <w:rsid w:val="003F2031"/>
    <w:rsid w:val="00402BD4"/>
    <w:rsid w:val="004A2D0C"/>
    <w:rsid w:val="004C4731"/>
    <w:rsid w:val="00511D40"/>
    <w:rsid w:val="005175CF"/>
    <w:rsid w:val="00526AFB"/>
    <w:rsid w:val="00527C23"/>
    <w:rsid w:val="005457C3"/>
    <w:rsid w:val="005F3399"/>
    <w:rsid w:val="00616902"/>
    <w:rsid w:val="00673149"/>
    <w:rsid w:val="006A55B1"/>
    <w:rsid w:val="006D1327"/>
    <w:rsid w:val="006E28A4"/>
    <w:rsid w:val="006F5807"/>
    <w:rsid w:val="00701039"/>
    <w:rsid w:val="00705E3C"/>
    <w:rsid w:val="00715BD7"/>
    <w:rsid w:val="007358D7"/>
    <w:rsid w:val="00745385"/>
    <w:rsid w:val="00745A69"/>
    <w:rsid w:val="00745BD9"/>
    <w:rsid w:val="00761DBB"/>
    <w:rsid w:val="00773CE1"/>
    <w:rsid w:val="00782739"/>
    <w:rsid w:val="00787CBE"/>
    <w:rsid w:val="007946E0"/>
    <w:rsid w:val="007E2506"/>
    <w:rsid w:val="007E3C34"/>
    <w:rsid w:val="008174C8"/>
    <w:rsid w:val="00881A92"/>
    <w:rsid w:val="00881FB9"/>
    <w:rsid w:val="008D1191"/>
    <w:rsid w:val="008D4C41"/>
    <w:rsid w:val="00916F09"/>
    <w:rsid w:val="009355DF"/>
    <w:rsid w:val="0096664A"/>
    <w:rsid w:val="009960EC"/>
    <w:rsid w:val="009A5D4B"/>
    <w:rsid w:val="009C10F2"/>
    <w:rsid w:val="009C69A0"/>
    <w:rsid w:val="009E1B49"/>
    <w:rsid w:val="009F6A81"/>
    <w:rsid w:val="00A0161D"/>
    <w:rsid w:val="00A06F43"/>
    <w:rsid w:val="00A22362"/>
    <w:rsid w:val="00A310E2"/>
    <w:rsid w:val="00A35AC3"/>
    <w:rsid w:val="00A44B64"/>
    <w:rsid w:val="00A4651D"/>
    <w:rsid w:val="00A52734"/>
    <w:rsid w:val="00B06542"/>
    <w:rsid w:val="00B267E2"/>
    <w:rsid w:val="00B52CBC"/>
    <w:rsid w:val="00B6576C"/>
    <w:rsid w:val="00BC0E97"/>
    <w:rsid w:val="00C108BC"/>
    <w:rsid w:val="00C56C57"/>
    <w:rsid w:val="00C77FBC"/>
    <w:rsid w:val="00D34703"/>
    <w:rsid w:val="00D62B52"/>
    <w:rsid w:val="00D632E2"/>
    <w:rsid w:val="00D674D1"/>
    <w:rsid w:val="00D73CFA"/>
    <w:rsid w:val="00DB2993"/>
    <w:rsid w:val="00E3011C"/>
    <w:rsid w:val="00E31013"/>
    <w:rsid w:val="00E33E14"/>
    <w:rsid w:val="00E60895"/>
    <w:rsid w:val="00E91ABC"/>
    <w:rsid w:val="00E93EA7"/>
    <w:rsid w:val="00EA0AF0"/>
    <w:rsid w:val="00EB69C8"/>
    <w:rsid w:val="00F62750"/>
    <w:rsid w:val="00F7249B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D6BB94-437A-4CF7-992C-36FAA21E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b">
    <w:name w:val="List Paragraph"/>
    <w:basedOn w:val="a"/>
    <w:uiPriority w:val="99"/>
    <w:rsid w:val="004A2D0C"/>
    <w:pPr>
      <w:ind w:firstLineChars="200" w:firstLine="420"/>
    </w:pPr>
  </w:style>
  <w:style w:type="character" w:styleId="ac">
    <w:name w:val="FollowedHyperlink"/>
    <w:basedOn w:val="a0"/>
    <w:uiPriority w:val="99"/>
    <w:semiHidden/>
    <w:unhideWhenUsed/>
    <w:rsid w:val="001338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a66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8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820</Words>
  <Characters>290</Characters>
  <Application>Microsoft Office Word</Application>
  <DocSecurity>0</DocSecurity>
  <Lines>2</Lines>
  <Paragraphs>2</Paragraphs>
  <ScaleCrop>false</ScaleCrop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白小雪</cp:lastModifiedBy>
  <cp:revision>68</cp:revision>
  <cp:lastPrinted>2021-12-13T03:30:00Z</cp:lastPrinted>
  <dcterms:created xsi:type="dcterms:W3CDTF">2021-02-26T05:06:00Z</dcterms:created>
  <dcterms:modified xsi:type="dcterms:W3CDTF">2022-02-24T05:02:00Z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