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sz w:val="28"/>
          <w:szCs w:val="28"/>
        </w:rPr>
      </w:pPr>
      <w:r>
        <w:rPr>
          <w:rFonts w:ascii="Times New Roman" w:hAnsi="Times New Roman" w:eastAsia="宋体" w:cs="Times New Roman"/>
          <w:b/>
          <w:sz w:val="28"/>
          <w:szCs w:val="28"/>
        </w:rPr>
        <w:t>关于东方阿尔法医疗健康混合型发起式证券投资基金增加</w:t>
      </w:r>
    </w:p>
    <w:p>
      <w:pPr>
        <w:widowControl/>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中信建投证券股份有限公司</w:t>
      </w:r>
      <w:r>
        <w:rPr>
          <w:rFonts w:ascii="Times New Roman" w:hAnsi="Times New Roman" w:eastAsia="宋体" w:cs="Times New Roman"/>
          <w:b/>
          <w:sz w:val="28"/>
          <w:szCs w:val="28"/>
        </w:rPr>
        <w:t>为销售机构的公告</w:t>
      </w:r>
    </w:p>
    <w:p>
      <w:pPr>
        <w:jc w:val="center"/>
        <w:rPr>
          <w:rFonts w:ascii="Times New Roman" w:hAnsi="Times New Roman" w:eastAsia="宋体" w:cs="Times New Roman"/>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根据东方阿尔法基金管理有限公司（简称“我司”）与</w:t>
      </w:r>
      <w:r>
        <w:rPr>
          <w:rFonts w:hint="eastAsia" w:ascii="Times New Roman" w:hAnsi="Times New Roman" w:eastAsia="宋体" w:cs="Times New Roman"/>
          <w:sz w:val="24"/>
          <w:szCs w:val="28"/>
        </w:rPr>
        <w:t>中信建投证券股份有限公司</w:t>
      </w:r>
      <w:r>
        <w:rPr>
          <w:rFonts w:ascii="Times New Roman" w:hAnsi="Times New Roman" w:eastAsia="宋体" w:cs="Times New Roman"/>
          <w:sz w:val="24"/>
          <w:szCs w:val="28"/>
        </w:rPr>
        <w:t>签署的销售服务协议，自2022年3月15日起，我司旗下东方阿尔法医疗健康混合型发起式证券投资基金增加</w:t>
      </w:r>
      <w:r>
        <w:rPr>
          <w:rFonts w:hint="eastAsia" w:ascii="Times New Roman" w:hAnsi="Times New Roman" w:eastAsia="宋体" w:cs="Times New Roman"/>
          <w:sz w:val="24"/>
          <w:szCs w:val="28"/>
        </w:rPr>
        <w:t>中信建投证券股份有限公司</w:t>
      </w:r>
      <w:r>
        <w:rPr>
          <w:rFonts w:ascii="Times New Roman" w:hAnsi="Times New Roman" w:eastAsia="宋体" w:cs="Times New Roman"/>
          <w:sz w:val="24"/>
          <w:szCs w:val="28"/>
        </w:rPr>
        <w:t>为销售机构。现将有关事项公告如下</w:t>
      </w:r>
    </w:p>
    <w:p>
      <w:pPr>
        <w:spacing w:line="360" w:lineRule="auto"/>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一、涉及基金及业务范围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86"/>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序号</w:t>
            </w:r>
          </w:p>
        </w:tc>
        <w:tc>
          <w:tcPr>
            <w:tcW w:w="2486"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基金代码</w:t>
            </w:r>
          </w:p>
        </w:tc>
        <w:tc>
          <w:tcPr>
            <w:tcW w:w="5003"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7" w:type="dxa"/>
            <w:vMerge w:val="restart"/>
            <w:vAlign w:val="center"/>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A类：014841</w:t>
            </w:r>
          </w:p>
        </w:tc>
        <w:tc>
          <w:tcPr>
            <w:tcW w:w="5003" w:type="dxa"/>
            <w:vMerge w:val="restart"/>
          </w:tcPr>
          <w:p>
            <w:pPr>
              <w:spacing w:line="360" w:lineRule="auto"/>
              <w:jc w:val="center"/>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t>东方阿尔法医疗健康混合型发起式</w:t>
            </w:r>
          </w:p>
          <w:p>
            <w:pPr>
              <w:spacing w:line="360" w:lineRule="auto"/>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tcPr>
          <w:p>
            <w:pPr>
              <w:spacing w:line="360" w:lineRule="auto"/>
              <w:jc w:val="center"/>
              <w:rPr>
                <w:rFonts w:ascii="Times New Roman" w:hAnsi="Times New Roman" w:eastAsia="宋体" w:cs="Times New Roman"/>
                <w:b/>
                <w:sz w:val="24"/>
                <w:szCs w:val="28"/>
              </w:rPr>
            </w:pPr>
          </w:p>
        </w:tc>
        <w:tc>
          <w:tcPr>
            <w:tcW w:w="2486" w:type="dxa"/>
            <w:vAlign w:val="center"/>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C类：014842</w:t>
            </w:r>
          </w:p>
        </w:tc>
        <w:tc>
          <w:tcPr>
            <w:tcW w:w="5003" w:type="dxa"/>
            <w:vMerge w:val="continue"/>
            <w:vAlign w:val="center"/>
          </w:tcPr>
          <w:p>
            <w:pPr>
              <w:spacing w:line="360" w:lineRule="auto"/>
              <w:rPr>
                <w:rFonts w:ascii="Times New Roman" w:hAnsi="Times New Roman" w:eastAsia="宋体" w:cs="Times New Roman"/>
                <w:b/>
                <w:sz w:val="24"/>
                <w:szCs w:val="28"/>
              </w:rPr>
            </w:pPr>
          </w:p>
        </w:tc>
      </w:tr>
    </w:tbl>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投资人可按照中信建投证券股份有限公司提供的方式办理上述基金的开户、</w:t>
      </w:r>
      <w:r>
        <w:rPr>
          <w:rFonts w:hint="eastAsia" w:ascii="Times New Roman" w:hAnsi="Times New Roman" w:eastAsia="宋体" w:cs="Times New Roman"/>
          <w:sz w:val="24"/>
          <w:szCs w:val="28"/>
        </w:rPr>
        <w:t>认购</w:t>
      </w:r>
      <w:r>
        <w:rPr>
          <w:rFonts w:ascii="Times New Roman" w:hAnsi="Times New Roman" w:eastAsia="宋体" w:cs="Times New Roman"/>
          <w:sz w:val="24"/>
          <w:szCs w:val="28"/>
        </w:rPr>
        <w:t>、申购、赎回、转换及定投业务。具体业务办理规则请遵循中信建投证券股份有限公司的相关规定。</w:t>
      </w:r>
    </w:p>
    <w:p>
      <w:pPr>
        <w:spacing w:line="360" w:lineRule="auto"/>
        <w:rPr>
          <w:rFonts w:ascii="Times New Roman" w:hAnsi="Times New Roman" w:eastAsia="宋体" w:cs="Times New Roman"/>
          <w:b/>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二、重要提示</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1、上述</w:t>
      </w:r>
      <w:r>
        <w:rPr>
          <w:rFonts w:hint="eastAsia" w:ascii="Times New Roman" w:hAnsi="Times New Roman" w:eastAsia="宋体" w:cs="Times New Roman"/>
          <w:sz w:val="24"/>
          <w:szCs w:val="28"/>
        </w:rPr>
        <w:t>认/申</w:t>
      </w:r>
      <w:r>
        <w:rPr>
          <w:rFonts w:ascii="Times New Roman" w:hAnsi="Times New Roman" w:eastAsia="宋体" w:cs="Times New Roman"/>
          <w:sz w:val="24"/>
          <w:szCs w:val="28"/>
        </w:rPr>
        <w:t>购/赎回业务仅适用于处于正常</w:t>
      </w:r>
      <w:r>
        <w:rPr>
          <w:rFonts w:hint="eastAsia" w:ascii="Times New Roman" w:hAnsi="Times New Roman" w:eastAsia="宋体" w:cs="Times New Roman"/>
          <w:sz w:val="24"/>
          <w:szCs w:val="28"/>
        </w:rPr>
        <w:t>认/</w:t>
      </w:r>
      <w:r>
        <w:rPr>
          <w:rFonts w:ascii="Times New Roman" w:hAnsi="Times New Roman" w:eastAsia="宋体" w:cs="Times New Roman"/>
          <w:sz w:val="24"/>
          <w:szCs w:val="28"/>
        </w:rPr>
        <w:t>申购、赎回开放日和开放时间的基金。基金封闭期等特殊期间的有关规定详见对应基金的《基金合同》</w:t>
      </w:r>
      <w:r>
        <w:rPr>
          <w:rFonts w:hint="eastAsia" w:ascii="Times New Roman" w:hAnsi="Times New Roman" w:eastAsia="宋体" w:cs="Times New Roman"/>
          <w:sz w:val="24"/>
          <w:szCs w:val="28"/>
        </w:rPr>
        <w:t>、</w:t>
      </w:r>
      <w:r>
        <w:rPr>
          <w:rFonts w:ascii="Times New Roman" w:hAnsi="Times New Roman" w:eastAsia="宋体" w:cs="Times New Roman"/>
          <w:sz w:val="24"/>
          <w:szCs w:val="28"/>
        </w:rPr>
        <w:t>《招募说明书》及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等法律文件及本公司发布的最新业务公告。</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2、投资者应认真阅读拟投资基金的《基金合同》、《招募说明书》及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等法律文件，了解所投资基金的风险收益特征，并根据自身情况购买与本人风险承受能力相匹配的产品。</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、投资者通过</w:t>
      </w:r>
      <w:r>
        <w:rPr>
          <w:rFonts w:ascii="Times New Roman" w:hAnsi="Times New Roman" w:eastAsia="宋体" w:cs="Times New Roman"/>
          <w:sz w:val="24"/>
          <w:szCs w:val="28"/>
        </w:rPr>
        <w:t>中信建投证券股份有限公司</w:t>
      </w:r>
      <w:r>
        <w:rPr>
          <w:rFonts w:hint="eastAsia" w:ascii="Times New Roman" w:hAnsi="Times New Roman" w:eastAsia="宋体" w:cs="Times New Roman"/>
          <w:sz w:val="24"/>
          <w:szCs w:val="28"/>
        </w:rPr>
        <w:t>认/</w:t>
      </w:r>
      <w:r>
        <w:rPr>
          <w:rFonts w:ascii="Times New Roman" w:hAnsi="Times New Roman" w:eastAsia="宋体" w:cs="Times New Roman"/>
          <w:sz w:val="24"/>
          <w:szCs w:val="28"/>
        </w:rPr>
        <w:t>申购</w:t>
      </w:r>
      <w:r>
        <w:rPr>
          <w:rFonts w:hint="eastAsia" w:ascii="Times New Roman" w:hAnsi="Times New Roman" w:eastAsia="宋体" w:cs="Times New Roman"/>
          <w:sz w:val="24"/>
          <w:szCs w:val="28"/>
        </w:rPr>
        <w:t>（包含</w:t>
      </w:r>
      <w:r>
        <w:rPr>
          <w:rFonts w:ascii="Times New Roman" w:hAnsi="Times New Roman" w:eastAsia="宋体" w:cs="Times New Roman"/>
          <w:sz w:val="24"/>
          <w:szCs w:val="28"/>
        </w:rPr>
        <w:t>定期定额投资</w:t>
      </w:r>
      <w:r>
        <w:rPr>
          <w:rFonts w:hint="eastAsia" w:ascii="Times New Roman" w:hAnsi="Times New Roman" w:eastAsia="宋体" w:cs="Times New Roman"/>
          <w:sz w:val="24"/>
          <w:szCs w:val="28"/>
        </w:rPr>
        <w:t>、转换转入）我司上述基金，前端认/申购费率</w:t>
      </w:r>
      <w:r>
        <w:rPr>
          <w:rFonts w:ascii="Times New Roman" w:hAnsi="Times New Roman" w:eastAsia="宋体" w:cs="Times New Roman"/>
          <w:sz w:val="24"/>
          <w:szCs w:val="28"/>
        </w:rPr>
        <w:t>实行的费率优惠政策</w:t>
      </w:r>
      <w:r>
        <w:rPr>
          <w:rFonts w:hint="eastAsia" w:ascii="Times New Roman" w:hAnsi="Times New Roman" w:eastAsia="宋体" w:cs="Times New Roman"/>
          <w:sz w:val="24"/>
          <w:szCs w:val="28"/>
        </w:rPr>
        <w:t>以</w:t>
      </w:r>
      <w:r>
        <w:rPr>
          <w:rFonts w:ascii="Times New Roman" w:hAnsi="Times New Roman" w:eastAsia="宋体" w:cs="Times New Roman"/>
          <w:sz w:val="24"/>
          <w:szCs w:val="28"/>
        </w:rPr>
        <w:t>中信建投证券股份有限公司</w:t>
      </w:r>
      <w:r>
        <w:rPr>
          <w:rFonts w:hint="eastAsia" w:ascii="Times New Roman" w:hAnsi="Times New Roman" w:eastAsia="宋体" w:cs="Times New Roman"/>
          <w:sz w:val="24"/>
          <w:szCs w:val="28"/>
        </w:rPr>
        <w:t>官方网站公告为准，我司将不再另行通知。</w:t>
      </w:r>
    </w:p>
    <w:p>
      <w:pPr>
        <w:spacing w:line="360" w:lineRule="auto"/>
        <w:ind w:firstLine="510"/>
        <w:rPr>
          <w:rFonts w:ascii="Times New Roman" w:hAnsi="Times New Roman" w:eastAsia="宋体" w:cs="Times New Roman"/>
          <w:sz w:val="24"/>
          <w:szCs w:val="28"/>
        </w:rPr>
      </w:pPr>
    </w:p>
    <w:p>
      <w:pPr>
        <w:spacing w:line="360" w:lineRule="auto"/>
        <w:ind w:firstLine="361" w:firstLineChars="150"/>
        <w:rPr>
          <w:rFonts w:ascii="Times New Roman" w:hAnsi="Times New Roman" w:eastAsia="宋体" w:cs="Times New Roman"/>
          <w:sz w:val="24"/>
          <w:szCs w:val="28"/>
        </w:rPr>
      </w:pPr>
      <w:r>
        <w:rPr>
          <w:rFonts w:hint="eastAsia" w:ascii="Times New Roman" w:hAnsi="Times New Roman" w:eastAsia="宋体" w:cs="Times New Roman"/>
          <w:b/>
          <w:sz w:val="24"/>
          <w:szCs w:val="28"/>
        </w:rPr>
        <w:t>三</w:t>
      </w:r>
      <w:r>
        <w:rPr>
          <w:rFonts w:ascii="Times New Roman" w:hAnsi="Times New Roman" w:eastAsia="宋体" w:cs="Times New Roman"/>
          <w:b/>
          <w:sz w:val="24"/>
          <w:szCs w:val="28"/>
        </w:rPr>
        <w:t>、投资人可通过以下途径了解或咨询相关情况</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1、中信建投证券股份有限公司</w:t>
      </w:r>
    </w:p>
    <w:p>
      <w:pPr>
        <w:spacing w:line="360" w:lineRule="auto"/>
        <w:ind w:firstLine="480" w:firstLineChars="200"/>
        <w:jc w:val="left"/>
        <w:rPr>
          <w:rFonts w:hint="eastAsia" w:asciiTheme="minorHAnsi" w:hAnsiTheme="minorHAnsi" w:eastAsiaTheme="minorEastAsia" w:cstheme="minorBidi"/>
          <w:color w:val="323232"/>
          <w:sz w:val="21"/>
          <w:szCs w:val="21"/>
          <w:shd w:val="clear" w:color="auto" w:fill="FFFFFF"/>
        </w:rPr>
      </w:pPr>
      <w:r>
        <w:rPr>
          <w:rFonts w:ascii="Times New Roman" w:hAnsi="Times New Roman" w:eastAsia="宋体" w:cs="Times New Roman"/>
          <w:sz w:val="24"/>
          <w:szCs w:val="28"/>
        </w:rPr>
        <w:t>客服电话</w:t>
      </w:r>
      <w:r>
        <w:rPr>
          <w:rFonts w:hint="eastAsia" w:asciiTheme="minorHAnsi" w:hAnsiTheme="minorHAnsi" w:eastAsiaTheme="minorEastAsia" w:cstheme="minorBidi"/>
          <w:color w:val="323232"/>
          <w:sz w:val="21"/>
          <w:szCs w:val="21"/>
          <w:shd w:val="clear" w:color="auto" w:fill="FFFFFF"/>
        </w:rPr>
        <w:t>：</w:t>
      </w:r>
      <w:r>
        <w:rPr>
          <w:rFonts w:hint="eastAsia"/>
          <w:color w:val="323232"/>
          <w:szCs w:val="21"/>
          <w:shd w:val="clear" w:color="auto" w:fill="FFFFFF"/>
        </w:rPr>
        <w:t>95587/4008-888-108</w:t>
      </w:r>
    </w:p>
    <w:p>
      <w:pPr>
        <w:spacing w:line="360" w:lineRule="auto"/>
        <w:ind w:firstLine="420" w:firstLineChars="200"/>
        <w:jc w:val="left"/>
        <w:rPr>
          <w:color w:val="323232"/>
          <w:szCs w:val="21"/>
          <w:shd w:val="clear" w:color="auto" w:fill="FFFFFF"/>
        </w:rPr>
      </w:pPr>
      <w:r>
        <w:rPr>
          <w:rFonts w:hint="eastAsia" w:asciiTheme="minorHAnsi" w:hAnsiTheme="minorHAnsi" w:eastAsiaTheme="minorEastAsia" w:cstheme="minorBidi"/>
          <w:color w:val="323232"/>
          <w:sz w:val="21"/>
          <w:szCs w:val="21"/>
          <w:shd w:val="clear" w:color="auto" w:fill="FFFFFF"/>
        </w:rPr>
        <w:t>网址：</w:t>
      </w:r>
      <w:r>
        <w:rPr>
          <w:color w:val="323232"/>
          <w:szCs w:val="21"/>
          <w:shd w:val="clear" w:color="auto" w:fill="FFFFFF"/>
        </w:rPr>
        <w:fldChar w:fldCharType="begin"/>
      </w:r>
      <w:r>
        <w:rPr>
          <w:color w:val="323232"/>
          <w:szCs w:val="21"/>
          <w:shd w:val="clear" w:color="auto" w:fill="FFFFFF"/>
        </w:rPr>
        <w:instrText xml:space="preserve"> </w:instrText>
      </w:r>
      <w:r>
        <w:rPr>
          <w:rFonts w:hint="eastAsia"/>
          <w:color w:val="323232"/>
          <w:szCs w:val="21"/>
          <w:shd w:val="clear" w:color="auto" w:fill="FFFFFF"/>
        </w:rPr>
        <w:instrText xml:space="preserve">HYPERLINK "http://www.csc108.com"</w:instrText>
      </w:r>
      <w:r>
        <w:rPr>
          <w:color w:val="323232"/>
          <w:szCs w:val="21"/>
          <w:shd w:val="clear" w:color="auto" w:fill="FFFFFF"/>
        </w:rPr>
        <w:instrText xml:space="preserve"> </w:instrText>
      </w:r>
      <w:r>
        <w:rPr>
          <w:color w:val="323232"/>
          <w:szCs w:val="21"/>
          <w:shd w:val="clear" w:color="auto" w:fill="FFFFFF"/>
        </w:rPr>
        <w:fldChar w:fldCharType="separate"/>
      </w:r>
      <w:r>
        <w:rPr>
          <w:rFonts w:hint="eastAsia"/>
          <w:color w:val="323232"/>
          <w:szCs w:val="21"/>
          <w:shd w:val="clear" w:color="auto" w:fill="FFFFFF"/>
        </w:rPr>
        <w:t>www.csc108.com</w:t>
      </w:r>
      <w:r>
        <w:rPr>
          <w:color w:val="323232"/>
          <w:szCs w:val="21"/>
          <w:shd w:val="clear" w:color="auto" w:fill="FFFFFF"/>
        </w:rPr>
        <w:fldChar w:fldCharType="end"/>
      </w:r>
    </w:p>
    <w:p>
      <w:pPr>
        <w:spacing w:line="360" w:lineRule="auto"/>
        <w:ind w:firstLine="420" w:firstLineChars="200"/>
        <w:jc w:val="left"/>
        <w:rPr>
          <w:rFonts w:hint="eastAsia" w:asciiTheme="minorHAnsi" w:hAnsiTheme="minorHAnsi" w:eastAsiaTheme="minorEastAsia" w:cstheme="minorBidi"/>
          <w:color w:val="323232"/>
          <w:sz w:val="21"/>
          <w:szCs w:val="21"/>
          <w:shd w:val="clear" w:color="auto" w:fill="FFFFFF"/>
        </w:rPr>
      </w:pPr>
      <w:r>
        <w:rPr>
          <w:rFonts w:hint="eastAsia" w:asciiTheme="minorHAnsi" w:hAnsiTheme="minorHAnsi" w:eastAsiaTheme="minorEastAsia" w:cstheme="minorBidi"/>
          <w:color w:val="323232"/>
          <w:sz w:val="21"/>
          <w:szCs w:val="21"/>
          <w:shd w:val="clear" w:color="auto" w:fill="FFFFFF"/>
        </w:rPr>
        <w:t>2、东方阿尔法基金管理有限公司</w:t>
      </w:r>
      <w:bookmarkStart w:id="0" w:name="_GoBack"/>
      <w:bookmarkEnd w:id="0"/>
    </w:p>
    <w:p>
      <w:pPr>
        <w:spacing w:line="360" w:lineRule="auto"/>
        <w:ind w:firstLine="420" w:firstLineChars="200"/>
        <w:jc w:val="left"/>
        <w:rPr>
          <w:rFonts w:hint="eastAsia" w:asciiTheme="minorHAnsi" w:hAnsiTheme="minorHAnsi" w:eastAsiaTheme="minorEastAsia" w:cstheme="minorBidi"/>
          <w:color w:val="323232"/>
          <w:sz w:val="21"/>
          <w:szCs w:val="21"/>
          <w:shd w:val="clear" w:color="auto" w:fill="FFFFFF"/>
        </w:rPr>
      </w:pPr>
      <w:r>
        <w:rPr>
          <w:rFonts w:hint="eastAsia" w:asciiTheme="minorHAnsi" w:hAnsiTheme="minorHAnsi" w:eastAsiaTheme="minorEastAsia" w:cstheme="minorBidi"/>
          <w:color w:val="323232"/>
          <w:sz w:val="21"/>
          <w:szCs w:val="21"/>
          <w:shd w:val="clear" w:color="auto" w:fill="FFFFFF"/>
        </w:rPr>
        <w:t>客服电话：400-930-6677</w:t>
      </w:r>
    </w:p>
    <w:p>
      <w:pPr>
        <w:spacing w:line="360" w:lineRule="auto"/>
        <w:ind w:firstLine="420" w:firstLineChars="200"/>
        <w:jc w:val="left"/>
        <w:rPr>
          <w:rFonts w:hint="eastAsia" w:asciiTheme="minorHAnsi" w:hAnsiTheme="minorHAnsi" w:eastAsiaTheme="minorEastAsia" w:cstheme="minorBidi"/>
          <w:color w:val="323232"/>
          <w:sz w:val="21"/>
          <w:szCs w:val="21"/>
          <w:shd w:val="clear" w:color="auto" w:fill="FFFFFF"/>
        </w:rPr>
      </w:pPr>
      <w:r>
        <w:rPr>
          <w:rFonts w:hint="eastAsia" w:asciiTheme="minorHAnsi" w:hAnsiTheme="minorHAnsi" w:eastAsiaTheme="minorEastAsia" w:cstheme="minorBidi"/>
          <w:color w:val="323232"/>
          <w:sz w:val="21"/>
          <w:szCs w:val="21"/>
          <w:shd w:val="clear" w:color="auto" w:fill="FFFFFF"/>
        </w:rPr>
        <w:t>网址：</w:t>
      </w:r>
      <w:r>
        <w:rPr>
          <w:rFonts w:hint="eastAsia"/>
          <w:color w:val="323232"/>
          <w:szCs w:val="21"/>
          <w:shd w:val="clear" w:color="auto" w:fill="FFFFFF"/>
        </w:rPr>
        <w:fldChar w:fldCharType="begin"/>
      </w:r>
      <w:r>
        <w:rPr>
          <w:rFonts w:hint="eastAsia"/>
          <w:color w:val="323232"/>
          <w:szCs w:val="21"/>
          <w:shd w:val="clear" w:color="auto" w:fill="FFFFFF"/>
        </w:rPr>
        <w:instrText xml:space="preserve"> HYPERLINK "http://www.dfa66.com" </w:instrText>
      </w:r>
      <w:r>
        <w:rPr>
          <w:rFonts w:hint="eastAsia"/>
          <w:color w:val="323232"/>
          <w:szCs w:val="21"/>
          <w:shd w:val="clear" w:color="auto" w:fill="FFFFFF"/>
        </w:rPr>
        <w:fldChar w:fldCharType="separate"/>
      </w:r>
      <w:r>
        <w:rPr>
          <w:rFonts w:hint="eastAsia" w:asciiTheme="minorHAnsi" w:hAnsiTheme="minorHAnsi" w:eastAsiaTheme="minorEastAsia" w:cstheme="minorBidi"/>
          <w:color w:val="323232"/>
          <w:sz w:val="21"/>
          <w:szCs w:val="21"/>
          <w:shd w:val="clear" w:color="auto" w:fill="FFFFFF"/>
        </w:rPr>
        <w:t>www.dfa66.com</w:t>
      </w:r>
      <w:r>
        <w:rPr>
          <w:rFonts w:hint="eastAsia" w:asciiTheme="minorHAnsi" w:hAnsiTheme="minorHAnsi" w:eastAsiaTheme="minorEastAsia" w:cstheme="minorBidi"/>
          <w:color w:val="323232"/>
          <w:sz w:val="21"/>
          <w:szCs w:val="21"/>
          <w:shd w:val="clear" w:color="auto" w:fill="FFFFFF"/>
        </w:rPr>
        <w:fldChar w:fldCharType="end"/>
      </w:r>
    </w:p>
    <w:p>
      <w:pPr>
        <w:spacing w:line="360" w:lineRule="auto"/>
        <w:ind w:firstLine="555"/>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rPr>
        <w:t>四</w:t>
      </w:r>
      <w:r>
        <w:rPr>
          <w:rFonts w:ascii="Times New Roman" w:hAnsi="Times New Roman" w:eastAsia="宋体" w:cs="Times New Roman"/>
          <w:b/>
          <w:sz w:val="24"/>
          <w:szCs w:val="28"/>
        </w:rPr>
        <w:t>、风险提示</w:t>
      </w: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基金管理人承诺以诚实信用、勤勉尽职的原则管理和运用基金资产，但不保证基金一定盈利，也不保证最低收益。本公司提醒投资者，本公司旗下基金份额均以1元初始面值开展基金募集，在市场波动等因素的影响下，基金投资仍有可能出现亏损或基金净值仍有可能低于初始面值。敬请投资者留意投资风险。</w:t>
      </w:r>
    </w:p>
    <w:p>
      <w:pPr>
        <w:spacing w:line="360" w:lineRule="auto"/>
        <w:ind w:firstLine="480" w:firstLineChars="200"/>
        <w:rPr>
          <w:rFonts w:ascii="Times New Roman" w:hAnsi="Times New Roman" w:eastAsia="宋体" w:cs="Times New Roman"/>
          <w:sz w:val="24"/>
          <w:szCs w:val="28"/>
        </w:rPr>
      </w:pPr>
    </w:p>
    <w:p>
      <w:pPr>
        <w:spacing w:line="360" w:lineRule="auto"/>
        <w:ind w:firstLine="600" w:firstLineChars="250"/>
        <w:rPr>
          <w:rFonts w:ascii="Times New Roman" w:hAnsi="Times New Roman" w:eastAsia="宋体" w:cs="Times New Roman"/>
          <w:sz w:val="24"/>
          <w:szCs w:val="28"/>
        </w:rPr>
      </w:pPr>
      <w:r>
        <w:rPr>
          <w:rFonts w:ascii="Times New Roman" w:hAnsi="Times New Roman" w:eastAsia="宋体" w:cs="Times New Roman"/>
          <w:sz w:val="24"/>
          <w:szCs w:val="28"/>
        </w:rPr>
        <w:t>特此公告。</w:t>
      </w:r>
    </w:p>
    <w:p>
      <w:pPr>
        <w:spacing w:line="360" w:lineRule="auto"/>
        <w:ind w:firstLine="600" w:firstLineChars="250"/>
        <w:rPr>
          <w:rFonts w:ascii="Times New Roman" w:hAnsi="Times New Roman" w:eastAsia="宋体" w:cs="Times New Roman"/>
          <w:sz w:val="24"/>
          <w:szCs w:val="28"/>
        </w:rPr>
      </w:pPr>
    </w:p>
    <w:p>
      <w:pPr>
        <w:spacing w:line="360" w:lineRule="auto"/>
        <w:rPr>
          <w:rFonts w:ascii="Times New Roman" w:hAnsi="Times New Roman" w:eastAsia="宋体" w:cs="Times New Roman"/>
          <w:sz w:val="24"/>
          <w:szCs w:val="28"/>
        </w:rPr>
      </w:pPr>
    </w:p>
    <w:p>
      <w:pPr>
        <w:spacing w:line="360" w:lineRule="auto"/>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 xml:space="preserve">                              东方阿尔法基金管理有限公司</w:t>
      </w:r>
    </w:p>
    <w:p>
      <w:pPr>
        <w:spacing w:line="360" w:lineRule="auto"/>
        <w:ind w:firstLine="720" w:firstLineChars="300"/>
        <w:rPr>
          <w:rFonts w:ascii="Times New Roman" w:hAnsi="Times New Roman" w:eastAsia="宋体" w:cs="Times New Roman"/>
          <w:sz w:val="24"/>
          <w:szCs w:val="28"/>
        </w:rPr>
      </w:pPr>
      <w:r>
        <w:rPr>
          <w:rFonts w:ascii="Times New Roman" w:hAnsi="Times New Roman" w:eastAsia="宋体" w:cs="Times New Roman"/>
          <w:sz w:val="24"/>
          <w:szCs w:val="28"/>
        </w:rPr>
        <w:t xml:space="preserve">                                      2022年3月15日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90" w:firstLineChars="50"/>
      <w:jc w:val="left"/>
    </w:pPr>
    <w:r>
      <w:rPr>
        <w:rFonts w:hint="eastAsia"/>
      </w:rPr>
      <w:t xml:space="preserve"> </w:t>
    </w:r>
    <w:r>
      <w:rPr>
        <w:rFonts w:hint="eastAsia"/>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9D"/>
    <w:rsid w:val="00003DAC"/>
    <w:rsid w:val="00022ADF"/>
    <w:rsid w:val="00024301"/>
    <w:rsid w:val="0004177D"/>
    <w:rsid w:val="000606F2"/>
    <w:rsid w:val="000612A7"/>
    <w:rsid w:val="0008268A"/>
    <w:rsid w:val="00110B40"/>
    <w:rsid w:val="0011343C"/>
    <w:rsid w:val="00114551"/>
    <w:rsid w:val="001220D4"/>
    <w:rsid w:val="0012510D"/>
    <w:rsid w:val="00127F69"/>
    <w:rsid w:val="001418A7"/>
    <w:rsid w:val="00143F57"/>
    <w:rsid w:val="00144673"/>
    <w:rsid w:val="00163910"/>
    <w:rsid w:val="001714E3"/>
    <w:rsid w:val="001C35F8"/>
    <w:rsid w:val="001C3E73"/>
    <w:rsid w:val="002354CC"/>
    <w:rsid w:val="00244766"/>
    <w:rsid w:val="0025679D"/>
    <w:rsid w:val="00263B66"/>
    <w:rsid w:val="00277A25"/>
    <w:rsid w:val="002827B7"/>
    <w:rsid w:val="002912F5"/>
    <w:rsid w:val="00294E37"/>
    <w:rsid w:val="002A3043"/>
    <w:rsid w:val="002D16FC"/>
    <w:rsid w:val="0034158D"/>
    <w:rsid w:val="00344324"/>
    <w:rsid w:val="003470AB"/>
    <w:rsid w:val="003B0BD5"/>
    <w:rsid w:val="003B0DE3"/>
    <w:rsid w:val="003C353A"/>
    <w:rsid w:val="003D2686"/>
    <w:rsid w:val="003D5472"/>
    <w:rsid w:val="003F2031"/>
    <w:rsid w:val="00402BD4"/>
    <w:rsid w:val="004C4731"/>
    <w:rsid w:val="004C4B36"/>
    <w:rsid w:val="00511D40"/>
    <w:rsid w:val="00531C50"/>
    <w:rsid w:val="005457C3"/>
    <w:rsid w:val="00556B9B"/>
    <w:rsid w:val="00561956"/>
    <w:rsid w:val="005B2BA5"/>
    <w:rsid w:val="005F3399"/>
    <w:rsid w:val="00616902"/>
    <w:rsid w:val="006675D3"/>
    <w:rsid w:val="0067558A"/>
    <w:rsid w:val="00694722"/>
    <w:rsid w:val="006A55B1"/>
    <w:rsid w:val="006D1327"/>
    <w:rsid w:val="006E28A4"/>
    <w:rsid w:val="006F5807"/>
    <w:rsid w:val="00701039"/>
    <w:rsid w:val="007358D7"/>
    <w:rsid w:val="00745385"/>
    <w:rsid w:val="00745A69"/>
    <w:rsid w:val="00745BD9"/>
    <w:rsid w:val="00750AFB"/>
    <w:rsid w:val="00761DBB"/>
    <w:rsid w:val="00773CE1"/>
    <w:rsid w:val="00782739"/>
    <w:rsid w:val="00787CBE"/>
    <w:rsid w:val="007946E0"/>
    <w:rsid w:val="007A3752"/>
    <w:rsid w:val="007C20E6"/>
    <w:rsid w:val="007C65C6"/>
    <w:rsid w:val="007E2506"/>
    <w:rsid w:val="0081719F"/>
    <w:rsid w:val="00881A92"/>
    <w:rsid w:val="00881CBD"/>
    <w:rsid w:val="00881FB9"/>
    <w:rsid w:val="00882DFD"/>
    <w:rsid w:val="0088683D"/>
    <w:rsid w:val="008B6DA8"/>
    <w:rsid w:val="008B743E"/>
    <w:rsid w:val="008D1191"/>
    <w:rsid w:val="009355DF"/>
    <w:rsid w:val="009960EC"/>
    <w:rsid w:val="009A048D"/>
    <w:rsid w:val="009A5D4B"/>
    <w:rsid w:val="009C69A0"/>
    <w:rsid w:val="009D7753"/>
    <w:rsid w:val="009E1B49"/>
    <w:rsid w:val="009F4FDB"/>
    <w:rsid w:val="009F6A81"/>
    <w:rsid w:val="00A0161D"/>
    <w:rsid w:val="00A06F43"/>
    <w:rsid w:val="00A242B0"/>
    <w:rsid w:val="00A44B64"/>
    <w:rsid w:val="00A4651D"/>
    <w:rsid w:val="00A52734"/>
    <w:rsid w:val="00AD6581"/>
    <w:rsid w:val="00B06542"/>
    <w:rsid w:val="00B267E2"/>
    <w:rsid w:val="00B52CBC"/>
    <w:rsid w:val="00B6576C"/>
    <w:rsid w:val="00B72A06"/>
    <w:rsid w:val="00B731A9"/>
    <w:rsid w:val="00BC0E97"/>
    <w:rsid w:val="00BC2CE6"/>
    <w:rsid w:val="00C108BC"/>
    <w:rsid w:val="00C43747"/>
    <w:rsid w:val="00C52342"/>
    <w:rsid w:val="00C56C57"/>
    <w:rsid w:val="00C77FBC"/>
    <w:rsid w:val="00C816DA"/>
    <w:rsid w:val="00D34703"/>
    <w:rsid w:val="00D62B52"/>
    <w:rsid w:val="00D632E2"/>
    <w:rsid w:val="00D674D1"/>
    <w:rsid w:val="00D73CFA"/>
    <w:rsid w:val="00DB2993"/>
    <w:rsid w:val="00E31013"/>
    <w:rsid w:val="00E316BF"/>
    <w:rsid w:val="00E33E14"/>
    <w:rsid w:val="00E35158"/>
    <w:rsid w:val="00E7436A"/>
    <w:rsid w:val="00E91ABC"/>
    <w:rsid w:val="00E93EA7"/>
    <w:rsid w:val="00F31B18"/>
    <w:rsid w:val="00F442EA"/>
    <w:rsid w:val="00F6094B"/>
    <w:rsid w:val="00F62750"/>
    <w:rsid w:val="00F65435"/>
    <w:rsid w:val="00F7249B"/>
    <w:rsid w:val="00FC4933"/>
    <w:rsid w:val="09656309"/>
    <w:rsid w:val="10243891"/>
    <w:rsid w:val="160D5CDF"/>
    <w:rsid w:val="18287620"/>
    <w:rsid w:val="1D022708"/>
    <w:rsid w:val="1F831850"/>
    <w:rsid w:val="23EF736A"/>
    <w:rsid w:val="2499746D"/>
    <w:rsid w:val="25DD4616"/>
    <w:rsid w:val="266D39F1"/>
    <w:rsid w:val="2C2D1EB0"/>
    <w:rsid w:val="2FBD1C0F"/>
    <w:rsid w:val="34370570"/>
    <w:rsid w:val="38964594"/>
    <w:rsid w:val="3D3A3274"/>
    <w:rsid w:val="3F3679F4"/>
    <w:rsid w:val="40B05BC3"/>
    <w:rsid w:val="45482ECB"/>
    <w:rsid w:val="47C11BB9"/>
    <w:rsid w:val="49E51719"/>
    <w:rsid w:val="4CFC2E08"/>
    <w:rsid w:val="4DAB491E"/>
    <w:rsid w:val="50434EDA"/>
    <w:rsid w:val="59252BC6"/>
    <w:rsid w:val="5CD61AAB"/>
    <w:rsid w:val="611A1702"/>
    <w:rsid w:val="65CC5933"/>
    <w:rsid w:val="6BFA300C"/>
    <w:rsid w:val="6C2C0E8F"/>
    <w:rsid w:val="70E725EB"/>
    <w:rsid w:val="70F6021D"/>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uiPriority w:val="99"/>
    <w:rPr>
      <w:sz w:val="18"/>
      <w:szCs w:val="18"/>
    </w:rPr>
  </w:style>
  <w:style w:type="table" w:customStyle="1" w:styleId="13">
    <w:name w:val="网格型1"/>
    <w:basedOn w:val="7"/>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脚 字符"/>
    <w:basedOn w:val="9"/>
    <w:link w:val="4"/>
    <w:qFormat/>
    <w:uiPriority w:val="99"/>
    <w:rPr>
      <w:sz w:val="18"/>
      <w:szCs w:val="18"/>
    </w:rPr>
  </w:style>
  <w:style w:type="character" w:customStyle="1" w:styleId="15">
    <w:name w:val="fontstyle01"/>
    <w:basedOn w:val="9"/>
    <w:qFormat/>
    <w:uiPriority w:val="0"/>
    <w:rPr>
      <w:rFonts w:hint="eastAsia" w:ascii="宋体" w:hAnsi="宋体" w:eastAsia="宋体"/>
      <w:color w:val="000000"/>
      <w:sz w:val="28"/>
      <w:szCs w:val="28"/>
    </w:rPr>
  </w:style>
  <w:style w:type="character" w:customStyle="1" w:styleId="16">
    <w:name w:val="fontstyle21"/>
    <w:basedOn w:val="9"/>
    <w:qFormat/>
    <w:uiPriority w:val="0"/>
    <w:rPr>
      <w:rFonts w:hint="default" w:ascii="Calibri" w:hAnsi="Calibri" w:cs="Calibri"/>
      <w:color w:val="000000"/>
      <w:sz w:val="28"/>
      <w:szCs w:val="28"/>
    </w:rPr>
  </w:style>
  <w:style w:type="character" w:customStyle="1" w:styleId="17">
    <w:name w:val="批注文字 字符"/>
    <w:basedOn w:val="9"/>
    <w:link w:val="2"/>
    <w:semiHidden/>
    <w:qFormat/>
    <w:uiPriority w:val="99"/>
    <w:rPr>
      <w:szCs w:val="22"/>
    </w:rPr>
  </w:style>
  <w:style w:type="character" w:customStyle="1" w:styleId="18">
    <w:name w:val="批注主题 字符"/>
    <w:basedOn w:val="17"/>
    <w:link w:val="6"/>
    <w:semiHidden/>
    <w:qFormat/>
    <w:uiPriority w:val="99"/>
    <w:rPr>
      <w:b/>
      <w:bCs/>
      <w:szCs w:val="22"/>
    </w:rPr>
  </w:style>
  <w:style w:type="character" w:customStyle="1" w:styleId="19">
    <w:name w:val="批注框文本 字符"/>
    <w:basedOn w:val="9"/>
    <w:link w:val="3"/>
    <w:semiHidden/>
    <w:uiPriority w:val="99"/>
    <w:rPr>
      <w:sz w:val="18"/>
      <w:szCs w:val="18"/>
    </w:rPr>
  </w:style>
  <w:style w:type="character" w:customStyle="1" w:styleId="20">
    <w:name w:val="未处理的提及1"/>
    <w:basedOn w:val="9"/>
    <w:semiHidden/>
    <w:unhideWhenUsed/>
    <w:qFormat/>
    <w:uiPriority w:val="99"/>
    <w:rPr>
      <w:color w:val="605E5C"/>
      <w:shd w:val="clear" w:color="auto" w:fill="E1DFDD"/>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910</Characters>
  <Lines>7</Lines>
  <Paragraphs>2</Paragraphs>
  <TotalTime>186</TotalTime>
  <ScaleCrop>false</ScaleCrop>
  <LinksUpToDate>false</LinksUpToDate>
  <CharactersWithSpaces>1067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2021-02-26T05:06:00Z</dcterms:created>
  <dc:creator>Microsoft Office User</dc:creator>
  <cp:lastModifiedBy>聪子</cp:lastModifiedBy>
  <dcterms:modified xsi:type="dcterms:W3CDTF">2022-03-14T02:22:32Z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