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关于东方阿尔法优势产业混合型发起式证券投资基金</w:t>
      </w:r>
    </w:p>
    <w:p>
      <w:pPr>
        <w:spacing w:line="360" w:lineRule="auto"/>
        <w:ind w:firstLine="562" w:firstLineChars="200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增加兴业银行股份有限公司为基金销售服务机构的公告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根据东方阿尔法基金管理有限公司（简称</w:t>
      </w:r>
      <w:r>
        <w:rPr>
          <w:rFonts w:hint="eastAsia" w:ascii="Times New Roman" w:hAnsi="Times New Roman" w:eastAsia="宋体" w:cs="Times New Roman"/>
          <w:sz w:val="24"/>
          <w:szCs w:val="28"/>
        </w:rPr>
        <w:t>“</w:t>
      </w:r>
      <w:r>
        <w:rPr>
          <w:rFonts w:ascii="Times New Roman" w:hAnsi="Times New Roman" w:eastAsia="宋体" w:cs="Times New Roman"/>
          <w:sz w:val="24"/>
          <w:szCs w:val="28"/>
        </w:rPr>
        <w:t>我司</w:t>
      </w:r>
      <w:r>
        <w:rPr>
          <w:rFonts w:hint="eastAsia" w:ascii="Times New Roman" w:hAnsi="Times New Roman" w:eastAsia="宋体" w:cs="Times New Roman"/>
          <w:sz w:val="24"/>
          <w:szCs w:val="28"/>
        </w:rPr>
        <w:t>”</w:t>
      </w:r>
      <w:r>
        <w:rPr>
          <w:rFonts w:ascii="Times New Roman" w:hAnsi="Times New Roman" w:eastAsia="宋体" w:cs="Times New Roman"/>
          <w:sz w:val="24"/>
          <w:szCs w:val="28"/>
        </w:rPr>
        <w:t>）与</w:t>
      </w:r>
      <w:r>
        <w:rPr>
          <w:rFonts w:hint="eastAsia" w:ascii="Times New Roman" w:hAnsi="Times New Roman" w:eastAsia="宋体" w:cs="Times New Roman"/>
          <w:sz w:val="24"/>
          <w:szCs w:val="28"/>
        </w:rPr>
        <w:t>兴业银行股份有限公司</w:t>
      </w:r>
      <w:r>
        <w:rPr>
          <w:rFonts w:ascii="Times New Roman" w:hAnsi="Times New Roman" w:eastAsia="宋体" w:cs="Times New Roman"/>
          <w:sz w:val="24"/>
          <w:szCs w:val="28"/>
        </w:rPr>
        <w:t>签署的销售服务协议，自2022年08月30日起，我司旗下</w:t>
      </w:r>
      <w:r>
        <w:rPr>
          <w:rFonts w:hint="eastAsia" w:ascii="Times New Roman" w:hAnsi="Times New Roman" w:eastAsia="宋体" w:cs="Times New Roman"/>
          <w:sz w:val="24"/>
          <w:szCs w:val="28"/>
        </w:rPr>
        <w:t>东方阿尔法优势产业混合型发起式证券投资基金</w:t>
      </w:r>
      <w:r>
        <w:rPr>
          <w:rFonts w:ascii="Times New Roman" w:hAnsi="Times New Roman" w:eastAsia="宋体" w:cs="Times New Roman"/>
          <w:sz w:val="24"/>
          <w:szCs w:val="28"/>
        </w:rPr>
        <w:t>增加</w:t>
      </w:r>
      <w:r>
        <w:rPr>
          <w:rFonts w:hint="eastAsia" w:ascii="Times New Roman" w:hAnsi="Times New Roman" w:eastAsia="宋体" w:cs="Times New Roman"/>
          <w:sz w:val="24"/>
          <w:szCs w:val="28"/>
        </w:rPr>
        <w:t>兴业银行股份有限公司</w:t>
      </w:r>
      <w:r>
        <w:rPr>
          <w:rFonts w:ascii="Times New Roman" w:hAnsi="Times New Roman" w:eastAsia="宋体" w:cs="Times New Roman"/>
          <w:sz w:val="24"/>
          <w:szCs w:val="28"/>
        </w:rPr>
        <w:t>为销售</w:t>
      </w:r>
      <w:r>
        <w:rPr>
          <w:rFonts w:hint="eastAsia" w:ascii="Times New Roman" w:hAnsi="Times New Roman" w:eastAsia="宋体" w:cs="Times New Roman"/>
          <w:sz w:val="24"/>
          <w:szCs w:val="28"/>
        </w:rPr>
        <w:t>服务</w:t>
      </w:r>
      <w:r>
        <w:rPr>
          <w:rFonts w:ascii="Times New Roman" w:hAnsi="Times New Roman" w:eastAsia="宋体" w:cs="Times New Roman"/>
          <w:sz w:val="24"/>
          <w:szCs w:val="28"/>
        </w:rPr>
        <w:t>机构。现将有关事项公告如下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一、涉及基金及业务范围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486"/>
        <w:gridCol w:w="5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00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8"/>
              </w:rPr>
              <w:t>基金名称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  <w:tc>
          <w:tcPr>
            <w:tcW w:w="24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A类：009644</w:t>
            </w:r>
          </w:p>
        </w:tc>
        <w:tc>
          <w:tcPr>
            <w:tcW w:w="50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东方阿尔法优势产业混合型发起式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</w:rPr>
              <w:t>证券投资基金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07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C类：009645</w:t>
            </w:r>
          </w:p>
        </w:tc>
        <w:tc>
          <w:tcPr>
            <w:tcW w:w="5003" w:type="dxa"/>
            <w:vMerge w:val="continue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投资人可按照</w:t>
      </w:r>
      <w:r>
        <w:rPr>
          <w:rFonts w:hint="eastAsia" w:ascii="Times New Roman" w:hAnsi="Times New Roman" w:eastAsia="宋体" w:cs="Times New Roman"/>
          <w:sz w:val="24"/>
          <w:szCs w:val="28"/>
        </w:rPr>
        <w:t>兴业银行股份有限公司</w:t>
      </w:r>
      <w:r>
        <w:rPr>
          <w:rFonts w:ascii="Times New Roman" w:hAnsi="Times New Roman" w:eastAsia="宋体" w:cs="Times New Roman"/>
          <w:sz w:val="24"/>
          <w:szCs w:val="28"/>
        </w:rPr>
        <w:t>提供的方式办理上述基金的开户、申购、赎回、转换及定投业务。具体业务办理规则请遵循</w:t>
      </w:r>
      <w:r>
        <w:rPr>
          <w:rFonts w:hint="eastAsia" w:ascii="Times New Roman" w:hAnsi="Times New Roman" w:eastAsia="宋体" w:cs="Times New Roman"/>
          <w:sz w:val="24"/>
          <w:szCs w:val="28"/>
        </w:rPr>
        <w:t>兴业银行股份有限公司</w:t>
      </w:r>
      <w:r>
        <w:rPr>
          <w:rFonts w:ascii="Times New Roman" w:hAnsi="Times New Roman" w:eastAsia="宋体" w:cs="Times New Roman"/>
          <w:sz w:val="24"/>
          <w:szCs w:val="28"/>
        </w:rPr>
        <w:t>的相关规定。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8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二、重要提示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1、上述</w:t>
      </w:r>
      <w:r>
        <w:rPr>
          <w:rFonts w:hint="eastAsia" w:ascii="Times New Roman" w:hAnsi="Times New Roman" w:eastAsia="宋体" w:cs="Times New Roman"/>
          <w:sz w:val="24"/>
          <w:szCs w:val="28"/>
        </w:rPr>
        <w:t>申</w:t>
      </w:r>
      <w:r>
        <w:rPr>
          <w:rFonts w:ascii="Times New Roman" w:hAnsi="Times New Roman" w:eastAsia="宋体" w:cs="Times New Roman"/>
          <w:sz w:val="24"/>
          <w:szCs w:val="28"/>
        </w:rPr>
        <w:t>购/赎回业务仅适用于处于正常申购、赎回开放日和开放时间的基金。基金封闭期等特殊期间的有关规定详见对应基金的《基金合同》</w:t>
      </w:r>
      <w:r>
        <w:rPr>
          <w:rFonts w:hint="eastAsia" w:ascii="Times New Roman" w:hAnsi="Times New Roman" w:eastAsia="宋体" w:cs="Times New Roman"/>
          <w:sz w:val="24"/>
          <w:szCs w:val="28"/>
        </w:rPr>
        <w:t>、</w:t>
      </w:r>
      <w:r>
        <w:rPr>
          <w:rFonts w:ascii="Times New Roman" w:hAnsi="Times New Roman" w:eastAsia="宋体" w:cs="Times New Roman"/>
          <w:sz w:val="24"/>
          <w:szCs w:val="28"/>
        </w:rPr>
        <w:t>《招募说明书》及</w:t>
      </w:r>
      <w:r>
        <w:rPr>
          <w:rFonts w:hint="eastAsia" w:ascii="Times New Roman" w:hAnsi="Times New Roman" w:eastAsia="宋体" w:cs="Times New Roman"/>
          <w:sz w:val="24"/>
          <w:szCs w:val="28"/>
        </w:rPr>
        <w:t>《基金产品资料概要》</w:t>
      </w:r>
      <w:r>
        <w:rPr>
          <w:rFonts w:ascii="Times New Roman" w:hAnsi="Times New Roman" w:eastAsia="宋体" w:cs="Times New Roman"/>
          <w:sz w:val="24"/>
          <w:szCs w:val="28"/>
        </w:rPr>
        <w:t>等法律文件及本公司发布的最新业务公告。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2、投资者应认真阅读拟投资基金的《基金合同》、《招募说明书》及</w:t>
      </w:r>
      <w:r>
        <w:rPr>
          <w:rFonts w:hint="eastAsia" w:ascii="Times New Roman" w:hAnsi="Times New Roman" w:eastAsia="宋体" w:cs="Times New Roman"/>
          <w:sz w:val="24"/>
          <w:szCs w:val="28"/>
        </w:rPr>
        <w:t>《基金产品资料概要》</w:t>
      </w:r>
      <w:r>
        <w:rPr>
          <w:rFonts w:ascii="Times New Roman" w:hAnsi="Times New Roman" w:eastAsia="宋体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3</w:t>
      </w:r>
      <w:r>
        <w:rPr>
          <w:rFonts w:hint="eastAsia" w:ascii="Times New Roman" w:hAnsi="Times New Roman" w:eastAsia="宋体" w:cs="Times New Roman"/>
          <w:sz w:val="24"/>
          <w:szCs w:val="28"/>
        </w:rPr>
        <w:t>、投资者通过兴业银行股份有限公司</w:t>
      </w:r>
      <w:r>
        <w:rPr>
          <w:rFonts w:ascii="Times New Roman" w:hAnsi="Times New Roman" w:eastAsia="宋体" w:cs="Times New Roman"/>
          <w:sz w:val="24"/>
          <w:szCs w:val="28"/>
        </w:rPr>
        <w:t>申购</w:t>
      </w:r>
      <w:r>
        <w:rPr>
          <w:rFonts w:hint="eastAsia" w:ascii="Times New Roman" w:hAnsi="Times New Roman" w:eastAsia="宋体" w:cs="Times New Roman"/>
          <w:sz w:val="24"/>
          <w:szCs w:val="28"/>
        </w:rPr>
        <w:t>（包含</w:t>
      </w:r>
      <w:r>
        <w:rPr>
          <w:rFonts w:ascii="Times New Roman" w:hAnsi="Times New Roman" w:eastAsia="宋体" w:cs="Times New Roman"/>
          <w:sz w:val="24"/>
          <w:szCs w:val="28"/>
        </w:rPr>
        <w:t>定期定额投资</w:t>
      </w:r>
      <w:r>
        <w:rPr>
          <w:rFonts w:hint="eastAsia" w:ascii="Times New Roman" w:hAnsi="Times New Roman" w:eastAsia="宋体" w:cs="Times New Roman"/>
          <w:sz w:val="24"/>
          <w:szCs w:val="28"/>
        </w:rPr>
        <w:t>、转换转入）我司上述基金，前端申购费率</w:t>
      </w:r>
      <w:r>
        <w:rPr>
          <w:rFonts w:ascii="Times New Roman" w:hAnsi="Times New Roman" w:eastAsia="宋体" w:cs="Times New Roman"/>
          <w:sz w:val="24"/>
          <w:szCs w:val="28"/>
        </w:rPr>
        <w:t>实行的费率优惠政策</w:t>
      </w:r>
      <w:r>
        <w:rPr>
          <w:rFonts w:hint="eastAsia" w:ascii="Times New Roman" w:hAnsi="Times New Roman" w:eastAsia="宋体" w:cs="Times New Roman"/>
          <w:sz w:val="24"/>
          <w:szCs w:val="28"/>
        </w:rPr>
        <w:t>以兴业银行股份有限公司官方网站公告为准，我司将不再另行通知。</w:t>
      </w:r>
    </w:p>
    <w:p>
      <w:pPr>
        <w:spacing w:line="360" w:lineRule="auto"/>
        <w:ind w:firstLine="510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361" w:firstLineChars="15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b/>
          <w:sz w:val="24"/>
          <w:szCs w:val="28"/>
        </w:rPr>
        <w:t>三</w:t>
      </w:r>
      <w:r>
        <w:rPr>
          <w:rFonts w:ascii="Times New Roman" w:hAnsi="Times New Roman" w:eastAsia="宋体" w:cs="Times New Roman"/>
          <w:b/>
          <w:sz w:val="24"/>
          <w:szCs w:val="28"/>
        </w:rPr>
        <w:t>、投资人可通过以下途径了解或咨询相关情况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1、</w:t>
      </w:r>
      <w:r>
        <w:rPr>
          <w:rFonts w:hint="eastAsia" w:ascii="Times New Roman" w:hAnsi="Times New Roman" w:eastAsia="宋体" w:cs="Times New Roman"/>
          <w:sz w:val="24"/>
          <w:szCs w:val="28"/>
        </w:rPr>
        <w:t>兴业银行股份有限公司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客服电话：95561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网址：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8"/>
        </w:rPr>
        <w:t>www.cib.com.cn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2、东方阿尔法基金管理有限公司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客服电话：400-930-6677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网址：</w:t>
      </w:r>
      <w:r>
        <w:fldChar w:fldCharType="begin"/>
      </w:r>
      <w:r>
        <w:instrText xml:space="preserve"> HYPERLINK "http://www.dfa66.com" </w:instrText>
      </w:r>
      <w:r>
        <w:fldChar w:fldCharType="separate"/>
      </w:r>
      <w:r>
        <w:rPr>
          <w:rFonts w:ascii="Times New Roman" w:hAnsi="Times New Roman" w:eastAsia="宋体" w:cs="Times New Roman"/>
          <w:sz w:val="24"/>
          <w:szCs w:val="28"/>
        </w:rPr>
        <w:t>www.dfa66.com</w:t>
      </w:r>
      <w:r>
        <w:rPr>
          <w:rFonts w:ascii="Times New Roman" w:hAnsi="Times New Roman" w:eastAsia="宋体" w:cs="Times New Roman"/>
          <w:sz w:val="24"/>
          <w:szCs w:val="28"/>
        </w:rPr>
        <w:fldChar w:fldCharType="end"/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hint="eastAsia" w:ascii="Times New Roman" w:hAnsi="Times New Roman" w:eastAsia="宋体" w:cs="Times New Roman"/>
          <w:b/>
          <w:sz w:val="24"/>
          <w:szCs w:val="28"/>
        </w:rPr>
        <w:t>四</w:t>
      </w:r>
      <w:r>
        <w:rPr>
          <w:rFonts w:ascii="Times New Roman" w:hAnsi="Times New Roman" w:eastAsia="宋体" w:cs="Times New Roman"/>
          <w:b/>
          <w:sz w:val="24"/>
          <w:szCs w:val="28"/>
        </w:rPr>
        <w:t>、风险提示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1元初始面值开展基金募集，在市场波动等因素的影响下，基金投资仍有可能出现亏损或基金净值仍有可能低于初始面值。敬请投资者留意投资风险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600" w:firstLineChars="25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特此公告。</w:t>
      </w:r>
    </w:p>
    <w:p>
      <w:pPr>
        <w:spacing w:line="360" w:lineRule="auto"/>
        <w:ind w:firstLine="600" w:firstLineChars="250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360" w:lineRule="auto"/>
        <w:ind w:firstLine="960" w:firstLineChars="4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 xml:space="preserve">                              东方阿尔法基金管理有限公司</w:t>
      </w:r>
    </w:p>
    <w:p>
      <w:pPr>
        <w:spacing w:line="360" w:lineRule="auto"/>
        <w:ind w:firstLine="720" w:firstLineChars="3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 xml:space="preserve">                                      2022年08月30日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90" w:firstLineChars="50"/>
      <w:jc w:val="left"/>
    </w:pPr>
    <w:r>
      <w:rPr>
        <w:rFonts w:hint="eastAsia"/>
      </w:rPr>
      <w:t xml:space="preserve"> </w:t>
    </w:r>
    <w:r>
      <w:rPr>
        <w:rFonts w:hint="eastAsia"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25679D"/>
    <w:rsid w:val="00003DAC"/>
    <w:rsid w:val="000254CE"/>
    <w:rsid w:val="00040AE8"/>
    <w:rsid w:val="0004177D"/>
    <w:rsid w:val="000606F2"/>
    <w:rsid w:val="000612A7"/>
    <w:rsid w:val="0008268A"/>
    <w:rsid w:val="00110B40"/>
    <w:rsid w:val="00114551"/>
    <w:rsid w:val="001220C2"/>
    <w:rsid w:val="001220D4"/>
    <w:rsid w:val="0012510D"/>
    <w:rsid w:val="001418A7"/>
    <w:rsid w:val="00143F57"/>
    <w:rsid w:val="00163910"/>
    <w:rsid w:val="001714E3"/>
    <w:rsid w:val="00191B24"/>
    <w:rsid w:val="001A2EBC"/>
    <w:rsid w:val="001C35F8"/>
    <w:rsid w:val="001C3E73"/>
    <w:rsid w:val="00233424"/>
    <w:rsid w:val="002354CC"/>
    <w:rsid w:val="00244766"/>
    <w:rsid w:val="0025679D"/>
    <w:rsid w:val="00256993"/>
    <w:rsid w:val="00263B66"/>
    <w:rsid w:val="00277A25"/>
    <w:rsid w:val="002912F5"/>
    <w:rsid w:val="002A3043"/>
    <w:rsid w:val="002D16FC"/>
    <w:rsid w:val="0034158D"/>
    <w:rsid w:val="00344324"/>
    <w:rsid w:val="003470AB"/>
    <w:rsid w:val="003B0BD5"/>
    <w:rsid w:val="003B0DE3"/>
    <w:rsid w:val="003C353A"/>
    <w:rsid w:val="003D2686"/>
    <w:rsid w:val="003D5472"/>
    <w:rsid w:val="003F2031"/>
    <w:rsid w:val="00402BD4"/>
    <w:rsid w:val="004448DF"/>
    <w:rsid w:val="004770D0"/>
    <w:rsid w:val="00482951"/>
    <w:rsid w:val="00484358"/>
    <w:rsid w:val="004C4731"/>
    <w:rsid w:val="004C4B36"/>
    <w:rsid w:val="004D29BC"/>
    <w:rsid w:val="00511D40"/>
    <w:rsid w:val="00531C50"/>
    <w:rsid w:val="005457C3"/>
    <w:rsid w:val="00561956"/>
    <w:rsid w:val="005744AD"/>
    <w:rsid w:val="005F3399"/>
    <w:rsid w:val="00616902"/>
    <w:rsid w:val="006403D3"/>
    <w:rsid w:val="006675D3"/>
    <w:rsid w:val="0067558A"/>
    <w:rsid w:val="00694722"/>
    <w:rsid w:val="006A55B1"/>
    <w:rsid w:val="006D1327"/>
    <w:rsid w:val="006E28A4"/>
    <w:rsid w:val="006F5807"/>
    <w:rsid w:val="00701039"/>
    <w:rsid w:val="007358D7"/>
    <w:rsid w:val="00745385"/>
    <w:rsid w:val="00745A69"/>
    <w:rsid w:val="00745BD9"/>
    <w:rsid w:val="00761DBB"/>
    <w:rsid w:val="007675D9"/>
    <w:rsid w:val="00773CE1"/>
    <w:rsid w:val="00782739"/>
    <w:rsid w:val="00787CBE"/>
    <w:rsid w:val="007946E0"/>
    <w:rsid w:val="007C20E6"/>
    <w:rsid w:val="007C65C6"/>
    <w:rsid w:val="007E2506"/>
    <w:rsid w:val="007E5687"/>
    <w:rsid w:val="00812801"/>
    <w:rsid w:val="0081719F"/>
    <w:rsid w:val="00881A92"/>
    <w:rsid w:val="00881FB9"/>
    <w:rsid w:val="008927B2"/>
    <w:rsid w:val="008B6DA8"/>
    <w:rsid w:val="008D1191"/>
    <w:rsid w:val="00927530"/>
    <w:rsid w:val="009355DF"/>
    <w:rsid w:val="009960EC"/>
    <w:rsid w:val="009A5D4B"/>
    <w:rsid w:val="009B60AD"/>
    <w:rsid w:val="009C69A0"/>
    <w:rsid w:val="009D7753"/>
    <w:rsid w:val="009E1B49"/>
    <w:rsid w:val="009E4734"/>
    <w:rsid w:val="009F6A81"/>
    <w:rsid w:val="00A0161D"/>
    <w:rsid w:val="00A06F43"/>
    <w:rsid w:val="00A242B0"/>
    <w:rsid w:val="00A24D6F"/>
    <w:rsid w:val="00A44B64"/>
    <w:rsid w:val="00A4651D"/>
    <w:rsid w:val="00A52734"/>
    <w:rsid w:val="00A7193E"/>
    <w:rsid w:val="00B00613"/>
    <w:rsid w:val="00B06542"/>
    <w:rsid w:val="00B267E2"/>
    <w:rsid w:val="00B52CBC"/>
    <w:rsid w:val="00B6576C"/>
    <w:rsid w:val="00B72A06"/>
    <w:rsid w:val="00B957BC"/>
    <w:rsid w:val="00BC0E97"/>
    <w:rsid w:val="00BC2CE6"/>
    <w:rsid w:val="00C108BC"/>
    <w:rsid w:val="00C56C57"/>
    <w:rsid w:val="00C77FBC"/>
    <w:rsid w:val="00C816DA"/>
    <w:rsid w:val="00D34703"/>
    <w:rsid w:val="00D62B52"/>
    <w:rsid w:val="00D632E2"/>
    <w:rsid w:val="00D674D1"/>
    <w:rsid w:val="00D73CFA"/>
    <w:rsid w:val="00DB2993"/>
    <w:rsid w:val="00DE19D2"/>
    <w:rsid w:val="00E31013"/>
    <w:rsid w:val="00E316BF"/>
    <w:rsid w:val="00E33E14"/>
    <w:rsid w:val="00E35158"/>
    <w:rsid w:val="00E43BE3"/>
    <w:rsid w:val="00E91ABC"/>
    <w:rsid w:val="00E93EA7"/>
    <w:rsid w:val="00F3065E"/>
    <w:rsid w:val="00F62750"/>
    <w:rsid w:val="00F65435"/>
    <w:rsid w:val="00F7249B"/>
    <w:rsid w:val="00FB6C68"/>
    <w:rsid w:val="00FC4933"/>
    <w:rsid w:val="02691E88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7DA4307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table" w:customStyle="1" w:styleId="13">
    <w:name w:val="网格型1"/>
    <w:basedOn w:val="7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fontstyle01"/>
    <w:basedOn w:val="9"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6">
    <w:name w:val="fontstyle21"/>
    <w:basedOn w:val="9"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17">
    <w:name w:val="批注文字 Char"/>
    <w:basedOn w:val="9"/>
    <w:link w:val="2"/>
    <w:semiHidden/>
    <w:qFormat/>
    <w:uiPriority w:val="99"/>
    <w:rPr>
      <w:szCs w:val="22"/>
    </w:rPr>
  </w:style>
  <w:style w:type="character" w:customStyle="1" w:styleId="18">
    <w:name w:val="批注主题 Char"/>
    <w:basedOn w:val="17"/>
    <w:link w:val="6"/>
    <w:semiHidden/>
    <w:qFormat/>
    <w:uiPriority w:val="99"/>
    <w:rPr>
      <w:b/>
      <w:bCs/>
      <w:szCs w:val="22"/>
    </w:rPr>
  </w:style>
  <w:style w:type="character" w:customStyle="1" w:styleId="19">
    <w:name w:val="批注框文本 Char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875</Characters>
  <Lines>1</Lines>
  <Paragraphs>2</Paragraphs>
  <TotalTime>102</TotalTime>
  <ScaleCrop>false</ScaleCrop>
  <LinksUpToDate>false</LinksUpToDate>
  <CharactersWithSpaces>943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2021-02-26T05:06:00Z</dcterms:created>
  <dc:creator>Microsoft Office User</dc:creator>
  <cp:lastModifiedBy>聪子</cp:lastModifiedBy>
  <dcterms:modified xsi:type="dcterms:W3CDTF">2022-08-29T06:58:15Z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1DCF88E0043F4A22B8321F4BAC141CED</vt:lpwstr>
  </property>
</Properties>
</file>