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CGWMY6BU797A0VHGQZR8YL0C7N80OYPRES0XNJEDXGH8TFLT68BRQC0EFY9TPFIRBFM6OOL0ZIWD8LJJQSFADF8O8RN0WHWB8FODRHB36E78C7ED5F441E48428AA41FD46A70C3" Type="http://schemas.microsoft.com/office/2006/relationships/officeDocumentMain" Target="docProps/core.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CQWFD6GP797Q069GQKRNDL0Y7NN0OSVREJ06FJDVXFGRTQ5TN0BRVCJ6FS6TPDIRBFM6EOZGZIA78PNJEFFTKFF68RM0WLLB8UOOZHB32CA4EE1765B13E45071AA738CA1CD995" Type="http://schemas.microsoft.com/office/2006/relationships/officeDocumentExtended"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3C7" w:rsidRDefault="00B24713">
      <w:pPr>
        <w:jc w:val="center"/>
        <w:rPr>
          <w:rFonts w:ascii="黑体" w:eastAsia="黑体" w:hAnsi="黑体" w:cs="Times New Roman"/>
          <w:sz w:val="32"/>
          <w:szCs w:val="44"/>
        </w:rPr>
      </w:pPr>
      <w:r>
        <w:rPr>
          <w:rFonts w:ascii="黑体" w:eastAsia="黑体" w:hAnsi="黑体" w:cs="Times New Roman" w:hint="eastAsia"/>
          <w:sz w:val="32"/>
          <w:szCs w:val="44"/>
        </w:rPr>
        <w:t>东方</w:t>
      </w:r>
      <w:r>
        <w:rPr>
          <w:rFonts w:ascii="黑体" w:eastAsia="黑体" w:hAnsi="黑体" w:cs="Times New Roman"/>
          <w:sz w:val="32"/>
          <w:szCs w:val="44"/>
        </w:rPr>
        <w:t>阿尔法</w:t>
      </w:r>
      <w:r>
        <w:rPr>
          <w:rFonts w:ascii="黑体" w:eastAsia="黑体" w:hAnsi="黑体" w:cs="Times New Roman" w:hint="eastAsia"/>
          <w:sz w:val="32"/>
          <w:szCs w:val="44"/>
        </w:rPr>
        <w:t>优选</w:t>
      </w:r>
      <w:r>
        <w:rPr>
          <w:rFonts w:ascii="黑体" w:eastAsia="黑体" w:hAnsi="黑体" w:cs="Times New Roman"/>
          <w:sz w:val="32"/>
          <w:szCs w:val="44"/>
        </w:rPr>
        <w:t>混合型发起式证券投资基金（A类份额）</w:t>
      </w:r>
    </w:p>
    <w:p w:rsidR="00A513C7" w:rsidRDefault="00B24713">
      <w:pPr>
        <w:jc w:val="center"/>
        <w:rPr>
          <w:rFonts w:ascii="黑体" w:eastAsia="黑体" w:hAnsi="黑体" w:cs="Times New Roman"/>
          <w:sz w:val="32"/>
          <w:szCs w:val="44"/>
        </w:rPr>
      </w:pPr>
      <w:r>
        <w:rPr>
          <w:rFonts w:ascii="黑体" w:eastAsia="黑体" w:hAnsi="黑体" w:cs="Times New Roman"/>
          <w:sz w:val="32"/>
          <w:szCs w:val="44"/>
        </w:rPr>
        <w:t>基金产品资料概要</w:t>
      </w:r>
      <w:r>
        <w:rPr>
          <w:rFonts w:ascii="黑体" w:eastAsia="黑体" w:hAnsi="黑体" w:cs="Times New Roman" w:hint="eastAsia"/>
          <w:sz w:val="32"/>
          <w:szCs w:val="44"/>
        </w:rPr>
        <w:t>更新</w:t>
      </w:r>
    </w:p>
    <w:p w:rsidR="00A513C7" w:rsidRDefault="00B24713">
      <w:pPr>
        <w:spacing w:afterLines="50" w:after="156"/>
        <w:jc w:val="right"/>
        <w:rPr>
          <w:rFonts w:asciiTheme="minorEastAsia" w:hAnsiTheme="minorEastAsia"/>
        </w:rPr>
      </w:pPr>
      <w:r>
        <w:rPr>
          <w:rFonts w:asciiTheme="minorEastAsia" w:hAnsiTheme="minorEastAsia" w:hint="eastAsia"/>
        </w:rPr>
        <w:t>编制日期：</w:t>
      </w:r>
      <w:r w:rsidR="005D011C">
        <w:rPr>
          <w:rFonts w:asciiTheme="minorEastAsia" w:hAnsiTheme="minorEastAsia" w:hint="eastAsia"/>
        </w:rPr>
        <w:t>2</w:t>
      </w:r>
      <w:r w:rsidR="005D011C">
        <w:rPr>
          <w:rFonts w:asciiTheme="minorEastAsia" w:hAnsiTheme="minorEastAsia"/>
        </w:rPr>
        <w:t>022</w:t>
      </w:r>
      <w:r>
        <w:rPr>
          <w:rFonts w:asciiTheme="minorEastAsia" w:hAnsiTheme="minorEastAsia" w:hint="eastAsia"/>
        </w:rPr>
        <w:t>年</w:t>
      </w:r>
      <w:r w:rsidR="000442C5">
        <w:rPr>
          <w:rFonts w:asciiTheme="minorEastAsia" w:hAnsiTheme="minorEastAsia"/>
        </w:rPr>
        <w:t>11</w:t>
      </w:r>
      <w:r>
        <w:rPr>
          <w:rFonts w:asciiTheme="minorEastAsia" w:hAnsiTheme="minorEastAsia"/>
        </w:rPr>
        <w:t>月</w:t>
      </w:r>
      <w:r w:rsidR="00C361B7">
        <w:rPr>
          <w:rFonts w:asciiTheme="minorEastAsia" w:hAnsiTheme="minorEastAsia"/>
        </w:rPr>
        <w:t>21</w:t>
      </w:r>
      <w:r>
        <w:rPr>
          <w:rFonts w:asciiTheme="minorEastAsia" w:hAnsiTheme="minorEastAsia" w:hint="eastAsia"/>
        </w:rPr>
        <w:t>日</w:t>
      </w:r>
    </w:p>
    <w:p w:rsidR="00A513C7" w:rsidRDefault="00B24713">
      <w:pPr>
        <w:spacing w:afterLines="50" w:after="156"/>
        <w:ind w:right="420"/>
        <w:jc w:val="center"/>
        <w:rPr>
          <w:rFonts w:asciiTheme="minorEastAsia" w:hAnsiTheme="minorEastAsia"/>
        </w:rPr>
      </w:pPr>
      <w:r>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rsidR="00A513C7" w:rsidRDefault="00B24713">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rsidR="00A513C7" w:rsidRDefault="00B24713">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" stroked="f">
                <v:textbox style="mso-fit-shape-to-text:t">
                  <w:txbxContent>
                    <w:p w:rsidR="00A513C7" w:rsidRDefault="00B24713">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rsidR="00A513C7" w:rsidRDefault="00B24713">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v:textbox>
                <w10:wrap anchorx="margin"/>
              </v:shape>
            </w:pict>
          </mc:Fallback>
        </mc:AlternateContent>
      </w:r>
      <w:r>
        <w:rPr>
          <w:rFonts w:asciiTheme="minorEastAsia" w:hAnsiTheme="minorEastAsia"/>
        </w:rPr>
        <w:t>送出日期</w:t>
      </w:r>
      <w:r>
        <w:rPr>
          <w:rFonts w:asciiTheme="minorEastAsia" w:hAnsiTheme="minorEastAsia" w:hint="eastAsia"/>
        </w:rPr>
        <w:t>：</w:t>
      </w:r>
      <w:r w:rsidR="005D011C">
        <w:rPr>
          <w:rFonts w:asciiTheme="minorEastAsia" w:hAnsiTheme="minorEastAsia"/>
        </w:rPr>
        <w:t>2022</w:t>
      </w:r>
      <w:r>
        <w:rPr>
          <w:rFonts w:asciiTheme="minorEastAsia" w:hAnsiTheme="minorEastAsia" w:hint="eastAsia"/>
        </w:rPr>
        <w:t>年</w:t>
      </w:r>
      <w:r w:rsidR="000442C5">
        <w:rPr>
          <w:rFonts w:asciiTheme="minorEastAsia" w:hAnsiTheme="minorEastAsia"/>
        </w:rPr>
        <w:t>11</w:t>
      </w:r>
      <w:r>
        <w:rPr>
          <w:rFonts w:asciiTheme="minorEastAsia" w:hAnsiTheme="minorEastAsia" w:hint="eastAsia"/>
        </w:rPr>
        <w:t>月</w:t>
      </w:r>
      <w:r w:rsidR="00C361B7">
        <w:rPr>
          <w:rFonts w:asciiTheme="minorEastAsia" w:hAnsiTheme="minorEastAsia"/>
        </w:rPr>
        <w:t>23</w:t>
      </w:r>
      <w:r>
        <w:rPr>
          <w:rFonts w:asciiTheme="minorEastAsia" w:hAnsiTheme="minorEastAsia" w:hint="eastAsia"/>
        </w:rPr>
        <w:t>日</w:t>
      </w:r>
    </w:p>
    <w:p w:rsidR="00A513C7" w:rsidRDefault="00A513C7">
      <w:pPr>
        <w:spacing w:afterLines="50" w:after="156"/>
        <w:jc w:val="right"/>
        <w:rPr>
          <w:rFonts w:ascii="华文仿宋" w:eastAsia="华文仿宋" w:hAnsi="华文仿宋"/>
        </w:rPr>
      </w:pPr>
    </w:p>
    <w:p w:rsidR="00A513C7" w:rsidRDefault="00A513C7">
      <w:pPr>
        <w:spacing w:afterLines="50" w:after="156"/>
        <w:ind w:right="840"/>
      </w:pPr>
    </w:p>
    <w:p w:rsidR="00A513C7" w:rsidRDefault="00B24713">
      <w:pPr>
        <w:rPr>
          <w:rStyle w:val="1"/>
          <w:rFonts w:asciiTheme="minorEastAsia" w:hAnsiTheme="minorEastAsia"/>
          <w:b/>
          <w:i w:val="0"/>
          <w:color w:val="000000"/>
          <w:szCs w:val="21"/>
          <w14:textFill>
            <w14:solidFill>
              <w14:srgbClr w14:val="000000">
                <w14:lumMod w14:val="75000"/>
                <w14:lumOff w14:val="25000"/>
              </w14:srgbClr>
            </w14:solidFill>
          </w14:textFill>
        </w:rPr>
      </w:pPr>
      <w:r>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A513C7">
        <w:trPr>
          <w:trHeight w:val="20"/>
        </w:trPr>
        <w:tc>
          <w:tcPr>
            <w:tcW w:w="1985"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基金简称</w:t>
            </w:r>
          </w:p>
        </w:tc>
        <w:tc>
          <w:tcPr>
            <w:tcW w:w="2977" w:type="dxa"/>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东方阿尔法</w:t>
            </w:r>
            <w:r>
              <w:rPr>
                <w:rFonts w:asciiTheme="minorEastAsia" w:hAnsiTheme="minorEastAsia" w:hint="eastAsia"/>
                <w:szCs w:val="21"/>
              </w:rPr>
              <w:t>优选</w:t>
            </w:r>
            <w:r>
              <w:rPr>
                <w:rFonts w:asciiTheme="minorEastAsia" w:hAnsiTheme="minorEastAsia"/>
                <w:szCs w:val="21"/>
              </w:rPr>
              <w:t>混合</w:t>
            </w:r>
          </w:p>
        </w:tc>
        <w:tc>
          <w:tcPr>
            <w:tcW w:w="2551"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基金主代码</w:t>
            </w:r>
          </w:p>
        </w:tc>
        <w:tc>
          <w:tcPr>
            <w:tcW w:w="2552" w:type="dxa"/>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hint="eastAsia"/>
                <w:szCs w:val="21"/>
              </w:rPr>
              <w:t>007518</w:t>
            </w:r>
          </w:p>
        </w:tc>
      </w:tr>
      <w:tr w:rsidR="00A513C7">
        <w:trPr>
          <w:trHeight w:val="20"/>
        </w:trPr>
        <w:tc>
          <w:tcPr>
            <w:tcW w:w="1985"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下属基金简称</w:t>
            </w:r>
          </w:p>
        </w:tc>
        <w:tc>
          <w:tcPr>
            <w:tcW w:w="2977" w:type="dxa"/>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东方阿尔法优选混合A</w:t>
            </w:r>
          </w:p>
        </w:tc>
        <w:tc>
          <w:tcPr>
            <w:tcW w:w="2551"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下属基金的基金代码</w:t>
            </w:r>
          </w:p>
        </w:tc>
        <w:tc>
          <w:tcPr>
            <w:tcW w:w="2552" w:type="dxa"/>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007518</w:t>
            </w:r>
          </w:p>
        </w:tc>
      </w:tr>
      <w:tr w:rsidR="00A513C7">
        <w:trPr>
          <w:trHeight w:val="20"/>
        </w:trPr>
        <w:tc>
          <w:tcPr>
            <w:tcW w:w="1985"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基金管理人</w:t>
            </w:r>
          </w:p>
        </w:tc>
        <w:tc>
          <w:tcPr>
            <w:tcW w:w="2977" w:type="dxa"/>
            <w:tcBorders>
              <w:bottom w:val="single" w:sz="4" w:space="0" w:color="auto"/>
            </w:tcBorders>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东方阿尔法基金管理有限公司</w:t>
            </w:r>
          </w:p>
        </w:tc>
        <w:tc>
          <w:tcPr>
            <w:tcW w:w="2551" w:type="dxa"/>
            <w:tcBorders>
              <w:bottom w:val="single" w:sz="4" w:space="0" w:color="auto"/>
            </w:tcBorders>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基金托管人</w:t>
            </w:r>
          </w:p>
        </w:tc>
        <w:tc>
          <w:tcPr>
            <w:tcW w:w="2552" w:type="dxa"/>
            <w:tcBorders>
              <w:bottom w:val="single" w:sz="4" w:space="0" w:color="auto"/>
            </w:tcBorders>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招商银行股份有限公司</w:t>
            </w:r>
          </w:p>
        </w:tc>
      </w:tr>
      <w:tr w:rsidR="00A513C7">
        <w:trPr>
          <w:trHeight w:val="20"/>
        </w:trPr>
        <w:tc>
          <w:tcPr>
            <w:tcW w:w="1985"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基金合同生效日</w:t>
            </w:r>
          </w:p>
        </w:tc>
        <w:tc>
          <w:tcPr>
            <w:tcW w:w="2977" w:type="dxa"/>
            <w:tcBorders>
              <w:right w:val="nil"/>
            </w:tcBorders>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2019</w:t>
            </w:r>
            <w:r>
              <w:rPr>
                <w:rFonts w:asciiTheme="minorEastAsia" w:hAnsiTheme="minorEastAsia" w:hint="eastAsia"/>
                <w:szCs w:val="21"/>
              </w:rPr>
              <w:t>年9月12日</w:t>
            </w:r>
          </w:p>
        </w:tc>
        <w:tc>
          <w:tcPr>
            <w:tcW w:w="2551" w:type="dxa"/>
            <w:tcBorders>
              <w:left w:val="nil"/>
              <w:right w:val="nil"/>
            </w:tcBorders>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b/>
                <w:szCs w:val="21"/>
              </w:rPr>
              <w:t>上市交易所及上市日期</w:t>
            </w:r>
          </w:p>
        </w:tc>
        <w:tc>
          <w:tcPr>
            <w:tcW w:w="2552" w:type="dxa"/>
            <w:tcBorders>
              <w:left w:val="nil"/>
            </w:tcBorders>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暂未上市</w:t>
            </w:r>
          </w:p>
        </w:tc>
      </w:tr>
      <w:tr w:rsidR="00A513C7">
        <w:trPr>
          <w:trHeight w:val="20"/>
        </w:trPr>
        <w:tc>
          <w:tcPr>
            <w:tcW w:w="1985"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基金类型</w:t>
            </w:r>
          </w:p>
        </w:tc>
        <w:tc>
          <w:tcPr>
            <w:tcW w:w="2977" w:type="dxa"/>
            <w:tcBorders>
              <w:right w:val="nil"/>
            </w:tcBorders>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混合型</w:t>
            </w:r>
          </w:p>
        </w:tc>
        <w:tc>
          <w:tcPr>
            <w:tcW w:w="2551" w:type="dxa"/>
            <w:tcBorders>
              <w:left w:val="nil"/>
              <w:right w:val="nil"/>
            </w:tcBorders>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交易币种</w:t>
            </w:r>
          </w:p>
        </w:tc>
        <w:tc>
          <w:tcPr>
            <w:tcW w:w="2552" w:type="dxa"/>
            <w:tcBorders>
              <w:left w:val="nil"/>
            </w:tcBorders>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人民币</w:t>
            </w:r>
          </w:p>
        </w:tc>
      </w:tr>
      <w:tr w:rsidR="00A513C7">
        <w:trPr>
          <w:trHeight w:val="20"/>
        </w:trPr>
        <w:tc>
          <w:tcPr>
            <w:tcW w:w="1985"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运作方式</w:t>
            </w:r>
          </w:p>
        </w:tc>
        <w:tc>
          <w:tcPr>
            <w:tcW w:w="2977" w:type="dxa"/>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普通开放式</w:t>
            </w:r>
          </w:p>
        </w:tc>
        <w:tc>
          <w:tcPr>
            <w:tcW w:w="2551"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开放频率</w:t>
            </w:r>
          </w:p>
        </w:tc>
        <w:tc>
          <w:tcPr>
            <w:tcW w:w="2552" w:type="dxa"/>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每个开放日</w:t>
            </w:r>
          </w:p>
        </w:tc>
      </w:tr>
      <w:tr w:rsidR="00A513C7">
        <w:trPr>
          <w:trHeight w:val="20"/>
        </w:trPr>
        <w:tc>
          <w:tcPr>
            <w:tcW w:w="1985" w:type="dxa"/>
            <w:vMerge w:val="restart"/>
            <w:vAlign w:val="center"/>
          </w:tcPr>
          <w:p w:rsidR="00A513C7" w:rsidRDefault="00B24713">
            <w:pPr>
              <w:pStyle w:val="ad"/>
              <w:spacing w:line="360" w:lineRule="exact"/>
              <w:ind w:firstLineChars="0" w:firstLine="0"/>
              <w:jc w:val="left"/>
              <w:rPr>
                <w:rFonts w:asciiTheme="minorEastAsia" w:hAnsiTheme="minorEastAsia"/>
                <w:b/>
                <w:szCs w:val="21"/>
              </w:rPr>
            </w:pPr>
            <w:r>
              <w:rPr>
                <w:rFonts w:asciiTheme="minorEastAsia" w:hAnsiTheme="minorEastAsia" w:hint="eastAsia"/>
                <w:b/>
                <w:szCs w:val="21"/>
              </w:rPr>
              <w:t>基金经理</w:t>
            </w:r>
          </w:p>
        </w:tc>
        <w:tc>
          <w:tcPr>
            <w:tcW w:w="2977" w:type="dxa"/>
            <w:vMerge w:val="restart"/>
            <w:vAlign w:val="center"/>
          </w:tcPr>
          <w:p w:rsidR="00A513C7" w:rsidRDefault="00B24713">
            <w:pPr>
              <w:pStyle w:val="ad"/>
              <w:spacing w:line="360" w:lineRule="exact"/>
              <w:ind w:firstLineChars="0" w:firstLine="0"/>
              <w:jc w:val="left"/>
              <w:rPr>
                <w:rFonts w:asciiTheme="minorEastAsia" w:hAnsiTheme="minorEastAsia"/>
                <w:szCs w:val="21"/>
              </w:rPr>
            </w:pPr>
            <w:r>
              <w:rPr>
                <w:rFonts w:asciiTheme="minorEastAsia" w:hAnsiTheme="minorEastAsia"/>
                <w:szCs w:val="21"/>
              </w:rPr>
              <w:t>乔春</w:t>
            </w:r>
          </w:p>
        </w:tc>
        <w:tc>
          <w:tcPr>
            <w:tcW w:w="2551"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开始担任本</w:t>
            </w:r>
            <w:proofErr w:type="gramStart"/>
            <w:r>
              <w:rPr>
                <w:rFonts w:asciiTheme="minorEastAsia" w:hAnsiTheme="minorEastAsia" w:hint="eastAsia"/>
                <w:b/>
                <w:szCs w:val="21"/>
              </w:rPr>
              <w:t>基金基金</w:t>
            </w:r>
            <w:proofErr w:type="gramEnd"/>
            <w:r>
              <w:rPr>
                <w:rFonts w:asciiTheme="minorEastAsia" w:hAnsiTheme="minorEastAsia" w:hint="eastAsia"/>
                <w:b/>
                <w:szCs w:val="21"/>
              </w:rPr>
              <w:t>经理的日期</w:t>
            </w:r>
          </w:p>
        </w:tc>
        <w:tc>
          <w:tcPr>
            <w:tcW w:w="2552" w:type="dxa"/>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szCs w:val="21"/>
              </w:rPr>
              <w:t>2021</w:t>
            </w:r>
            <w:r>
              <w:rPr>
                <w:rFonts w:asciiTheme="minorEastAsia" w:hAnsiTheme="minorEastAsia" w:hint="eastAsia"/>
                <w:szCs w:val="21"/>
              </w:rPr>
              <w:t>-</w:t>
            </w:r>
            <w:r>
              <w:rPr>
                <w:rFonts w:asciiTheme="minorEastAsia" w:hAnsiTheme="minorEastAsia"/>
                <w:szCs w:val="21"/>
              </w:rPr>
              <w:t>08</w:t>
            </w:r>
            <w:r>
              <w:rPr>
                <w:rFonts w:asciiTheme="minorEastAsia" w:hAnsiTheme="minorEastAsia" w:hint="eastAsia"/>
                <w:szCs w:val="21"/>
              </w:rPr>
              <w:t>-</w:t>
            </w:r>
            <w:r>
              <w:rPr>
                <w:rFonts w:asciiTheme="minorEastAsia" w:hAnsiTheme="minorEastAsia"/>
                <w:szCs w:val="21"/>
              </w:rPr>
              <w:t>25</w:t>
            </w:r>
          </w:p>
        </w:tc>
      </w:tr>
      <w:tr w:rsidR="00A513C7">
        <w:trPr>
          <w:trHeight w:val="20"/>
        </w:trPr>
        <w:tc>
          <w:tcPr>
            <w:tcW w:w="1985" w:type="dxa"/>
            <w:vMerge/>
          </w:tcPr>
          <w:p w:rsidR="00A513C7" w:rsidRDefault="00A513C7">
            <w:pPr>
              <w:pStyle w:val="ad"/>
              <w:spacing w:line="360" w:lineRule="exact"/>
              <w:ind w:firstLineChars="0" w:firstLine="0"/>
              <w:rPr>
                <w:rFonts w:asciiTheme="minorEastAsia" w:hAnsiTheme="minorEastAsia"/>
                <w:b/>
                <w:szCs w:val="21"/>
              </w:rPr>
            </w:pPr>
          </w:p>
        </w:tc>
        <w:tc>
          <w:tcPr>
            <w:tcW w:w="2977" w:type="dxa"/>
            <w:vMerge/>
          </w:tcPr>
          <w:p w:rsidR="00A513C7" w:rsidRDefault="00A513C7">
            <w:pPr>
              <w:pStyle w:val="ad"/>
              <w:spacing w:line="360" w:lineRule="exact"/>
              <w:ind w:firstLineChars="0" w:firstLine="0"/>
              <w:rPr>
                <w:rFonts w:asciiTheme="minorEastAsia" w:hAnsiTheme="minorEastAsia"/>
                <w:b/>
                <w:szCs w:val="21"/>
              </w:rPr>
            </w:pPr>
          </w:p>
        </w:tc>
        <w:tc>
          <w:tcPr>
            <w:tcW w:w="2551" w:type="dxa"/>
          </w:tcPr>
          <w:p w:rsidR="00A513C7" w:rsidRDefault="00B24713">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证券从业日期</w:t>
            </w:r>
          </w:p>
        </w:tc>
        <w:tc>
          <w:tcPr>
            <w:tcW w:w="2552" w:type="dxa"/>
          </w:tcPr>
          <w:p w:rsidR="00A513C7" w:rsidRDefault="00B24713">
            <w:pPr>
              <w:pStyle w:val="ad"/>
              <w:spacing w:line="360" w:lineRule="exact"/>
              <w:ind w:firstLineChars="0" w:firstLine="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010</w:t>
            </w:r>
            <w:r>
              <w:rPr>
                <w:rFonts w:asciiTheme="minorEastAsia" w:hAnsiTheme="minorEastAsia" w:hint="eastAsia"/>
                <w:szCs w:val="21"/>
              </w:rPr>
              <w:t>-</w:t>
            </w:r>
            <w:r>
              <w:rPr>
                <w:rFonts w:asciiTheme="minorEastAsia" w:hAnsiTheme="minorEastAsia"/>
                <w:szCs w:val="21"/>
              </w:rPr>
              <w:t>05</w:t>
            </w:r>
            <w:r>
              <w:rPr>
                <w:rFonts w:asciiTheme="minorEastAsia" w:hAnsiTheme="minorEastAsia" w:hint="eastAsia"/>
                <w:szCs w:val="21"/>
              </w:rPr>
              <w:t>-</w:t>
            </w:r>
            <w:r>
              <w:rPr>
                <w:rFonts w:asciiTheme="minorEastAsia" w:hAnsiTheme="minorEastAsia"/>
                <w:szCs w:val="21"/>
              </w:rPr>
              <w:t>31</w:t>
            </w:r>
          </w:p>
        </w:tc>
      </w:tr>
    </w:tbl>
    <w:p w:rsidR="00A513C7" w:rsidRDefault="00A513C7">
      <w:pPr>
        <w:spacing w:line="340" w:lineRule="exact"/>
        <w:rPr>
          <w:rFonts w:asciiTheme="minorEastAsia" w:hAnsiTheme="minorEastAsia"/>
          <w:b/>
          <w:szCs w:val="21"/>
        </w:rPr>
      </w:pPr>
    </w:p>
    <w:p w:rsidR="00A513C7" w:rsidRDefault="00B24713">
      <w:pPr>
        <w:spacing w:line="340" w:lineRule="exact"/>
        <w:rPr>
          <w:rFonts w:asciiTheme="minorEastAsia" w:hAnsiTheme="minorEastAsia"/>
          <w:b/>
          <w:szCs w:val="21"/>
        </w:rPr>
      </w:pPr>
      <w:r>
        <w:rPr>
          <w:rFonts w:asciiTheme="minorEastAsia" w:hAnsiTheme="minorEastAsia"/>
          <w:b/>
          <w:szCs w:val="21"/>
        </w:rPr>
        <w:t>二</w:t>
      </w:r>
      <w:r>
        <w:rPr>
          <w:rFonts w:asciiTheme="minorEastAsia" w:hAnsiTheme="minorEastAsia" w:hint="eastAsia"/>
          <w:b/>
          <w:szCs w:val="21"/>
        </w:rPr>
        <w:t>、基金投资与净值表现</w:t>
      </w:r>
    </w:p>
    <w:p w:rsidR="00A513C7" w:rsidRDefault="00B24713">
      <w:pPr>
        <w:spacing w:line="340" w:lineRule="exact"/>
        <w:rPr>
          <w:rFonts w:asciiTheme="minorEastAsia" w:hAnsiTheme="minorEastAsia"/>
          <w:b/>
          <w:szCs w:val="21"/>
        </w:rPr>
      </w:pPr>
      <w:r>
        <w:rPr>
          <w:rFonts w:asciiTheme="minorEastAsia" w:hAnsiTheme="minorEastAsia" w:hint="eastAsia"/>
          <w:b/>
          <w:szCs w:val="21"/>
        </w:rPr>
        <w:t>（一）投资目标与投资策略</w:t>
      </w:r>
    </w:p>
    <w:p w:rsidR="00A513C7" w:rsidRDefault="00B24713">
      <w:pPr>
        <w:spacing w:line="340" w:lineRule="exact"/>
        <w:contextualSpacing/>
        <w:rPr>
          <w:rFonts w:asciiTheme="minorEastAsia" w:hAnsiTheme="minorEastAsia"/>
          <w:szCs w:val="21"/>
        </w:rPr>
      </w:pPr>
      <w:r>
        <w:rPr>
          <w:rFonts w:asciiTheme="minorEastAsia" w:hAnsiTheme="minorEastAsia"/>
          <w:szCs w:val="21"/>
        </w:rPr>
        <w:t>详见</w:t>
      </w:r>
      <w:r>
        <w:rPr>
          <w:rFonts w:asciiTheme="minorEastAsia" w:hAnsiTheme="minorEastAsia" w:hint="eastAsia"/>
          <w:szCs w:val="21"/>
        </w:rPr>
        <w:t>《东方阿尔法优选混合型发起式证券投资基金招募说明书》第九部分“基金的投资”。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A513C7">
        <w:tc>
          <w:tcPr>
            <w:tcW w:w="1940" w:type="dxa"/>
          </w:tcPr>
          <w:p w:rsidR="00A513C7" w:rsidRDefault="00B24713">
            <w:pPr>
              <w:spacing w:line="360" w:lineRule="exact"/>
              <w:rPr>
                <w:rFonts w:asciiTheme="minorEastAsia" w:hAnsiTheme="minorEastAsia"/>
                <w:b/>
                <w:szCs w:val="21"/>
              </w:rPr>
            </w:pPr>
            <w:r>
              <w:rPr>
                <w:rFonts w:asciiTheme="minorEastAsia" w:hAnsiTheme="minorEastAsia" w:hint="eastAsia"/>
                <w:b/>
                <w:szCs w:val="21"/>
              </w:rPr>
              <w:t>投资目标</w:t>
            </w:r>
          </w:p>
        </w:tc>
        <w:tc>
          <w:tcPr>
            <w:tcW w:w="7924" w:type="dxa"/>
          </w:tcPr>
          <w:p w:rsidR="00A513C7" w:rsidRDefault="00B24713">
            <w:pPr>
              <w:spacing w:line="360" w:lineRule="exact"/>
              <w:ind w:firstLineChars="200" w:firstLine="420"/>
              <w:rPr>
                <w:rFonts w:asciiTheme="minorEastAsia" w:hAnsiTheme="minorEastAsia"/>
                <w:bCs/>
                <w:szCs w:val="21"/>
              </w:rPr>
            </w:pPr>
            <w:r>
              <w:rPr>
                <w:rFonts w:asciiTheme="minorEastAsia" w:hAnsiTheme="minorEastAsia" w:hint="eastAsia"/>
                <w:bCs/>
                <w:szCs w:val="21"/>
              </w:rPr>
              <w:t>在严格控制风险的基础之上，通过深入研究、优选个股、主动的投资管理方式力求实现组合资产的稳健增值。</w:t>
            </w:r>
          </w:p>
        </w:tc>
      </w:tr>
      <w:tr w:rsidR="00A513C7">
        <w:tc>
          <w:tcPr>
            <w:tcW w:w="1940" w:type="dxa"/>
          </w:tcPr>
          <w:p w:rsidR="00A513C7" w:rsidRDefault="00B24713">
            <w:pPr>
              <w:spacing w:line="360" w:lineRule="exact"/>
              <w:rPr>
                <w:rFonts w:asciiTheme="minorEastAsia" w:hAnsiTheme="minorEastAsia"/>
                <w:b/>
                <w:szCs w:val="21"/>
              </w:rPr>
            </w:pPr>
            <w:r>
              <w:rPr>
                <w:rFonts w:asciiTheme="minorEastAsia" w:hAnsiTheme="minorEastAsia" w:hint="eastAsia"/>
                <w:b/>
                <w:szCs w:val="21"/>
              </w:rPr>
              <w:t>投资范围</w:t>
            </w:r>
          </w:p>
        </w:tc>
        <w:tc>
          <w:tcPr>
            <w:tcW w:w="7924" w:type="dxa"/>
          </w:tcPr>
          <w:p w:rsidR="00A513C7" w:rsidRDefault="00B24713">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本基金的投资范围为具有良好流动性的金融工具，包括国内依法发行上市的股票（包括主板、中小板、创业板及其他中国证监会</w:t>
            </w:r>
            <w:r>
              <w:rPr>
                <w:rFonts w:asciiTheme="minorEastAsia" w:hAnsiTheme="minorEastAsia"/>
                <w:bCs/>
                <w:szCs w:val="21"/>
              </w:rPr>
              <w:t>允许基金投资</w:t>
            </w:r>
            <w:r>
              <w:rPr>
                <w:rFonts w:asciiTheme="minorEastAsia" w:hAnsiTheme="minorEastAsia" w:hint="eastAsia"/>
                <w:bCs/>
                <w:szCs w:val="21"/>
              </w:rPr>
              <w:t>的股票、存托凭证）、港股通标的股票（包括沪港</w:t>
            </w:r>
            <w:proofErr w:type="gramStart"/>
            <w:r>
              <w:rPr>
                <w:rFonts w:asciiTheme="minorEastAsia" w:hAnsiTheme="minorEastAsia" w:hint="eastAsia"/>
                <w:bCs/>
                <w:szCs w:val="21"/>
              </w:rPr>
              <w:t>通股票</w:t>
            </w:r>
            <w:proofErr w:type="gramEnd"/>
            <w:r>
              <w:rPr>
                <w:rFonts w:asciiTheme="minorEastAsia" w:hAnsiTheme="minorEastAsia" w:hint="eastAsia"/>
                <w:bCs/>
                <w:szCs w:val="21"/>
              </w:rPr>
              <w:t>及深港通股票）、债券（包括国内依法发行和上市交易的国债、金融债、企业债、公司债、公开发行的次级债、地方政府债券、可转换债券、分离交易可转债</w:t>
            </w:r>
            <w:proofErr w:type="gramStart"/>
            <w:r>
              <w:rPr>
                <w:rFonts w:asciiTheme="minorEastAsia" w:hAnsiTheme="minorEastAsia" w:hint="eastAsia"/>
                <w:bCs/>
                <w:szCs w:val="21"/>
              </w:rPr>
              <w:t>的纯债部分</w:t>
            </w:r>
            <w:proofErr w:type="gramEnd"/>
            <w:r>
              <w:rPr>
                <w:rFonts w:asciiTheme="minorEastAsia" w:hAnsiTheme="minorEastAsia" w:hint="eastAsia"/>
                <w:bCs/>
                <w:szCs w:val="21"/>
              </w:rPr>
              <w:t>、可交换债、央行票据、中期票据、证券公司短期融资</w:t>
            </w:r>
            <w:proofErr w:type="gramStart"/>
            <w:r>
              <w:rPr>
                <w:rFonts w:asciiTheme="minorEastAsia" w:hAnsiTheme="minorEastAsia" w:hint="eastAsia"/>
                <w:bCs/>
                <w:szCs w:val="21"/>
              </w:rPr>
              <w:t>券</w:t>
            </w:r>
            <w:proofErr w:type="gramEnd"/>
            <w:r>
              <w:rPr>
                <w:rFonts w:asciiTheme="minorEastAsia" w:hAnsiTheme="minorEastAsia" w:hint="eastAsia"/>
                <w:bCs/>
                <w:szCs w:val="21"/>
              </w:rPr>
              <w:t>、短期融资</w:t>
            </w:r>
            <w:proofErr w:type="gramStart"/>
            <w:r>
              <w:rPr>
                <w:rFonts w:asciiTheme="minorEastAsia" w:hAnsiTheme="minorEastAsia" w:hint="eastAsia"/>
                <w:bCs/>
                <w:szCs w:val="21"/>
              </w:rPr>
              <w:t>券</w:t>
            </w:r>
            <w:proofErr w:type="gramEnd"/>
            <w:r>
              <w:rPr>
                <w:rFonts w:asciiTheme="minorEastAsia" w:hAnsiTheme="minorEastAsia"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rsidR="00A513C7" w:rsidRDefault="00B24713">
            <w:pPr>
              <w:spacing w:line="360" w:lineRule="exact"/>
              <w:ind w:firstLineChars="200" w:firstLine="420"/>
              <w:rPr>
                <w:rFonts w:asciiTheme="minorEastAsia" w:hAnsiTheme="minorEastAsia"/>
                <w:bCs/>
                <w:szCs w:val="21"/>
              </w:rPr>
            </w:pPr>
            <w:r>
              <w:rPr>
                <w:rFonts w:asciiTheme="minorEastAsia" w:hAnsiTheme="minorEastAsia" w:hint="eastAsia"/>
                <w:bCs/>
                <w:szCs w:val="21"/>
              </w:rPr>
              <w:t>基金的投资组合比例为：本基金投资组合中股票资产投资比例为基金资产的60%-95%；其中对港股通标的股票（包括沪港</w:t>
            </w:r>
            <w:proofErr w:type="gramStart"/>
            <w:r>
              <w:rPr>
                <w:rFonts w:asciiTheme="minorEastAsia" w:hAnsiTheme="minorEastAsia" w:hint="eastAsia"/>
                <w:bCs/>
                <w:szCs w:val="21"/>
              </w:rPr>
              <w:t>通股票</w:t>
            </w:r>
            <w:proofErr w:type="gramEnd"/>
            <w:r>
              <w:rPr>
                <w:rFonts w:asciiTheme="minorEastAsia" w:hAnsiTheme="minorEastAsia" w:hint="eastAsia"/>
                <w:bCs/>
                <w:szCs w:val="21"/>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rsidR="00A513C7">
        <w:tc>
          <w:tcPr>
            <w:tcW w:w="1940" w:type="dxa"/>
          </w:tcPr>
          <w:p w:rsidR="00A513C7" w:rsidRDefault="00B24713">
            <w:pPr>
              <w:spacing w:line="360" w:lineRule="exact"/>
              <w:rPr>
                <w:rFonts w:asciiTheme="minorEastAsia" w:hAnsiTheme="minorEastAsia"/>
                <w:b/>
                <w:szCs w:val="21"/>
              </w:rPr>
            </w:pPr>
            <w:r>
              <w:rPr>
                <w:rFonts w:asciiTheme="minorEastAsia" w:hAnsiTheme="minorEastAsia" w:hint="eastAsia"/>
                <w:b/>
                <w:szCs w:val="21"/>
              </w:rPr>
              <w:lastRenderedPageBreak/>
              <w:t>主要投资策略</w:t>
            </w:r>
          </w:p>
        </w:tc>
        <w:tc>
          <w:tcPr>
            <w:tcW w:w="7924" w:type="dxa"/>
          </w:tcPr>
          <w:p w:rsidR="00A513C7" w:rsidRDefault="00B24713">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Pr>
                <w:rFonts w:asciiTheme="minorEastAsia" w:hAnsiTheme="minorEastAsia"/>
                <w:bCs/>
                <w:szCs w:val="21"/>
              </w:rPr>
              <w:t>恢复</w:t>
            </w:r>
            <w:r>
              <w:rPr>
                <w:rFonts w:asciiTheme="minorEastAsia" w:hAnsiTheme="minorEastAsia" w:hint="eastAsia"/>
                <w:bCs/>
                <w:szCs w:val="21"/>
              </w:rPr>
              <w:t>到合理价值的过程中，分享股价提升带来的超额收益。</w:t>
            </w:r>
          </w:p>
        </w:tc>
      </w:tr>
      <w:tr w:rsidR="00A513C7">
        <w:tc>
          <w:tcPr>
            <w:tcW w:w="1940" w:type="dxa"/>
          </w:tcPr>
          <w:p w:rsidR="00A513C7" w:rsidRDefault="00B24713">
            <w:pPr>
              <w:spacing w:line="360" w:lineRule="exact"/>
              <w:rPr>
                <w:rFonts w:asciiTheme="minorEastAsia" w:hAnsiTheme="minorEastAsia"/>
                <w:b/>
                <w:szCs w:val="21"/>
              </w:rPr>
            </w:pPr>
            <w:r>
              <w:rPr>
                <w:rFonts w:asciiTheme="minorEastAsia" w:hAnsiTheme="minorEastAsia" w:hint="eastAsia"/>
                <w:b/>
                <w:szCs w:val="21"/>
              </w:rPr>
              <w:t>业绩比较基准</w:t>
            </w:r>
          </w:p>
        </w:tc>
        <w:tc>
          <w:tcPr>
            <w:tcW w:w="7924" w:type="dxa"/>
          </w:tcPr>
          <w:p w:rsidR="00A513C7" w:rsidRDefault="00B24713">
            <w:pPr>
              <w:spacing w:line="360" w:lineRule="exact"/>
              <w:rPr>
                <w:rFonts w:asciiTheme="minorEastAsia" w:hAnsiTheme="minorEastAsia"/>
                <w:szCs w:val="21"/>
              </w:rPr>
            </w:pPr>
            <w:r>
              <w:rPr>
                <w:rFonts w:asciiTheme="minorEastAsia" w:hAnsiTheme="minorEastAsia" w:hint="eastAsia"/>
                <w:bCs/>
                <w:szCs w:val="21"/>
              </w:rPr>
              <w:t>中证800指数收益率×80%+中证综合债券指数收益率×10%+恒生指数收益率×10%</w:t>
            </w:r>
          </w:p>
        </w:tc>
      </w:tr>
      <w:tr w:rsidR="00A513C7">
        <w:tc>
          <w:tcPr>
            <w:tcW w:w="1940" w:type="dxa"/>
          </w:tcPr>
          <w:p w:rsidR="00A513C7" w:rsidRDefault="00B24713">
            <w:pPr>
              <w:spacing w:line="360" w:lineRule="exact"/>
              <w:rPr>
                <w:rFonts w:asciiTheme="minorEastAsia" w:hAnsiTheme="minorEastAsia"/>
                <w:b/>
                <w:szCs w:val="21"/>
              </w:rPr>
            </w:pPr>
            <w:r>
              <w:rPr>
                <w:rFonts w:asciiTheme="minorEastAsia" w:hAnsiTheme="minorEastAsia" w:hint="eastAsia"/>
                <w:b/>
                <w:szCs w:val="21"/>
              </w:rPr>
              <w:t>风险收益特征</w:t>
            </w:r>
          </w:p>
        </w:tc>
        <w:tc>
          <w:tcPr>
            <w:tcW w:w="7924" w:type="dxa"/>
          </w:tcPr>
          <w:p w:rsidR="00A513C7" w:rsidRDefault="00B24713">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本基金为混合型基金，其预期收益和风险高于货币型基金、债券型基金。本基金如果投资港股通标的股票，需承担汇率风险以及境外市场的风险。</w:t>
            </w:r>
          </w:p>
        </w:tc>
      </w:tr>
    </w:tbl>
    <w:p w:rsidR="00A513C7" w:rsidRDefault="00B24713">
      <w:pPr>
        <w:spacing w:line="340" w:lineRule="exact"/>
        <w:contextualSpacing/>
        <w:rPr>
          <w:rFonts w:asciiTheme="minorEastAsia" w:hAnsiTheme="minorEastAsia"/>
          <w:b/>
          <w:szCs w:val="21"/>
        </w:rPr>
      </w:pPr>
      <w:r>
        <w:rPr>
          <w:rFonts w:asciiTheme="minorEastAsia" w:hAnsiTheme="minorEastAsia"/>
          <w:b/>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rsidR="00A513C7" w:rsidRDefault="00A513C7">
      <w:pPr>
        <w:spacing w:line="340" w:lineRule="exact"/>
        <w:contextualSpacing/>
        <w:rPr>
          <w:rFonts w:asciiTheme="minorEastAsia" w:hAnsiTheme="minorEastAsia"/>
          <w:b/>
          <w:szCs w:val="21"/>
        </w:rPr>
      </w:pPr>
    </w:p>
    <w:p w:rsidR="00C25199" w:rsidRDefault="00B24713">
      <w:pPr>
        <w:spacing w:line="340" w:lineRule="exact"/>
        <w:contextualSpacing/>
        <w:rPr>
          <w:rFonts w:asciiTheme="minorEastAsia" w:hAnsiTheme="minorEastAsia"/>
          <w:b/>
          <w:szCs w:val="21"/>
        </w:rPr>
      </w:pPr>
      <w:r>
        <w:rPr>
          <w:rFonts w:asciiTheme="minorEastAsia" w:hAnsiTheme="minorEastAsia" w:hint="eastAsia"/>
          <w:b/>
          <w:szCs w:val="21"/>
        </w:rPr>
        <w:t>（二）投资组合资产配置图表/区域配置图表</w:t>
      </w:r>
    </w:p>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投资组合资产配置图表</w:t>
      </w:r>
    </w:p>
    <w:p w:rsidR="00C25199" w:rsidRDefault="00407755">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0288" behindDoc="0" locked="0" layoutInCell="1" allowOverlap="1" wp14:anchorId="6536C960" wp14:editId="01D8531A">
            <wp:simplePos x="0" y="0"/>
            <wp:positionH relativeFrom="column">
              <wp:posOffset>325851</wp:posOffset>
            </wp:positionH>
            <wp:positionV relativeFrom="paragraph">
              <wp:posOffset>92195</wp:posOffset>
            </wp:positionV>
            <wp:extent cx="4928822" cy="2819984"/>
            <wp:effectExtent l="0" t="0" r="571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8822" cy="2819984"/>
                    </a:xfrm>
                    <a:prstGeom prst="rect">
                      <a:avLst/>
                    </a:prstGeom>
                    <a:noFill/>
                  </pic:spPr>
                </pic:pic>
              </a:graphicData>
            </a:graphic>
            <wp14:sizeRelH relativeFrom="page">
              <wp14:pctWidth>0</wp14:pctWidth>
            </wp14:sizeRelH>
            <wp14:sizeRelV relativeFrom="page">
              <wp14:pctHeight>0</wp14:pctHeight>
            </wp14:sizeRelV>
          </wp:anchor>
        </w:drawing>
      </w:r>
    </w:p>
    <w:p w:rsidR="00C25199" w:rsidRDefault="00C25199">
      <w:pPr>
        <w:spacing w:line="340" w:lineRule="exact"/>
        <w:contextualSpacing/>
        <w:rPr>
          <w:rFonts w:asciiTheme="minorEastAsia" w:hAnsiTheme="minorEastAsia"/>
          <w:b/>
          <w:szCs w:val="21"/>
        </w:rPr>
      </w:pPr>
    </w:p>
    <w:p w:rsidR="00C25199" w:rsidRDefault="00C25199">
      <w:pPr>
        <w:spacing w:line="340" w:lineRule="exact"/>
        <w:contextualSpacing/>
        <w:rPr>
          <w:rFonts w:asciiTheme="minorEastAsia" w:hAnsiTheme="minorEastAsia"/>
          <w:b/>
          <w:szCs w:val="21"/>
        </w:rPr>
      </w:pPr>
    </w:p>
    <w:p w:rsidR="008B750F" w:rsidRDefault="008B750F">
      <w:pPr>
        <w:spacing w:line="340" w:lineRule="exact"/>
        <w:contextualSpacing/>
        <w:rPr>
          <w:rFonts w:asciiTheme="minorEastAsia" w:hAnsiTheme="minorEastAsia"/>
          <w:b/>
          <w:szCs w:val="21"/>
        </w:rPr>
      </w:pPr>
    </w:p>
    <w:p w:rsidR="008B750F" w:rsidRDefault="008B750F">
      <w:pPr>
        <w:spacing w:line="340" w:lineRule="exact"/>
        <w:contextualSpacing/>
        <w:rPr>
          <w:rFonts w:asciiTheme="minorEastAsia" w:hAnsiTheme="minorEastAsia"/>
          <w:b/>
          <w:szCs w:val="21"/>
        </w:rPr>
      </w:pPr>
    </w:p>
    <w:p w:rsidR="008B750F" w:rsidRDefault="008B750F">
      <w:pPr>
        <w:spacing w:line="340" w:lineRule="exact"/>
        <w:contextualSpacing/>
        <w:rPr>
          <w:rFonts w:asciiTheme="minorEastAsia" w:hAnsiTheme="minorEastAsia"/>
          <w:b/>
          <w:szCs w:val="21"/>
        </w:rPr>
      </w:pPr>
    </w:p>
    <w:p w:rsidR="008B750F" w:rsidRDefault="008B750F">
      <w:pPr>
        <w:spacing w:line="340" w:lineRule="exact"/>
        <w:contextualSpacing/>
        <w:rPr>
          <w:rFonts w:asciiTheme="minorEastAsia" w:hAnsiTheme="minorEastAsia"/>
          <w:b/>
          <w:szCs w:val="21"/>
        </w:rPr>
      </w:pPr>
    </w:p>
    <w:p w:rsidR="008B750F" w:rsidRDefault="008B750F">
      <w:pPr>
        <w:spacing w:line="340" w:lineRule="exact"/>
        <w:contextualSpacing/>
        <w:rPr>
          <w:rFonts w:asciiTheme="minorEastAsia" w:hAnsiTheme="minorEastAsia"/>
          <w:b/>
          <w:szCs w:val="21"/>
        </w:rPr>
      </w:pPr>
    </w:p>
    <w:p w:rsidR="008B750F" w:rsidRPr="008B750F" w:rsidRDefault="008B750F">
      <w:pPr>
        <w:spacing w:line="340" w:lineRule="exact"/>
        <w:contextualSpacing/>
        <w:rPr>
          <w:rFonts w:asciiTheme="minorEastAsia" w:hAnsiTheme="minorEastAsia"/>
          <w:b/>
          <w:szCs w:val="21"/>
        </w:rPr>
      </w:pPr>
    </w:p>
    <w:p w:rsidR="00C25199" w:rsidRDefault="00C25199">
      <w:pPr>
        <w:spacing w:line="340" w:lineRule="exact"/>
        <w:contextualSpacing/>
        <w:rPr>
          <w:rFonts w:asciiTheme="minorEastAsia" w:hAnsiTheme="minorEastAsia"/>
          <w:b/>
          <w:szCs w:val="21"/>
        </w:rPr>
      </w:pPr>
    </w:p>
    <w:p w:rsidR="00C25199" w:rsidRDefault="00C25199">
      <w:pPr>
        <w:spacing w:line="340" w:lineRule="exact"/>
        <w:contextualSpacing/>
        <w:rPr>
          <w:rFonts w:asciiTheme="minorEastAsia" w:hAnsiTheme="minorEastAsia"/>
          <w:b/>
          <w:szCs w:val="21"/>
        </w:rPr>
      </w:pPr>
    </w:p>
    <w:p w:rsidR="00C25199" w:rsidRDefault="00C25199">
      <w:pPr>
        <w:spacing w:line="340" w:lineRule="exact"/>
        <w:contextualSpacing/>
        <w:rPr>
          <w:rFonts w:asciiTheme="minorEastAsia" w:hAnsiTheme="minorEastAsia"/>
          <w:b/>
          <w:szCs w:val="21"/>
        </w:rPr>
      </w:pPr>
    </w:p>
    <w:p w:rsidR="00C25199" w:rsidRDefault="00C25199">
      <w:pPr>
        <w:spacing w:line="340" w:lineRule="exact"/>
        <w:contextualSpacing/>
        <w:rPr>
          <w:rFonts w:asciiTheme="minorEastAsia" w:hAnsiTheme="minorEastAsia"/>
          <w:b/>
          <w:szCs w:val="21"/>
        </w:rPr>
      </w:pPr>
    </w:p>
    <w:p w:rsidR="00C25199" w:rsidRDefault="00C25199">
      <w:pPr>
        <w:spacing w:line="340" w:lineRule="exact"/>
        <w:contextualSpacing/>
        <w:rPr>
          <w:rFonts w:asciiTheme="minorEastAsia" w:hAnsiTheme="minorEastAsia"/>
          <w:b/>
          <w:szCs w:val="21"/>
        </w:rPr>
      </w:pPr>
    </w:p>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（三）自基金合同生效以来基金每年的净值增长率与同期业绩比较基准的比较图</w:t>
      </w:r>
    </w:p>
    <w:p w:rsidR="00C25199" w:rsidRDefault="00407755">
      <w:pPr>
        <w:spacing w:line="340" w:lineRule="exact"/>
        <w:contextualSpacing/>
        <w:rPr>
          <w:rFonts w:ascii="宋体" w:eastAsia="宋体" w:hAnsi="Calibri" w:cs="宋体"/>
          <w:noProof/>
          <w:color w:val="000000"/>
          <w:kern w:val="0"/>
          <w:szCs w:val="21"/>
        </w:rPr>
      </w:pPr>
      <w:bookmarkStart w:id="0" w:name="_GoBack"/>
      <w:r>
        <w:rPr>
          <w:rFonts w:asciiTheme="minorEastAsia" w:hAnsiTheme="minorEastAsia"/>
          <w:b/>
          <w:noProof/>
          <w:szCs w:val="21"/>
        </w:rPr>
        <w:drawing>
          <wp:anchor distT="0" distB="0" distL="114300" distR="114300" simplePos="0" relativeHeight="251661312" behindDoc="0" locked="0" layoutInCell="1" allowOverlap="1" wp14:anchorId="11C9B9C0" wp14:editId="02E7C801">
            <wp:simplePos x="0" y="0"/>
            <wp:positionH relativeFrom="column">
              <wp:posOffset>240256</wp:posOffset>
            </wp:positionH>
            <wp:positionV relativeFrom="paragraph">
              <wp:posOffset>107950</wp:posOffset>
            </wp:positionV>
            <wp:extent cx="5015086" cy="2869340"/>
            <wp:effectExtent l="0" t="0" r="0"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5086" cy="286934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A513C7" w:rsidRDefault="00A513C7">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宋体" w:eastAsia="宋体" w:hAnsi="Calibri" w:cs="宋体"/>
          <w:noProof/>
          <w:color w:val="000000"/>
          <w:kern w:val="0"/>
          <w:szCs w:val="21"/>
        </w:rPr>
      </w:pPr>
    </w:p>
    <w:p w:rsidR="00AC56D2" w:rsidRDefault="00AC56D2">
      <w:pPr>
        <w:spacing w:line="340" w:lineRule="exact"/>
        <w:contextualSpacing/>
        <w:rPr>
          <w:rFonts w:asciiTheme="minorEastAsia" w:hAnsiTheme="minorEastAsia"/>
          <w:b/>
          <w:szCs w:val="21"/>
        </w:rPr>
      </w:pPr>
    </w:p>
    <w:p w:rsidR="00A513C7" w:rsidRDefault="00B24713">
      <w:pPr>
        <w:spacing w:line="340" w:lineRule="exact"/>
        <w:contextualSpacing/>
        <w:rPr>
          <w:rFonts w:asciiTheme="minorEastAsia" w:hAnsiTheme="minorEastAsia"/>
          <w:b/>
          <w:szCs w:val="21"/>
        </w:rPr>
      </w:pPr>
      <w:r>
        <w:rPr>
          <w:rFonts w:asciiTheme="minorEastAsia" w:hAnsiTheme="minorEastAsia"/>
          <w:b/>
          <w:szCs w:val="21"/>
        </w:rPr>
        <w:lastRenderedPageBreak/>
        <w:t>三</w:t>
      </w:r>
      <w:r>
        <w:rPr>
          <w:rFonts w:asciiTheme="minorEastAsia" w:hAnsiTheme="minorEastAsia" w:hint="eastAsia"/>
          <w:b/>
          <w:szCs w:val="21"/>
        </w:rPr>
        <w:t>、</w:t>
      </w:r>
      <w:r>
        <w:rPr>
          <w:rFonts w:asciiTheme="minorEastAsia" w:hAnsiTheme="minorEastAsia"/>
          <w:b/>
          <w:szCs w:val="21"/>
        </w:rPr>
        <w:t>投资本基金涉及的费用</w:t>
      </w:r>
    </w:p>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（一）基金销售相关费用</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szCs w:val="21"/>
        </w:rPr>
        <w:t>以下费用在申购</w:t>
      </w:r>
      <w:r>
        <w:rPr>
          <w:rFonts w:asciiTheme="minorEastAsia" w:hAnsiTheme="minorEastAsia" w:hint="eastAsia"/>
          <w:szCs w:val="21"/>
        </w:rPr>
        <w:t>/赎回基金过程中收取：</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东方阿尔法优选混合A</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A513C7">
        <w:tc>
          <w:tcPr>
            <w:tcW w:w="2552" w:type="dxa"/>
          </w:tcPr>
          <w:p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2835" w:type="dxa"/>
          </w:tcPr>
          <w:p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金额（M）/</w:t>
            </w:r>
          </w:p>
          <w:p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持有期间（N）</w:t>
            </w:r>
          </w:p>
        </w:tc>
        <w:tc>
          <w:tcPr>
            <w:tcW w:w="1843" w:type="dxa"/>
          </w:tcPr>
          <w:p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收费方式/费率</w:t>
            </w:r>
          </w:p>
        </w:tc>
        <w:tc>
          <w:tcPr>
            <w:tcW w:w="1984" w:type="dxa"/>
          </w:tcPr>
          <w:p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备注</w:t>
            </w:r>
          </w:p>
        </w:tc>
      </w:tr>
      <w:tr w:rsidR="00A513C7">
        <w:trPr>
          <w:trHeight w:val="20"/>
        </w:trPr>
        <w:tc>
          <w:tcPr>
            <w:tcW w:w="2552" w:type="dxa"/>
            <w:vMerge w:val="restart"/>
          </w:tcPr>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申购费（前收费）</w:t>
            </w: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100</w:t>
            </w:r>
            <w:r>
              <w:rPr>
                <w:rFonts w:asciiTheme="minorEastAsia" w:hAnsiTheme="minorEastAsia" w:hint="eastAsia"/>
                <w:szCs w:val="21"/>
              </w:rPr>
              <w:t>万</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1.50%</w:t>
            </w:r>
          </w:p>
        </w:tc>
        <w:tc>
          <w:tcPr>
            <w:tcW w:w="1984"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万≤M＜</w:t>
            </w:r>
            <w:r>
              <w:rPr>
                <w:rFonts w:asciiTheme="minorEastAsia" w:hAnsiTheme="minorEastAsia"/>
                <w:szCs w:val="21"/>
              </w:rPr>
              <w:t>500</w:t>
            </w:r>
            <w:r>
              <w:rPr>
                <w:rFonts w:asciiTheme="minorEastAsia" w:hAnsiTheme="minorEastAsia" w:hint="eastAsia"/>
                <w:szCs w:val="21"/>
              </w:rPr>
              <w:t>万</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1.00%</w:t>
            </w:r>
          </w:p>
        </w:tc>
        <w:tc>
          <w:tcPr>
            <w:tcW w:w="1984"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500</w:t>
            </w:r>
            <w:r>
              <w:rPr>
                <w:rFonts w:asciiTheme="minorEastAsia" w:hAnsiTheme="minorEastAsia" w:hint="eastAsia"/>
                <w:szCs w:val="21"/>
              </w:rPr>
              <w:t>万</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1000元/笔</w:t>
            </w:r>
          </w:p>
        </w:tc>
        <w:tc>
          <w:tcPr>
            <w:tcW w:w="1984"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100</w:t>
            </w:r>
            <w:r>
              <w:rPr>
                <w:rFonts w:asciiTheme="minorEastAsia" w:hAnsiTheme="minorEastAsia" w:hint="eastAsia"/>
                <w:szCs w:val="21"/>
              </w:rPr>
              <w:t>万</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szCs w:val="21"/>
              </w:rPr>
              <w:t>0.15%</w:t>
            </w:r>
          </w:p>
        </w:tc>
        <w:tc>
          <w:tcPr>
            <w:tcW w:w="1984"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万≤M＜</w:t>
            </w:r>
            <w:r>
              <w:rPr>
                <w:rFonts w:asciiTheme="minorEastAsia" w:hAnsiTheme="minorEastAsia"/>
                <w:szCs w:val="21"/>
              </w:rPr>
              <w:t>500</w:t>
            </w:r>
            <w:r>
              <w:rPr>
                <w:rFonts w:asciiTheme="minorEastAsia" w:hAnsiTheme="minorEastAsia" w:hint="eastAsia"/>
                <w:szCs w:val="21"/>
              </w:rPr>
              <w:t>万</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szCs w:val="21"/>
              </w:rPr>
              <w:t>0.10%</w:t>
            </w:r>
          </w:p>
        </w:tc>
        <w:tc>
          <w:tcPr>
            <w:tcW w:w="1984"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500</w:t>
            </w:r>
            <w:r>
              <w:rPr>
                <w:rFonts w:asciiTheme="minorEastAsia" w:hAnsiTheme="minorEastAsia" w:hint="eastAsia"/>
                <w:szCs w:val="21"/>
              </w:rPr>
              <w:t>万</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1000元/笔</w:t>
            </w:r>
          </w:p>
        </w:tc>
        <w:tc>
          <w:tcPr>
            <w:tcW w:w="1984" w:type="dxa"/>
          </w:tcPr>
          <w:p w:rsidR="00A513C7" w:rsidRDefault="00B24713">
            <w:pPr>
              <w:spacing w:line="340" w:lineRule="exact"/>
              <w:contextualSpacing/>
              <w:rPr>
                <w:rFonts w:asciiTheme="minorEastAsia" w:hAnsiTheme="minorEastAsia"/>
                <w:b/>
                <w:szCs w:val="21"/>
              </w:rPr>
            </w:pPr>
            <w:r>
              <w:rPr>
                <w:rFonts w:asciiTheme="minorEastAsia" w:hAnsiTheme="minorEastAsia" w:hint="eastAsia"/>
                <w:szCs w:val="21"/>
              </w:rPr>
              <w:t>养老金客户</w:t>
            </w:r>
          </w:p>
        </w:tc>
      </w:tr>
      <w:tr w:rsidR="00A513C7">
        <w:trPr>
          <w:trHeight w:val="20"/>
        </w:trPr>
        <w:tc>
          <w:tcPr>
            <w:tcW w:w="2552" w:type="dxa"/>
            <w:vMerge w:val="restart"/>
          </w:tcPr>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赎回费</w:t>
            </w: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0＜N＜7天</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1.50%</w:t>
            </w:r>
          </w:p>
        </w:tc>
        <w:tc>
          <w:tcPr>
            <w:tcW w:w="1984" w:type="dxa"/>
          </w:tcPr>
          <w:p w:rsidR="00A513C7" w:rsidRDefault="00A513C7">
            <w:pPr>
              <w:contextualSpacing/>
              <w:rPr>
                <w:rFonts w:asciiTheme="minorEastAsia" w:hAnsiTheme="minorEastAsia"/>
                <w:szCs w:val="21"/>
              </w:rPr>
            </w:pP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7天≤N＜30天</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0.75%</w:t>
            </w:r>
          </w:p>
        </w:tc>
        <w:tc>
          <w:tcPr>
            <w:tcW w:w="1984" w:type="dxa"/>
          </w:tcPr>
          <w:p w:rsidR="00A513C7" w:rsidRDefault="00A513C7">
            <w:pPr>
              <w:contextualSpacing/>
              <w:rPr>
                <w:rFonts w:asciiTheme="minorEastAsia" w:hAnsiTheme="minorEastAsia"/>
                <w:szCs w:val="21"/>
              </w:rPr>
            </w:pP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30天≤N＜</w:t>
            </w:r>
            <w:r>
              <w:rPr>
                <w:rFonts w:asciiTheme="minorEastAsia" w:hAnsiTheme="minorEastAsia"/>
                <w:szCs w:val="21"/>
              </w:rPr>
              <w:t>365</w:t>
            </w:r>
            <w:r>
              <w:rPr>
                <w:rFonts w:asciiTheme="minorEastAsia" w:hAnsiTheme="minorEastAsia" w:hint="eastAsia"/>
                <w:szCs w:val="21"/>
              </w:rPr>
              <w:t>天</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0.50%</w:t>
            </w:r>
          </w:p>
        </w:tc>
        <w:tc>
          <w:tcPr>
            <w:tcW w:w="1984" w:type="dxa"/>
          </w:tcPr>
          <w:p w:rsidR="00A513C7" w:rsidRDefault="00A513C7">
            <w:pPr>
              <w:contextualSpacing/>
              <w:rPr>
                <w:rFonts w:asciiTheme="minorEastAsia" w:hAnsiTheme="minorEastAsia"/>
                <w:szCs w:val="21"/>
              </w:rPr>
            </w:pP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szCs w:val="21"/>
              </w:rPr>
              <w:t>365天≤N＜</w:t>
            </w:r>
            <w:r>
              <w:rPr>
                <w:rFonts w:asciiTheme="minorEastAsia" w:hAnsiTheme="minorEastAsia" w:hint="eastAsia"/>
                <w:szCs w:val="21"/>
              </w:rPr>
              <w:t>730天</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25</w:t>
            </w:r>
            <w:r>
              <w:rPr>
                <w:rFonts w:asciiTheme="minorEastAsia" w:hAnsiTheme="minorEastAsia" w:hint="eastAsia"/>
                <w:szCs w:val="21"/>
              </w:rPr>
              <w:t>%</w:t>
            </w:r>
          </w:p>
        </w:tc>
        <w:tc>
          <w:tcPr>
            <w:tcW w:w="1984" w:type="dxa"/>
          </w:tcPr>
          <w:p w:rsidR="00A513C7" w:rsidRDefault="00A513C7">
            <w:pPr>
              <w:contextualSpacing/>
              <w:rPr>
                <w:rFonts w:asciiTheme="minorEastAsia" w:hAnsiTheme="minorEastAsia"/>
                <w:szCs w:val="21"/>
              </w:rPr>
            </w:pPr>
          </w:p>
        </w:tc>
      </w:tr>
      <w:tr w:rsidR="00A513C7">
        <w:trPr>
          <w:trHeight w:val="20"/>
        </w:trPr>
        <w:tc>
          <w:tcPr>
            <w:tcW w:w="2552" w:type="dxa"/>
            <w:vMerge/>
          </w:tcPr>
          <w:p w:rsidR="00A513C7" w:rsidRDefault="00A513C7">
            <w:pPr>
              <w:spacing w:line="340" w:lineRule="exact"/>
              <w:contextualSpacing/>
              <w:rPr>
                <w:rFonts w:asciiTheme="minorEastAsia" w:hAnsiTheme="minorEastAsia"/>
                <w:b/>
                <w:szCs w:val="21"/>
              </w:rPr>
            </w:pPr>
          </w:p>
        </w:tc>
        <w:tc>
          <w:tcPr>
            <w:tcW w:w="2835" w:type="dxa"/>
          </w:tcPr>
          <w:p w:rsidR="00A513C7" w:rsidRDefault="00B24713">
            <w:pPr>
              <w:spacing w:line="340" w:lineRule="exact"/>
              <w:contextualSpacing/>
              <w:rPr>
                <w:rFonts w:asciiTheme="minorEastAsia" w:hAnsiTheme="minorEastAsia"/>
                <w:szCs w:val="21"/>
              </w:rPr>
            </w:pPr>
            <w:r>
              <w:rPr>
                <w:rFonts w:asciiTheme="minorEastAsia" w:hAnsiTheme="minorEastAsia"/>
                <w:szCs w:val="21"/>
              </w:rPr>
              <w:t>730天≤N</w:t>
            </w:r>
          </w:p>
        </w:tc>
        <w:tc>
          <w:tcPr>
            <w:tcW w:w="1843"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0%</w:t>
            </w:r>
          </w:p>
        </w:tc>
        <w:tc>
          <w:tcPr>
            <w:tcW w:w="1984" w:type="dxa"/>
          </w:tcPr>
          <w:p w:rsidR="00A513C7" w:rsidRDefault="00A513C7">
            <w:pPr>
              <w:spacing w:line="340" w:lineRule="exact"/>
              <w:contextualSpacing/>
              <w:rPr>
                <w:rFonts w:asciiTheme="minorEastAsia" w:hAnsiTheme="minorEastAsia"/>
                <w:b/>
                <w:szCs w:val="21"/>
              </w:rPr>
            </w:pPr>
          </w:p>
        </w:tc>
      </w:tr>
    </w:tbl>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注:投资人重复申购，须按每次申购所对应的费率档次分别计费。</w:t>
      </w:r>
    </w:p>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（二）基金运作相关费用</w:t>
      </w:r>
    </w:p>
    <w:p w:rsidR="00A513C7" w:rsidRDefault="00B24713">
      <w:pPr>
        <w:spacing w:line="340" w:lineRule="exact"/>
        <w:ind w:firstLineChars="200" w:firstLine="422"/>
        <w:contextualSpacing/>
        <w:rPr>
          <w:rFonts w:asciiTheme="minorEastAsia" w:hAnsiTheme="minorEastAsia"/>
          <w:b/>
          <w:szCs w:val="21"/>
        </w:rPr>
      </w:pPr>
      <w:r>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A513C7">
        <w:tc>
          <w:tcPr>
            <w:tcW w:w="2268" w:type="dxa"/>
          </w:tcPr>
          <w:p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6946" w:type="dxa"/>
          </w:tcPr>
          <w:p w:rsidR="00A513C7" w:rsidRDefault="00B24713">
            <w:pPr>
              <w:spacing w:line="340" w:lineRule="exact"/>
              <w:contextualSpacing/>
              <w:jc w:val="center"/>
              <w:rPr>
                <w:rFonts w:asciiTheme="minorEastAsia" w:hAnsiTheme="minorEastAsia"/>
                <w:b/>
                <w:szCs w:val="21"/>
              </w:rPr>
            </w:pPr>
            <w:r>
              <w:rPr>
                <w:rFonts w:asciiTheme="minorEastAsia" w:hAnsiTheme="minorEastAsia" w:hint="eastAsia"/>
                <w:b/>
                <w:szCs w:val="21"/>
              </w:rPr>
              <w:t>收费方式/年费率</w:t>
            </w:r>
          </w:p>
        </w:tc>
      </w:tr>
      <w:tr w:rsidR="00A513C7">
        <w:tc>
          <w:tcPr>
            <w:tcW w:w="2268" w:type="dxa"/>
          </w:tcPr>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管理费</w:t>
            </w:r>
          </w:p>
        </w:tc>
        <w:tc>
          <w:tcPr>
            <w:tcW w:w="6946"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固定费率1.50%</w:t>
            </w:r>
          </w:p>
        </w:tc>
      </w:tr>
      <w:tr w:rsidR="00A513C7">
        <w:tc>
          <w:tcPr>
            <w:tcW w:w="2268" w:type="dxa"/>
          </w:tcPr>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托管费</w:t>
            </w:r>
          </w:p>
        </w:tc>
        <w:tc>
          <w:tcPr>
            <w:tcW w:w="6946" w:type="dxa"/>
          </w:tcPr>
          <w:p w:rsidR="00A513C7" w:rsidRDefault="00B24713">
            <w:pPr>
              <w:spacing w:line="340" w:lineRule="exact"/>
              <w:contextualSpacing/>
              <w:rPr>
                <w:rFonts w:asciiTheme="minorEastAsia" w:hAnsiTheme="minorEastAsia"/>
                <w:szCs w:val="21"/>
              </w:rPr>
            </w:pPr>
            <w:r>
              <w:rPr>
                <w:rFonts w:asciiTheme="minorEastAsia" w:hAnsiTheme="minorEastAsia" w:hint="eastAsia"/>
                <w:szCs w:val="21"/>
              </w:rPr>
              <w:t>固定费率0.25%</w:t>
            </w:r>
          </w:p>
        </w:tc>
      </w:tr>
      <w:tr w:rsidR="00A513C7">
        <w:tc>
          <w:tcPr>
            <w:tcW w:w="2268" w:type="dxa"/>
          </w:tcPr>
          <w:p w:rsidR="00A513C7" w:rsidRDefault="00B24713">
            <w:pPr>
              <w:spacing w:line="340" w:lineRule="exact"/>
              <w:contextualSpacing/>
              <w:rPr>
                <w:rFonts w:asciiTheme="minorEastAsia" w:hAnsiTheme="minorEastAsia"/>
                <w:b/>
                <w:szCs w:val="21"/>
              </w:rPr>
            </w:pPr>
            <w:r>
              <w:rPr>
                <w:rFonts w:asciiTheme="minorEastAsia" w:hAnsiTheme="minorEastAsia"/>
                <w:b/>
                <w:szCs w:val="21"/>
              </w:rPr>
              <w:t>其他费用</w:t>
            </w:r>
          </w:p>
        </w:tc>
        <w:tc>
          <w:tcPr>
            <w:tcW w:w="6946" w:type="dxa"/>
          </w:tcPr>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Pr>
                <w:rFonts w:asciiTheme="minorEastAsia" w:hAnsiTheme="minorEastAsia"/>
                <w:bCs/>
                <w:szCs w:val="21"/>
              </w:rPr>
              <w:t>按照国家有关规定和《基金合同》约定，可以在基金财产中列支的其他费用</w:t>
            </w:r>
            <w:r>
              <w:rPr>
                <w:rFonts w:asciiTheme="minorEastAsia" w:hAnsiTheme="minorEastAsia" w:hint="eastAsia"/>
                <w:bCs/>
                <w:szCs w:val="21"/>
              </w:rPr>
              <w:t>。</w:t>
            </w:r>
          </w:p>
        </w:tc>
      </w:tr>
    </w:tbl>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szCs w:val="21"/>
        </w:rPr>
        <w:t>注</w:t>
      </w:r>
      <w:r>
        <w:rPr>
          <w:rFonts w:asciiTheme="minorEastAsia" w:hAnsiTheme="minorEastAsia" w:hint="eastAsia"/>
          <w:szCs w:val="21"/>
        </w:rPr>
        <w:t>：本基金交易证券、基金等产生的费用和税负，按实际发生额从基金资产扣除。</w:t>
      </w:r>
    </w:p>
    <w:p w:rsidR="00A513C7" w:rsidRDefault="00A513C7">
      <w:pPr>
        <w:spacing w:line="340" w:lineRule="exact"/>
        <w:ind w:firstLineChars="200" w:firstLine="420"/>
        <w:contextualSpacing/>
        <w:rPr>
          <w:rFonts w:asciiTheme="minorEastAsia" w:hAnsiTheme="minorEastAsia"/>
          <w:szCs w:val="21"/>
        </w:rPr>
      </w:pPr>
    </w:p>
    <w:p w:rsidR="00A513C7" w:rsidRDefault="00B24713">
      <w:pPr>
        <w:spacing w:line="340" w:lineRule="exact"/>
        <w:contextualSpacing/>
        <w:rPr>
          <w:rFonts w:asciiTheme="minorEastAsia" w:hAnsiTheme="minorEastAsia"/>
          <w:b/>
          <w:szCs w:val="21"/>
        </w:rPr>
      </w:pPr>
      <w:r>
        <w:rPr>
          <w:rFonts w:asciiTheme="minorEastAsia" w:hAnsiTheme="minorEastAsia"/>
          <w:b/>
          <w:szCs w:val="21"/>
        </w:rPr>
        <w:t>四</w:t>
      </w:r>
      <w:r>
        <w:rPr>
          <w:rFonts w:asciiTheme="minorEastAsia" w:hAnsiTheme="minorEastAsia" w:hint="eastAsia"/>
          <w:b/>
          <w:szCs w:val="21"/>
        </w:rPr>
        <w:t>、</w:t>
      </w:r>
      <w:r>
        <w:rPr>
          <w:rFonts w:asciiTheme="minorEastAsia" w:hAnsiTheme="minorEastAsia"/>
          <w:b/>
          <w:szCs w:val="21"/>
        </w:rPr>
        <w:t>风险揭示与重要提示</w:t>
      </w:r>
    </w:p>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（一）风险揭示</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本基金不提供任何保证。投资者可能损失本金。投资有风险，投资者购买基金时应认真阅读本基金的《招募说明书》等销售文件。</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1、本基金特有风险</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（1）本基金投资于股票的比例占基金资产的60%-95%，投资集中度比较明显，股票市场的价格波动可能会导致基金净值发生剧烈波动的风险。</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（2）</w:t>
      </w:r>
      <w:r w:rsidR="00980526" w:rsidRPr="00980526">
        <w:rPr>
          <w:rFonts w:asciiTheme="minorEastAsia" w:hAnsiTheme="minorEastAsia"/>
          <w:szCs w:val="21"/>
        </w:rPr>
        <w:t>本基金为发起式基金</w:t>
      </w:r>
      <w:r w:rsidR="00980526" w:rsidRPr="00980526">
        <w:rPr>
          <w:rFonts w:asciiTheme="minorEastAsia" w:hAnsiTheme="minorEastAsia" w:hint="eastAsia"/>
          <w:szCs w:val="21"/>
        </w:rPr>
        <w:t>，</w:t>
      </w:r>
      <w:r w:rsidR="00980526" w:rsidRPr="00980526">
        <w:rPr>
          <w:rFonts w:asciiTheme="minorEastAsia" w:hAnsiTheme="minorEastAsia" w:hint="eastAsia"/>
          <w:bCs/>
          <w:szCs w:val="21"/>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）本基金可投资股指期货，可能会出现的风险</w:t>
      </w:r>
      <w:proofErr w:type="gramStart"/>
      <w:r>
        <w:rPr>
          <w:rFonts w:asciiTheme="minorEastAsia" w:hAnsiTheme="minorEastAsia" w:hint="eastAsia"/>
          <w:szCs w:val="21"/>
        </w:rPr>
        <w:t>包括基差风险</w:t>
      </w:r>
      <w:proofErr w:type="gramEnd"/>
      <w:r>
        <w:rPr>
          <w:rFonts w:asciiTheme="minorEastAsia" w:hAnsiTheme="minorEastAsia" w:hint="eastAsia"/>
          <w:szCs w:val="21"/>
        </w:rPr>
        <w:t>、合约品种差异造成的风险、标的物风险、</w:t>
      </w:r>
      <w:r>
        <w:rPr>
          <w:rFonts w:asciiTheme="minorEastAsia" w:hAnsiTheme="minorEastAsia" w:hint="eastAsia"/>
          <w:szCs w:val="21"/>
        </w:rPr>
        <w:lastRenderedPageBreak/>
        <w:t>衍生品模型风险等。</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）本基金可投资国债期货，国债期货的风险主要包含市场风险、流动性风险、信用风险、合</w:t>
      </w:r>
      <w:proofErr w:type="gramStart"/>
      <w:r>
        <w:rPr>
          <w:rFonts w:asciiTheme="minorEastAsia" w:hAnsiTheme="minorEastAsia" w:hint="eastAsia"/>
          <w:szCs w:val="21"/>
        </w:rPr>
        <w:t>规</w:t>
      </w:r>
      <w:proofErr w:type="gramEnd"/>
      <w:r>
        <w:rPr>
          <w:rFonts w:asciiTheme="minorEastAsia" w:hAnsiTheme="minorEastAsia" w:hint="eastAsia"/>
          <w:szCs w:val="21"/>
        </w:rPr>
        <w:t>性风险以及国债期货实物交割风险等。</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5</w:t>
      </w:r>
      <w:r>
        <w:rPr>
          <w:rFonts w:asciiTheme="minorEastAsia" w:hAnsiTheme="minorEastAsia" w:hint="eastAsia"/>
          <w:szCs w:val="21"/>
        </w:rPr>
        <w:t>）本基金可投资资产支持类证券，资产支持证券的风险主要包括信用风险、利率风险、流动性风险、提前偿付风险等。</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本基金除了投资于A股市场优质企业外，还可在法律法规规定的范围内投资港股通标的股票，会面临港股</w:t>
      </w:r>
      <w:proofErr w:type="gramStart"/>
      <w:r>
        <w:rPr>
          <w:rFonts w:asciiTheme="minorEastAsia" w:hAnsiTheme="minorEastAsia"/>
          <w:szCs w:val="21"/>
        </w:rPr>
        <w:t>通机制</w:t>
      </w:r>
      <w:proofErr w:type="gramEnd"/>
      <w:r>
        <w:rPr>
          <w:rFonts w:asciiTheme="minorEastAsia" w:hAnsiTheme="minorEastAsia"/>
          <w:szCs w:val="21"/>
        </w:rPr>
        <w:t>下因投资环境、投资标的、市场制度以及交易规则等差异带来的特有风险。</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（7）本基金可投资</w:t>
      </w:r>
      <w:proofErr w:type="gramStart"/>
      <w:r>
        <w:rPr>
          <w:rFonts w:asciiTheme="minorEastAsia" w:hAnsiTheme="minorEastAsia" w:hint="eastAsia"/>
          <w:szCs w:val="21"/>
        </w:rPr>
        <w:t>科创板</w:t>
      </w:r>
      <w:proofErr w:type="gramEnd"/>
      <w:r>
        <w:rPr>
          <w:rFonts w:asciiTheme="minorEastAsia" w:hAnsiTheme="minorEastAsia" w:hint="eastAsia"/>
          <w:szCs w:val="21"/>
        </w:rPr>
        <w:t>上市交易股票，将承担因上市条件、交易规则、退市制度等差异带来的特有风险，包括流动性风险、退市风险、投资集中风险等。</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Pr>
          <w:rFonts w:asciiTheme="minorEastAsia" w:hAnsiTheme="minorEastAsia"/>
          <w:szCs w:val="21"/>
        </w:rPr>
        <w:t>本基金可参与融资交易，融资交易的风险主要包括流动性风险、信用风险等，这些风险可能会给基金净值带来一定的负面影响和损失。</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（9）本基金的投资范围包括存托凭证，如果投资，可能面临存托凭证价格大幅波动甚至出现较大亏损的风险，以及与创新企业发行人、境外发行人、存托凭证发行机制和交易机制等相关的风险。</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10</w:t>
      </w:r>
      <w:r>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2、开放式基金的共有风险：市场风险、管理风险、职业道德风险、流动性风险、合</w:t>
      </w:r>
      <w:proofErr w:type="gramStart"/>
      <w:r>
        <w:rPr>
          <w:rFonts w:asciiTheme="minorEastAsia" w:hAnsiTheme="minorEastAsia" w:hint="eastAsia"/>
          <w:szCs w:val="21"/>
        </w:rPr>
        <w:t>规</w:t>
      </w:r>
      <w:proofErr w:type="gramEnd"/>
      <w:r>
        <w:rPr>
          <w:rFonts w:asciiTheme="minorEastAsia" w:hAnsiTheme="minorEastAsia" w:hint="eastAsia"/>
          <w:szCs w:val="21"/>
        </w:rPr>
        <w:t>风险、投资管理风险、操作和技术风险以及不可抗力可能导致的其他风险。</w:t>
      </w:r>
    </w:p>
    <w:p w:rsidR="00A513C7" w:rsidRDefault="00B24713">
      <w:pPr>
        <w:spacing w:line="340" w:lineRule="exact"/>
        <w:contextualSpacing/>
        <w:rPr>
          <w:rFonts w:asciiTheme="minorEastAsia" w:hAnsiTheme="minorEastAsia"/>
          <w:b/>
          <w:szCs w:val="21"/>
        </w:rPr>
      </w:pPr>
      <w:r>
        <w:rPr>
          <w:rFonts w:asciiTheme="minorEastAsia" w:hAnsiTheme="minorEastAsia" w:hint="eastAsia"/>
          <w:b/>
          <w:szCs w:val="21"/>
        </w:rPr>
        <w:t>（二）重要提示</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中国证监会对本基金募集的</w:t>
      </w:r>
      <w:r>
        <w:rPr>
          <w:rFonts w:asciiTheme="minorEastAsia" w:hAnsiTheme="minorEastAsia"/>
          <w:szCs w:val="21"/>
        </w:rPr>
        <w:t>注册</w:t>
      </w:r>
      <w:r>
        <w:rPr>
          <w:rFonts w:asciiTheme="minorEastAsia" w:hAnsiTheme="minorEastAsia" w:hint="eastAsia"/>
          <w:szCs w:val="21"/>
        </w:rPr>
        <w:t>，并不表明其对本基金的价值和收益</w:t>
      </w:r>
      <w:proofErr w:type="gramStart"/>
      <w:r>
        <w:rPr>
          <w:rFonts w:asciiTheme="minorEastAsia" w:hAnsiTheme="minorEastAsia" w:hint="eastAsia"/>
          <w:szCs w:val="21"/>
        </w:rPr>
        <w:t>作出</w:t>
      </w:r>
      <w:proofErr w:type="gramEnd"/>
      <w:r>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Pr>
          <w:rFonts w:asciiTheme="minorEastAsia" w:hAnsiTheme="minorEastAsia"/>
          <w:szCs w:val="21"/>
        </w:rPr>
        <w:t>“</w:t>
      </w:r>
      <w:r>
        <w:rPr>
          <w:rFonts w:asciiTheme="minorEastAsia" w:hAnsiTheme="minorEastAsia" w:hint="eastAsia"/>
          <w:szCs w:val="21"/>
        </w:rPr>
        <w:t>争议的处理和适用法律</w:t>
      </w:r>
      <w:r>
        <w:rPr>
          <w:rFonts w:asciiTheme="minorEastAsia" w:hAnsiTheme="minorEastAsia"/>
          <w:szCs w:val="21"/>
        </w:rPr>
        <w:t>”</w:t>
      </w:r>
      <w:r>
        <w:rPr>
          <w:rFonts w:asciiTheme="minorEastAsia" w:hAnsiTheme="minorEastAsia" w:hint="eastAsia"/>
          <w:szCs w:val="21"/>
        </w:rPr>
        <w:t>。</w:t>
      </w:r>
    </w:p>
    <w:p w:rsidR="00A513C7" w:rsidRDefault="00A513C7">
      <w:pPr>
        <w:spacing w:line="340" w:lineRule="exact"/>
        <w:ind w:firstLineChars="200" w:firstLine="420"/>
        <w:contextualSpacing/>
        <w:rPr>
          <w:rFonts w:asciiTheme="minorEastAsia" w:hAnsiTheme="minorEastAsia"/>
          <w:szCs w:val="21"/>
        </w:rPr>
      </w:pPr>
    </w:p>
    <w:p w:rsidR="00A513C7" w:rsidRDefault="00B24713">
      <w:pPr>
        <w:spacing w:line="340" w:lineRule="exact"/>
        <w:contextualSpacing/>
        <w:rPr>
          <w:rFonts w:asciiTheme="minorEastAsia" w:hAnsiTheme="minorEastAsia"/>
          <w:b/>
          <w:szCs w:val="21"/>
        </w:rPr>
      </w:pPr>
      <w:r>
        <w:rPr>
          <w:rFonts w:asciiTheme="minorEastAsia" w:hAnsiTheme="minorEastAsia"/>
          <w:b/>
          <w:szCs w:val="21"/>
        </w:rPr>
        <w:t>五</w:t>
      </w:r>
      <w:r>
        <w:rPr>
          <w:rFonts w:asciiTheme="minorEastAsia" w:hAnsiTheme="minorEastAsia" w:hint="eastAsia"/>
          <w:b/>
          <w:szCs w:val="21"/>
        </w:rPr>
        <w:t>、</w:t>
      </w:r>
      <w:r>
        <w:rPr>
          <w:rFonts w:asciiTheme="minorEastAsia" w:hAnsiTheme="minorEastAsia"/>
          <w:b/>
          <w:szCs w:val="21"/>
        </w:rPr>
        <w:t>其他资料查询方式</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以下资料详见东方阿尔法基金官方网站【www.dfa66.com】【客服电话：400-</w:t>
      </w:r>
      <w:r>
        <w:rPr>
          <w:rFonts w:asciiTheme="minorEastAsia" w:hAnsiTheme="minorEastAsia"/>
          <w:szCs w:val="21"/>
        </w:rPr>
        <w:t>930</w:t>
      </w:r>
      <w:r>
        <w:rPr>
          <w:rFonts w:asciiTheme="minorEastAsia" w:hAnsiTheme="minorEastAsia" w:hint="eastAsia"/>
          <w:szCs w:val="21"/>
        </w:rPr>
        <w:t>-</w:t>
      </w:r>
      <w:r>
        <w:rPr>
          <w:rFonts w:asciiTheme="minorEastAsia" w:hAnsiTheme="minorEastAsia"/>
          <w:szCs w:val="21"/>
        </w:rPr>
        <w:t>6677</w:t>
      </w:r>
      <w:r>
        <w:rPr>
          <w:rFonts w:asciiTheme="minorEastAsia" w:hAnsiTheme="minorEastAsia" w:hint="eastAsia"/>
          <w:szCs w:val="21"/>
        </w:rPr>
        <w:t>】</w:t>
      </w:r>
    </w:p>
    <w:p w:rsidR="00A513C7" w:rsidRDefault="00B2471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（1）基金合同、托管协议、招募说明书</w:t>
      </w:r>
    </w:p>
    <w:p w:rsidR="00A513C7" w:rsidRDefault="00B24713">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（2）定期报告，包括基金季度报告、中期报告和年度报告</w:t>
      </w:r>
    </w:p>
    <w:p w:rsidR="00A513C7" w:rsidRDefault="00B24713">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（3）基金份额净值</w:t>
      </w:r>
    </w:p>
    <w:p w:rsidR="00A513C7" w:rsidRDefault="00B24713">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（4）基金销售机构及联系方式</w:t>
      </w:r>
    </w:p>
    <w:p w:rsidR="00A513C7" w:rsidRDefault="00B24713">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（5）其他重要资料</w:t>
      </w:r>
    </w:p>
    <w:p w:rsidR="00A513C7" w:rsidRDefault="00A513C7">
      <w:pPr>
        <w:pStyle w:val="ad"/>
        <w:spacing w:line="340" w:lineRule="exact"/>
        <w:ind w:left="420" w:firstLineChars="0" w:firstLine="0"/>
        <w:contextualSpacing/>
        <w:rPr>
          <w:rFonts w:asciiTheme="minorEastAsia" w:hAnsiTheme="minorEastAsia"/>
          <w:szCs w:val="21"/>
        </w:rPr>
      </w:pPr>
    </w:p>
    <w:p w:rsidR="00A513C7" w:rsidRDefault="00B24713">
      <w:pPr>
        <w:spacing w:line="340" w:lineRule="exact"/>
        <w:contextualSpacing/>
        <w:rPr>
          <w:rFonts w:asciiTheme="minorEastAsia" w:hAnsiTheme="minorEastAsia"/>
          <w:b/>
          <w:szCs w:val="21"/>
        </w:rPr>
      </w:pPr>
      <w:r>
        <w:rPr>
          <w:rFonts w:asciiTheme="minorEastAsia" w:hAnsiTheme="minorEastAsia"/>
          <w:b/>
          <w:szCs w:val="21"/>
        </w:rPr>
        <w:t>六</w:t>
      </w:r>
      <w:r>
        <w:rPr>
          <w:rFonts w:asciiTheme="minorEastAsia" w:hAnsiTheme="minorEastAsia" w:hint="eastAsia"/>
          <w:b/>
          <w:szCs w:val="21"/>
        </w:rPr>
        <w:t>、</w:t>
      </w:r>
      <w:r>
        <w:rPr>
          <w:rFonts w:asciiTheme="minorEastAsia" w:hAnsiTheme="minorEastAsia"/>
          <w:b/>
          <w:szCs w:val="21"/>
        </w:rPr>
        <w:t>其他情况说明</w:t>
      </w:r>
    </w:p>
    <w:p w:rsidR="00A513C7" w:rsidRDefault="00B24713">
      <w:pPr>
        <w:spacing w:line="340" w:lineRule="exact"/>
        <w:ind w:firstLineChars="200" w:firstLine="420"/>
        <w:contextualSpacing/>
        <w:rPr>
          <w:rFonts w:asciiTheme="minorEastAsia" w:hAnsiTheme="minorEastAsia"/>
          <w:bCs/>
          <w:szCs w:val="21"/>
        </w:rPr>
      </w:pPr>
      <w:r>
        <w:rPr>
          <w:rFonts w:asciiTheme="minorEastAsia" w:hAnsiTheme="minorEastAsia" w:hint="eastAsia"/>
          <w:szCs w:val="21"/>
        </w:rPr>
        <w:t>无</w:t>
      </w:r>
    </w:p>
    <w:sectPr w:rsidR="00A513C7">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665" w:rsidRDefault="002A7665">
      <w:r>
        <w:separator/>
      </w:r>
    </w:p>
  </w:endnote>
  <w:endnote w:type="continuationSeparator" w:id="0">
    <w:p w:rsidR="002A7665" w:rsidRDefault="002A7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rsidR="00A513C7" w:rsidRDefault="00B24713">
        <w:pPr>
          <w:pStyle w:val="a5"/>
          <w:jc w:val="center"/>
        </w:pPr>
        <w:r>
          <w:fldChar w:fldCharType="begin"/>
        </w:r>
        <w:r>
          <w:instrText>PAGE   \* MERGEFORMAT</w:instrText>
        </w:r>
        <w:r>
          <w:fldChar w:fldCharType="separate"/>
        </w:r>
        <w:r w:rsidR="00407755" w:rsidRPr="00407755">
          <w:rPr>
            <w:noProof/>
            <w:lang w:val="zh-CN"/>
          </w:rPr>
          <w:t>3</w:t>
        </w:r>
        <w:r>
          <w:fldChar w:fldCharType="end"/>
        </w:r>
      </w:p>
    </w:sdtContent>
  </w:sdt>
  <w:p w:rsidR="00A513C7" w:rsidRDefault="00A513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665" w:rsidRDefault="002A7665">
      <w:r>
        <w:separator/>
      </w:r>
    </w:p>
  </w:footnote>
  <w:footnote w:type="continuationSeparator" w:id="0">
    <w:p w:rsidR="002A7665" w:rsidRDefault="002A7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34BDB"/>
    <w:rsid w:val="00035DF0"/>
    <w:rsid w:val="000442C5"/>
    <w:rsid w:val="000738AA"/>
    <w:rsid w:val="00074340"/>
    <w:rsid w:val="00075E30"/>
    <w:rsid w:val="000805FE"/>
    <w:rsid w:val="000926F9"/>
    <w:rsid w:val="000929F3"/>
    <w:rsid w:val="00095BBF"/>
    <w:rsid w:val="000B6E7F"/>
    <w:rsid w:val="000C07A8"/>
    <w:rsid w:val="000D7E21"/>
    <w:rsid w:val="000E6610"/>
    <w:rsid w:val="001038E9"/>
    <w:rsid w:val="00116110"/>
    <w:rsid w:val="001624FB"/>
    <w:rsid w:val="0018376C"/>
    <w:rsid w:val="001857D4"/>
    <w:rsid w:val="001A6B72"/>
    <w:rsid w:val="001A7C67"/>
    <w:rsid w:val="001B09D7"/>
    <w:rsid w:val="001D65A5"/>
    <w:rsid w:val="001F4221"/>
    <w:rsid w:val="00200559"/>
    <w:rsid w:val="002110EA"/>
    <w:rsid w:val="00227272"/>
    <w:rsid w:val="0023012D"/>
    <w:rsid w:val="0024041C"/>
    <w:rsid w:val="00253ADE"/>
    <w:rsid w:val="00260A5C"/>
    <w:rsid w:val="00275937"/>
    <w:rsid w:val="00280057"/>
    <w:rsid w:val="00286054"/>
    <w:rsid w:val="002876C1"/>
    <w:rsid w:val="002A53BF"/>
    <w:rsid w:val="002A7665"/>
    <w:rsid w:val="002B0EE0"/>
    <w:rsid w:val="002C5E5F"/>
    <w:rsid w:val="002D4146"/>
    <w:rsid w:val="002E56ED"/>
    <w:rsid w:val="002E62B7"/>
    <w:rsid w:val="002F1C69"/>
    <w:rsid w:val="002F33D7"/>
    <w:rsid w:val="00321519"/>
    <w:rsid w:val="00322DFB"/>
    <w:rsid w:val="003312C5"/>
    <w:rsid w:val="00335CDB"/>
    <w:rsid w:val="00353731"/>
    <w:rsid w:val="00366C19"/>
    <w:rsid w:val="00387A98"/>
    <w:rsid w:val="00393690"/>
    <w:rsid w:val="003B397F"/>
    <w:rsid w:val="003D38E8"/>
    <w:rsid w:val="003D449D"/>
    <w:rsid w:val="00407755"/>
    <w:rsid w:val="00410E4E"/>
    <w:rsid w:val="00411D8D"/>
    <w:rsid w:val="00437200"/>
    <w:rsid w:val="00453549"/>
    <w:rsid w:val="004544EB"/>
    <w:rsid w:val="00461049"/>
    <w:rsid w:val="00461ACC"/>
    <w:rsid w:val="0048602F"/>
    <w:rsid w:val="004C13DC"/>
    <w:rsid w:val="004C7F14"/>
    <w:rsid w:val="004E3DDA"/>
    <w:rsid w:val="004E5C28"/>
    <w:rsid w:val="00502DAF"/>
    <w:rsid w:val="00503D3A"/>
    <w:rsid w:val="00514EF3"/>
    <w:rsid w:val="00570986"/>
    <w:rsid w:val="0058312A"/>
    <w:rsid w:val="005B0FEE"/>
    <w:rsid w:val="005D011C"/>
    <w:rsid w:val="00621CD0"/>
    <w:rsid w:val="00663768"/>
    <w:rsid w:val="006778AD"/>
    <w:rsid w:val="006E3305"/>
    <w:rsid w:val="006F3B8E"/>
    <w:rsid w:val="007043F3"/>
    <w:rsid w:val="00735306"/>
    <w:rsid w:val="0074027F"/>
    <w:rsid w:val="00740BA0"/>
    <w:rsid w:val="0074374B"/>
    <w:rsid w:val="00796F91"/>
    <w:rsid w:val="007D1D02"/>
    <w:rsid w:val="007E53B8"/>
    <w:rsid w:val="00817C56"/>
    <w:rsid w:val="00822A3A"/>
    <w:rsid w:val="008436C9"/>
    <w:rsid w:val="008976B8"/>
    <w:rsid w:val="008A66B3"/>
    <w:rsid w:val="008B750F"/>
    <w:rsid w:val="008D155B"/>
    <w:rsid w:val="008D39EF"/>
    <w:rsid w:val="00911159"/>
    <w:rsid w:val="00934ED3"/>
    <w:rsid w:val="00937FF3"/>
    <w:rsid w:val="00964B82"/>
    <w:rsid w:val="00971779"/>
    <w:rsid w:val="00975267"/>
    <w:rsid w:val="00975C1D"/>
    <w:rsid w:val="00976C18"/>
    <w:rsid w:val="00980526"/>
    <w:rsid w:val="009B5CE5"/>
    <w:rsid w:val="009C6ABD"/>
    <w:rsid w:val="00A0119C"/>
    <w:rsid w:val="00A12F39"/>
    <w:rsid w:val="00A26C26"/>
    <w:rsid w:val="00A4204A"/>
    <w:rsid w:val="00A513C7"/>
    <w:rsid w:val="00A81310"/>
    <w:rsid w:val="00A85F79"/>
    <w:rsid w:val="00AA0ECF"/>
    <w:rsid w:val="00AC17E1"/>
    <w:rsid w:val="00AC56D2"/>
    <w:rsid w:val="00AF4C00"/>
    <w:rsid w:val="00B0175F"/>
    <w:rsid w:val="00B0443E"/>
    <w:rsid w:val="00B060F0"/>
    <w:rsid w:val="00B0628E"/>
    <w:rsid w:val="00B13C49"/>
    <w:rsid w:val="00B1573C"/>
    <w:rsid w:val="00B161F0"/>
    <w:rsid w:val="00B24713"/>
    <w:rsid w:val="00B34F28"/>
    <w:rsid w:val="00B379CB"/>
    <w:rsid w:val="00B45633"/>
    <w:rsid w:val="00BB4DBD"/>
    <w:rsid w:val="00BC6B30"/>
    <w:rsid w:val="00BD74B7"/>
    <w:rsid w:val="00BE08CF"/>
    <w:rsid w:val="00BE1835"/>
    <w:rsid w:val="00BE5320"/>
    <w:rsid w:val="00BF0199"/>
    <w:rsid w:val="00C04FCF"/>
    <w:rsid w:val="00C12CB5"/>
    <w:rsid w:val="00C25199"/>
    <w:rsid w:val="00C361B7"/>
    <w:rsid w:val="00C43474"/>
    <w:rsid w:val="00C60D5D"/>
    <w:rsid w:val="00C80EBC"/>
    <w:rsid w:val="00C83376"/>
    <w:rsid w:val="00C8603F"/>
    <w:rsid w:val="00C87C45"/>
    <w:rsid w:val="00C9276B"/>
    <w:rsid w:val="00C951FA"/>
    <w:rsid w:val="00C97000"/>
    <w:rsid w:val="00CA0F97"/>
    <w:rsid w:val="00CB2135"/>
    <w:rsid w:val="00CB26E0"/>
    <w:rsid w:val="00D07E45"/>
    <w:rsid w:val="00D12B20"/>
    <w:rsid w:val="00D31FEB"/>
    <w:rsid w:val="00D32F98"/>
    <w:rsid w:val="00D4452C"/>
    <w:rsid w:val="00D6161D"/>
    <w:rsid w:val="00D72973"/>
    <w:rsid w:val="00D80F5C"/>
    <w:rsid w:val="00D9011F"/>
    <w:rsid w:val="00DC22E4"/>
    <w:rsid w:val="00E00483"/>
    <w:rsid w:val="00E0755E"/>
    <w:rsid w:val="00E64581"/>
    <w:rsid w:val="00E66C05"/>
    <w:rsid w:val="00E844CD"/>
    <w:rsid w:val="00E84A9A"/>
    <w:rsid w:val="00E87237"/>
    <w:rsid w:val="00E92573"/>
    <w:rsid w:val="00EA0311"/>
    <w:rsid w:val="00EA2A73"/>
    <w:rsid w:val="00EA3073"/>
    <w:rsid w:val="00EB3B24"/>
    <w:rsid w:val="00EC4022"/>
    <w:rsid w:val="00ED277D"/>
    <w:rsid w:val="00ED3BB5"/>
    <w:rsid w:val="00ED549B"/>
    <w:rsid w:val="00EE1EF8"/>
    <w:rsid w:val="00EE2851"/>
    <w:rsid w:val="00EF2BDB"/>
    <w:rsid w:val="00F13F63"/>
    <w:rsid w:val="00F214CE"/>
    <w:rsid w:val="00F24230"/>
    <w:rsid w:val="00F34626"/>
    <w:rsid w:val="00F86B88"/>
    <w:rsid w:val="00FA0CFC"/>
    <w:rsid w:val="00FE117F"/>
    <w:rsid w:val="1F7802D9"/>
    <w:rsid w:val="42BC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12B12AF-5F8A-4658-99C7-C316E6F9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pPr>
      <w:snapToGrid w:val="0"/>
      <w:jc w:val="left"/>
    </w:pPr>
    <w:rPr>
      <w:sz w:val="18"/>
      <w:szCs w:val="18"/>
    </w:rPr>
  </w:style>
  <w:style w:type="paragraph" w:styleId="a8">
    <w:name w:val="annotation subject"/>
    <w:basedOn w:val="a3"/>
    <w:next w:val="a3"/>
    <w:link w:val="Char4"/>
    <w:uiPriority w:val="99"/>
    <w:semiHidden/>
    <w:unhideWhenUsed/>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rPr>
      <w:vertAlign w:val="superscript"/>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rPr>
      <w:sz w:val="18"/>
      <w:szCs w:val="18"/>
    </w:rPr>
  </w:style>
  <w:style w:type="character" w:customStyle="1" w:styleId="Char0">
    <w:name w:val="批注框文本 Char"/>
    <w:basedOn w:val="a0"/>
    <w:link w:val="a4"/>
    <w:uiPriority w:val="99"/>
    <w:semiHidden/>
    <w:rPr>
      <w:sz w:val="18"/>
      <w:szCs w:val="18"/>
    </w:rPr>
  </w:style>
  <w:style w:type="character" w:customStyle="1" w:styleId="Char">
    <w:name w:val="批注文字 Char"/>
    <w:basedOn w:val="a0"/>
    <w:link w:val="a3"/>
    <w:uiPriority w:val="99"/>
    <w:semiHidden/>
  </w:style>
  <w:style w:type="character" w:customStyle="1" w:styleId="Char4">
    <w:name w:val="批注主题 Char"/>
    <w:basedOn w:val="Char"/>
    <w:link w:val="a8"/>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0B784C-36C7-4FB8-8AE2-78115AD9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121</cp:revision>
  <cp:lastPrinted>2020-08-25T10:37:00Z</cp:lastPrinted>
  <dcterms:created xsi:type="dcterms:W3CDTF">2020-06-18T02:43:00Z</dcterms:created>
  <dcterms:modified xsi:type="dcterms:W3CDTF">2022-11-21T01:33:00Z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_KSOProductBuildMID">
    <vt:lpwstr>CGWMY6BU797A0VHGQZR8YL0C7N80OYPRES0XNJEDXGH8TFLT68BRQC0EFY9TPFIRBFM6OOL0ZIWD8LJJQSFADF8O8RN0WHWB8FODRHB36E78C7ED5F441E48428AA41FD46A70C3</vt:lpwstr>
  </property>
  <property fmtid="{D5CDD505-2E9C-101B-9397-08002B2CF9AE}" pid="4" name="_KSOProductBuildSID">
    <vt:lpwstr>CQWFD6GP797Q069GQKRNDL0Y7NN0OSVREJ06FJDVXFGRTQ5TN0BRVCJ6FS6TPDIRBFM6EOZGZIA78PNJEFFTKFF68RM0WLLB8UOOZHB32CA4EE1765B13E45071AA738CA1CD995</vt:lpwstr>
  </property>
</Properties>
</file>