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D6" w:rsidRDefault="00FA690A">
      <w:pPr>
        <w:adjustRightInd w:val="0"/>
        <w:snapToGrid w:val="0"/>
        <w:spacing w:line="360" w:lineRule="auto"/>
        <w:rPr>
          <w:rFonts w:ascii="宋体" w:hAnsi="宋体" w:cs="Arial"/>
          <w:szCs w:val="21"/>
        </w:rPr>
      </w:pPr>
      <w:bookmarkStart w:id="0" w:name="CLAUSE_4a8a96dcd6964f1791ff08be1c28aa5c"/>
      <w:r>
        <w:rPr>
          <w:rFonts w:ascii="宋体" w:hAnsi="宋体"/>
        </w:rPr>
        <w:t xml:space="preserve"> </w:t>
      </w:r>
      <w:bookmarkStart w:id="1" w:name="CTS_4a8a96dcd6964f1791ff08be1c28aa5c"/>
      <w:bookmarkStart w:id="2" w:name="CLAUSE_4c693be6e66f4ed0aa54fcb7685cd808"/>
      <w:bookmarkStart w:id="3" w:name="CLAUSE_91f0a2055331492b8a9c9cc763a09e93"/>
      <w:bookmarkStart w:id="4" w:name="CLAUSE_468ded6493c9462ebc131b865f5d7da2"/>
      <w:bookmarkEnd w:id="1"/>
    </w:p>
    <w:p w:rsidR="005553D6" w:rsidRDefault="005553D6">
      <w:pPr>
        <w:spacing w:line="360" w:lineRule="auto"/>
        <w:jc w:val="center"/>
        <w:rPr>
          <w:rFonts w:ascii="宋体" w:hAnsi="宋体" w:cs="Arial"/>
          <w:b/>
          <w:szCs w:val="21"/>
        </w:rPr>
      </w:pPr>
    </w:p>
    <w:p w:rsidR="005553D6" w:rsidRDefault="00FA690A">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rsidR="005553D6" w:rsidRDefault="00FA690A">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东方阿尔法兴科一年持有期混合型</w:t>
      </w:r>
    </w:p>
    <w:p w:rsidR="005553D6" w:rsidRDefault="00FA690A">
      <w:pPr>
        <w:spacing w:line="360" w:lineRule="auto"/>
        <w:jc w:val="center"/>
        <w:rPr>
          <w:rFonts w:ascii="黑体" w:eastAsia="黑体" w:hAnsi="黑体" w:cs="Arial"/>
          <w:b/>
          <w:sz w:val="40"/>
          <w:szCs w:val="44"/>
        </w:rPr>
      </w:pPr>
      <w:r>
        <w:rPr>
          <w:rFonts w:ascii="黑体" w:eastAsia="黑体" w:hAnsi="黑体" w:cs="Arial" w:hint="eastAsia"/>
          <w:b/>
          <w:sz w:val="40"/>
          <w:szCs w:val="44"/>
        </w:rPr>
        <w:t>证券投资基金托管协议</w:t>
      </w: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FA690A">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rsidR="005553D6" w:rsidRDefault="00FA690A">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兴业银行股份有限公司</w:t>
      </w:r>
    </w:p>
    <w:p w:rsidR="008E6233" w:rsidRDefault="008E6233">
      <w:pPr>
        <w:adjustRightInd w:val="0"/>
        <w:snapToGrid w:val="0"/>
        <w:spacing w:line="360" w:lineRule="auto"/>
        <w:ind w:firstLineChars="600" w:firstLine="1680"/>
        <w:rPr>
          <w:rFonts w:ascii="宋体" w:hAnsi="宋体"/>
          <w:sz w:val="28"/>
        </w:rPr>
      </w:pPr>
    </w:p>
    <w:p w:rsidR="008E6233" w:rsidRDefault="008E6233" w:rsidP="009E74F0">
      <w:pPr>
        <w:adjustRightInd w:val="0"/>
        <w:snapToGrid w:val="0"/>
        <w:spacing w:line="360" w:lineRule="auto"/>
        <w:ind w:firstLineChars="1100" w:firstLine="3080"/>
        <w:rPr>
          <w:rFonts w:ascii="宋体" w:hAnsi="宋体"/>
          <w:sz w:val="28"/>
        </w:rPr>
      </w:pPr>
      <w:r>
        <w:rPr>
          <w:rFonts w:ascii="宋体" w:hAnsi="宋体"/>
          <w:sz w:val="28"/>
        </w:rPr>
        <w:t>二零二三年八月修订</w:t>
      </w:r>
    </w:p>
    <w:p w:rsidR="005553D6" w:rsidRDefault="005553D6">
      <w:pPr>
        <w:adjustRightInd w:val="0"/>
        <w:snapToGrid w:val="0"/>
        <w:spacing w:line="360" w:lineRule="auto"/>
        <w:jc w:val="center"/>
        <w:rPr>
          <w:rFonts w:ascii="宋体" w:hAnsi="宋体"/>
          <w:sz w:val="28"/>
        </w:rPr>
      </w:pPr>
    </w:p>
    <w:p w:rsidR="005553D6" w:rsidRDefault="00FA690A">
      <w:pPr>
        <w:adjustRightInd w:val="0"/>
        <w:snapToGrid w:val="0"/>
        <w:spacing w:line="360" w:lineRule="auto"/>
        <w:rPr>
          <w:rFonts w:ascii="宋体" w:hAnsi="宋体" w:cs="Arial"/>
          <w:bCs/>
          <w:szCs w:val="21"/>
        </w:rPr>
        <w:sectPr w:rsidR="005553D6">
          <w:headerReference w:type="even" r:id="rId52"/>
          <w:headerReference w:type="default" r:id="rId53"/>
          <w:footerReference w:type="even" r:id="rId54"/>
          <w:footerReference w:type="default" r:id="rId55"/>
          <w:headerReference w:type="first" r:id="rId56"/>
          <w:footerReference w:type="first" r:id="rId57"/>
          <w:type w:val="continuous"/>
          <w:pgSz w:w="11906" w:h="16838"/>
          <w:pgMar w:top="1418" w:right="1701" w:bottom="1418" w:left="1701" w:header="851" w:footer="992" w:gutter="0"/>
          <w:cols w:space="425"/>
          <w:docGrid w:type="lines" w:linePitch="312"/>
        </w:sectPr>
      </w:pPr>
      <w:bookmarkStart w:id="5" w:name="CTS_bbd036a1a28c47a6a84d9b8ff7038d71"/>
      <w:bookmarkStart w:id="6" w:name="CTS_727662275f9a4aec82ab8b8233c36637"/>
      <w:bookmarkStart w:id="7" w:name="CTS_c8abddb0eaae477ea000f52c393303c4"/>
      <w:bookmarkStart w:id="8" w:name="CTS_bd58dd527ca2412b839164a45ea933d0"/>
      <w:bookmarkStart w:id="9" w:name="CLAUSE_64c90b257f834672b082f6ac2cf896d3"/>
      <w:bookmarkStart w:id="10" w:name="CLAUSE_727662275f9a4aec82ab8b8233c36637"/>
      <w:bookmarkStart w:id="11" w:name="CLAUSE_bd58dd527ca2412b839164a45ea933d0"/>
      <w:bookmarkStart w:id="12" w:name="CLAUSE_bbd036a1a28c47a6a84d9b8ff7038d71"/>
      <w:bookmarkEnd w:id="0"/>
      <w:bookmarkEnd w:id="2"/>
      <w:bookmarkEnd w:id="3"/>
      <w:bookmarkEnd w:id="4"/>
      <w:bookmarkEnd w:id="5"/>
      <w:bookmarkEnd w:id="6"/>
      <w:bookmarkEnd w:id="7"/>
      <w:bookmarkEnd w:id="8"/>
      <w:r>
        <w:rPr>
          <w:rFonts w:ascii="宋体" w:hAnsi="宋体"/>
        </w:rPr>
        <w:t xml:space="preserve"> </w:t>
      </w:r>
      <w:bookmarkStart w:id="13" w:name="CTS_64c90b257f834672b082f6ac2cf896d3"/>
      <w:bookmarkEnd w:id="9"/>
      <w:bookmarkEnd w:id="13"/>
    </w:p>
    <w:p w:rsidR="005553D6" w:rsidRDefault="00FA690A">
      <w:pPr>
        <w:adjustRightInd w:val="0"/>
        <w:snapToGrid w:val="0"/>
        <w:spacing w:line="360" w:lineRule="auto"/>
        <w:rPr>
          <w:rFonts w:ascii="宋体" w:hAnsi="宋体" w:cs="Arial"/>
          <w:bCs/>
          <w:szCs w:val="21"/>
        </w:rPr>
      </w:pPr>
      <w:bookmarkStart w:id="14" w:name="CLAUSE_9d4d248183564d13a0cbc7dcce6e82c7"/>
      <w:r>
        <w:rPr>
          <w:rFonts w:ascii="宋体" w:hAnsi="宋体"/>
        </w:rPr>
        <w:lastRenderedPageBreak/>
        <w:t xml:space="preserve"> </w:t>
      </w:r>
      <w:bookmarkStart w:id="15" w:name="CTS_9d4d248183564d13a0cbc7dcce6e82c7"/>
      <w:bookmarkEnd w:id="15"/>
    </w:p>
    <w:p w:rsidR="005553D6" w:rsidRDefault="00FA690A">
      <w:pPr>
        <w:spacing w:line="360" w:lineRule="auto"/>
        <w:jc w:val="center"/>
        <w:rPr>
          <w:rFonts w:ascii="宋体" w:hAnsi="宋体"/>
          <w:b/>
          <w:sz w:val="32"/>
          <w:szCs w:val="32"/>
        </w:rPr>
      </w:pPr>
      <w:r>
        <w:rPr>
          <w:rFonts w:ascii="宋体" w:hAnsi="宋体" w:hint="eastAsia"/>
          <w:b/>
          <w:sz w:val="32"/>
          <w:szCs w:val="32"/>
        </w:rPr>
        <w:t>目录</w:t>
      </w:r>
    </w:p>
    <w:p w:rsidR="005553D6" w:rsidRDefault="00FA690A">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hyperlink>
    </w:p>
    <w:p w:rsidR="005553D6" w:rsidRDefault="00DA394D">
      <w:pPr>
        <w:pStyle w:val="10"/>
        <w:tabs>
          <w:tab w:val="left" w:pos="1500"/>
          <w:tab w:val="right" w:leader="dot" w:pos="8494"/>
        </w:tabs>
        <w:spacing w:line="360" w:lineRule="auto"/>
        <w:rPr>
          <w:rFonts w:ascii="宋体" w:hAnsi="宋体"/>
          <w:sz w:val="24"/>
        </w:rPr>
      </w:pPr>
      <w:hyperlink w:anchor="_Toc3276849" w:history="1">
        <w:r w:rsidR="00FA690A">
          <w:rPr>
            <w:rStyle w:val="af1"/>
            <w:rFonts w:ascii="宋体" w:hAnsi="宋体" w:hint="eastAsia"/>
            <w:sz w:val="24"/>
          </w:rPr>
          <w:t>第二部分</w:t>
        </w:r>
        <w:r w:rsidR="00FA690A">
          <w:rPr>
            <w:rFonts w:ascii="宋体" w:hAnsi="宋体"/>
            <w:sz w:val="24"/>
          </w:rPr>
          <w:tab/>
        </w:r>
        <w:r w:rsidR="00FA690A">
          <w:rPr>
            <w:rStyle w:val="af1"/>
            <w:rFonts w:ascii="宋体" w:hAnsi="宋体" w:hint="eastAsia"/>
            <w:sz w:val="24"/>
          </w:rPr>
          <w:t>基金托管协议的依据、目的和原则</w:t>
        </w:r>
        <w:r w:rsidR="00FA690A">
          <w:rPr>
            <w:rFonts w:ascii="宋体" w:hAnsi="宋体"/>
            <w:sz w:val="24"/>
          </w:rPr>
          <w:tab/>
          <w:t>2-</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_Toc3276849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0" w:history="1">
        <w:r w:rsidR="00FA690A">
          <w:rPr>
            <w:rStyle w:val="af1"/>
            <w:rFonts w:ascii="宋体" w:hAnsi="宋体" w:hint="eastAsia"/>
            <w:sz w:val="24"/>
          </w:rPr>
          <w:t>第三部分</w:t>
        </w:r>
        <w:r w:rsidR="00FA690A">
          <w:rPr>
            <w:rFonts w:ascii="宋体" w:hAnsi="宋体"/>
            <w:sz w:val="24"/>
          </w:rPr>
          <w:tab/>
        </w:r>
        <w:r w:rsidR="00FA690A">
          <w:rPr>
            <w:rStyle w:val="af1"/>
            <w:rFonts w:ascii="宋体" w:hAnsi="宋体" w:hint="eastAsia"/>
            <w:sz w:val="24"/>
          </w:rPr>
          <w:t>基金托管人对基金管理人的业务监督和核查</w:t>
        </w:r>
        <w:r w:rsidR="00FA690A">
          <w:rPr>
            <w:rFonts w:ascii="宋体" w:hAnsi="宋体"/>
            <w:sz w:val="24"/>
          </w:rPr>
          <w:tab/>
          <w:t>3-</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_Toc3276850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-11</w:t>
      </w:r>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1" w:history="1">
        <w:r w:rsidR="00FA690A">
          <w:rPr>
            <w:rStyle w:val="af1"/>
            <w:rFonts w:ascii="宋体" w:hAnsi="宋体" w:hint="eastAsia"/>
            <w:sz w:val="24"/>
          </w:rPr>
          <w:t>第四部分</w:t>
        </w:r>
        <w:r w:rsidR="00FA690A">
          <w:rPr>
            <w:rFonts w:ascii="宋体" w:hAnsi="宋体"/>
            <w:sz w:val="24"/>
          </w:rPr>
          <w:tab/>
        </w:r>
        <w:r w:rsidR="00FA690A">
          <w:rPr>
            <w:rStyle w:val="af1"/>
            <w:rFonts w:ascii="宋体" w:hAnsi="宋体" w:hint="eastAsia"/>
            <w:sz w:val="24"/>
          </w:rPr>
          <w:t>基金管理人对基金托管人的业务核查</w:t>
        </w:r>
        <w:r w:rsidR="00FA690A">
          <w:rPr>
            <w:rFonts w:ascii="宋体" w:hAnsi="宋体"/>
            <w:sz w:val="24"/>
          </w:rPr>
          <w:tab/>
          <w:t>4-</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_Toc3276851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2" w:history="1">
        <w:r w:rsidR="00FA690A">
          <w:rPr>
            <w:rStyle w:val="af1"/>
            <w:rFonts w:ascii="宋体" w:hAnsi="宋体" w:hint="eastAsia"/>
            <w:sz w:val="24"/>
          </w:rPr>
          <w:t>第五部分</w:t>
        </w:r>
        <w:r w:rsidR="00FA690A">
          <w:rPr>
            <w:rFonts w:ascii="宋体" w:hAnsi="宋体"/>
            <w:sz w:val="24"/>
          </w:rPr>
          <w:tab/>
        </w:r>
        <w:r w:rsidR="00FA690A">
          <w:rPr>
            <w:rStyle w:val="af1"/>
            <w:rFonts w:ascii="宋体" w:hAnsi="宋体" w:hint="eastAsia"/>
            <w:sz w:val="24"/>
          </w:rPr>
          <w:t>基金财产的保管</w:t>
        </w:r>
        <w:r w:rsidR="00FA690A">
          <w:rPr>
            <w:rFonts w:ascii="宋体" w:hAnsi="宋体"/>
            <w:sz w:val="24"/>
          </w:rPr>
          <w:tab/>
          <w:t>5-</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_Toc3276852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-4</w:t>
      </w:r>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3" w:history="1">
        <w:r w:rsidR="00FA690A">
          <w:rPr>
            <w:rStyle w:val="af1"/>
            <w:rFonts w:ascii="宋体" w:hAnsi="宋体" w:hint="eastAsia"/>
            <w:sz w:val="24"/>
          </w:rPr>
          <w:t>第六部分</w:t>
        </w:r>
        <w:r w:rsidR="00FA690A">
          <w:rPr>
            <w:rFonts w:ascii="宋体" w:hAnsi="宋体"/>
            <w:sz w:val="24"/>
          </w:rPr>
          <w:tab/>
        </w:r>
        <w:r w:rsidR="00FA690A">
          <w:rPr>
            <w:rStyle w:val="af1"/>
            <w:rFonts w:ascii="宋体" w:hAnsi="宋体" w:hint="eastAsia"/>
            <w:sz w:val="24"/>
          </w:rPr>
          <w:t>指令的发送、确认及执行</w:t>
        </w:r>
        <w:r w:rsidR="00FA690A">
          <w:rPr>
            <w:rFonts w:ascii="宋体" w:hAnsi="宋体"/>
            <w:sz w:val="24"/>
          </w:rPr>
          <w:tab/>
          <w:t>6-</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_Toc3276853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-5</w:t>
      </w:r>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4" w:history="1">
        <w:r w:rsidR="00FA690A">
          <w:rPr>
            <w:rStyle w:val="af1"/>
            <w:rFonts w:ascii="宋体" w:hAnsi="宋体" w:hint="eastAsia"/>
            <w:sz w:val="24"/>
          </w:rPr>
          <w:t>第七部分</w:t>
        </w:r>
        <w:r w:rsidR="00FA690A">
          <w:rPr>
            <w:rFonts w:ascii="宋体" w:hAnsi="宋体"/>
            <w:sz w:val="24"/>
          </w:rPr>
          <w:tab/>
        </w:r>
        <w:r w:rsidR="00FA690A">
          <w:rPr>
            <w:rStyle w:val="af1"/>
            <w:rFonts w:ascii="宋体" w:hAnsi="宋体" w:hint="eastAsia"/>
            <w:sz w:val="24"/>
          </w:rPr>
          <w:t>交易及清算交收安排</w:t>
        </w:r>
        <w:r w:rsidR="00FA690A">
          <w:rPr>
            <w:rFonts w:ascii="宋体" w:hAnsi="宋体"/>
            <w:sz w:val="24"/>
          </w:rPr>
          <w:tab/>
          <w:t>7-</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_Toc3276854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-4</w:t>
      </w:r>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5" w:history="1">
        <w:r w:rsidR="00FA690A">
          <w:rPr>
            <w:rStyle w:val="af1"/>
            <w:rFonts w:ascii="宋体" w:hAnsi="宋体" w:hint="eastAsia"/>
            <w:sz w:val="24"/>
          </w:rPr>
          <w:t>第八部分</w:t>
        </w:r>
        <w:r w:rsidR="00FA690A">
          <w:rPr>
            <w:rFonts w:ascii="宋体" w:hAnsi="宋体"/>
            <w:sz w:val="24"/>
          </w:rPr>
          <w:tab/>
        </w:r>
        <w:r w:rsidR="00FA690A">
          <w:rPr>
            <w:rStyle w:val="af1"/>
            <w:rFonts w:ascii="宋体" w:hAnsi="宋体" w:hint="eastAsia"/>
            <w:sz w:val="24"/>
          </w:rPr>
          <w:t>基金资产净值计算、估值和会计核算</w:t>
        </w:r>
        <w:r w:rsidR="00FA690A">
          <w:rPr>
            <w:rFonts w:ascii="宋体" w:hAnsi="宋体"/>
            <w:sz w:val="24"/>
          </w:rPr>
          <w:tab/>
          <w:t>8-</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_Toc3276855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-2</w:t>
      </w:r>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6" w:history="1">
        <w:r w:rsidR="00FA690A">
          <w:rPr>
            <w:rStyle w:val="af1"/>
            <w:rFonts w:ascii="宋体" w:hAnsi="宋体" w:hint="eastAsia"/>
            <w:sz w:val="24"/>
          </w:rPr>
          <w:t>第九部分</w:t>
        </w:r>
        <w:r w:rsidR="00FA690A">
          <w:rPr>
            <w:rFonts w:ascii="宋体" w:hAnsi="宋体"/>
            <w:sz w:val="24"/>
          </w:rPr>
          <w:tab/>
        </w:r>
        <w:r w:rsidR="00FA690A">
          <w:rPr>
            <w:rStyle w:val="af1"/>
            <w:rFonts w:ascii="宋体" w:hAnsi="宋体" w:hint="eastAsia"/>
            <w:sz w:val="24"/>
          </w:rPr>
          <w:t>基金收益分配</w:t>
        </w:r>
        <w:r w:rsidR="00FA690A">
          <w:rPr>
            <w:rFonts w:ascii="宋体" w:hAnsi="宋体"/>
            <w:sz w:val="24"/>
          </w:rPr>
          <w:tab/>
          <w:t>9-</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_Toc3276856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500"/>
          <w:tab w:val="right" w:leader="dot" w:pos="8494"/>
        </w:tabs>
        <w:spacing w:line="360" w:lineRule="auto"/>
        <w:rPr>
          <w:rFonts w:ascii="宋体" w:hAnsi="宋体"/>
          <w:sz w:val="24"/>
        </w:rPr>
      </w:pPr>
      <w:hyperlink w:anchor="_Toc3276857" w:history="1">
        <w:r w:rsidR="00FA690A">
          <w:rPr>
            <w:rStyle w:val="af1"/>
            <w:rFonts w:ascii="宋体" w:hAnsi="宋体" w:hint="eastAsia"/>
            <w:sz w:val="24"/>
          </w:rPr>
          <w:t>第十部分</w:t>
        </w:r>
        <w:r w:rsidR="00FA690A">
          <w:rPr>
            <w:rFonts w:ascii="宋体" w:hAnsi="宋体"/>
            <w:sz w:val="24"/>
          </w:rPr>
          <w:tab/>
        </w:r>
        <w:r w:rsidR="00FA690A">
          <w:rPr>
            <w:rStyle w:val="af1"/>
            <w:rFonts w:ascii="宋体" w:hAnsi="宋体" w:hint="eastAsia"/>
            <w:sz w:val="24"/>
          </w:rPr>
          <w:t>基金信息披露</w:t>
        </w:r>
        <w:r w:rsidR="00FA690A">
          <w:rPr>
            <w:rFonts w:ascii="宋体" w:hAnsi="宋体"/>
            <w:sz w:val="24"/>
          </w:rPr>
          <w:tab/>
          <w:t>10-</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_Toc3276857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-3</w:t>
      </w:r>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58" w:history="1">
        <w:r w:rsidR="00FA690A">
          <w:rPr>
            <w:rStyle w:val="af1"/>
            <w:rFonts w:ascii="宋体" w:hAnsi="宋体" w:hint="eastAsia"/>
            <w:sz w:val="24"/>
          </w:rPr>
          <w:t>第十一部分</w:t>
        </w:r>
        <w:r w:rsidR="00FA690A">
          <w:rPr>
            <w:rFonts w:ascii="宋体" w:hAnsi="宋体"/>
            <w:sz w:val="24"/>
          </w:rPr>
          <w:tab/>
        </w:r>
        <w:r w:rsidR="00FA690A">
          <w:rPr>
            <w:rStyle w:val="af1"/>
            <w:rFonts w:ascii="宋体" w:hAnsi="宋体" w:hint="eastAsia"/>
            <w:sz w:val="24"/>
          </w:rPr>
          <w:t>基金费用</w:t>
        </w:r>
        <w:r w:rsidR="00FA690A">
          <w:rPr>
            <w:rFonts w:ascii="宋体" w:hAnsi="宋体"/>
            <w:sz w:val="24"/>
          </w:rPr>
          <w:tab/>
          <w:t>11-</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_Toc3276858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59" w:history="1">
        <w:r w:rsidR="00FA690A">
          <w:rPr>
            <w:rStyle w:val="af1"/>
            <w:rFonts w:ascii="宋体" w:hAnsi="宋体" w:hint="eastAsia"/>
            <w:sz w:val="24"/>
          </w:rPr>
          <w:t>第十二部分</w:t>
        </w:r>
        <w:r w:rsidR="00FA690A">
          <w:rPr>
            <w:rFonts w:ascii="宋体" w:hAnsi="宋体"/>
            <w:sz w:val="24"/>
          </w:rPr>
          <w:tab/>
        </w:r>
        <w:r w:rsidR="00FA690A">
          <w:rPr>
            <w:rStyle w:val="af1"/>
            <w:rFonts w:ascii="宋体" w:hAnsi="宋体" w:hint="eastAsia"/>
            <w:sz w:val="24"/>
          </w:rPr>
          <w:t>基金份额持有人名册的保管</w:t>
        </w:r>
        <w:r w:rsidR="00FA690A">
          <w:rPr>
            <w:rFonts w:ascii="宋体" w:hAnsi="宋体"/>
            <w:sz w:val="24"/>
          </w:rPr>
          <w:tab/>
          <w:t>12-</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_Toc3276859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0" w:history="1">
        <w:r w:rsidR="00FA690A">
          <w:rPr>
            <w:rStyle w:val="af1"/>
            <w:rFonts w:ascii="宋体" w:hAnsi="宋体" w:hint="eastAsia"/>
            <w:sz w:val="24"/>
          </w:rPr>
          <w:t>第十三部分</w:t>
        </w:r>
        <w:r w:rsidR="00FA690A">
          <w:rPr>
            <w:rFonts w:ascii="宋体" w:hAnsi="宋体"/>
            <w:sz w:val="24"/>
          </w:rPr>
          <w:tab/>
        </w:r>
        <w:r w:rsidR="00FA690A">
          <w:rPr>
            <w:rStyle w:val="af1"/>
            <w:rFonts w:ascii="宋体" w:hAnsi="宋体" w:hint="eastAsia"/>
            <w:sz w:val="24"/>
          </w:rPr>
          <w:t>基金有关文件档案的保存</w:t>
        </w:r>
        <w:r w:rsidR="00FA690A">
          <w:rPr>
            <w:rFonts w:ascii="宋体" w:hAnsi="宋体"/>
            <w:sz w:val="24"/>
          </w:rPr>
          <w:tab/>
          <w:t>13-</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_Toc3276860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1" w:history="1">
        <w:r w:rsidR="00FA690A">
          <w:rPr>
            <w:rStyle w:val="af1"/>
            <w:rFonts w:ascii="宋体" w:hAnsi="宋体" w:hint="eastAsia"/>
            <w:sz w:val="24"/>
          </w:rPr>
          <w:t>第十四部分</w:t>
        </w:r>
        <w:r w:rsidR="00FA690A">
          <w:rPr>
            <w:rFonts w:ascii="宋体" w:hAnsi="宋体"/>
            <w:sz w:val="24"/>
          </w:rPr>
          <w:tab/>
        </w:r>
        <w:r w:rsidR="00FA690A">
          <w:rPr>
            <w:rStyle w:val="af1"/>
            <w:rFonts w:ascii="宋体" w:hAnsi="宋体" w:hint="eastAsia"/>
            <w:sz w:val="24"/>
          </w:rPr>
          <w:t>基金管理人和基金托管人的更换</w:t>
        </w:r>
        <w:r w:rsidR="00FA690A">
          <w:rPr>
            <w:rFonts w:ascii="宋体" w:hAnsi="宋体"/>
            <w:sz w:val="24"/>
          </w:rPr>
          <w:tab/>
          <w:t>14-</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_Toc3276861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2" w:history="1">
        <w:r w:rsidR="00FA690A">
          <w:rPr>
            <w:rStyle w:val="af1"/>
            <w:rFonts w:ascii="宋体" w:hAnsi="宋体" w:hint="eastAsia"/>
            <w:sz w:val="24"/>
          </w:rPr>
          <w:t>第十五部分</w:t>
        </w:r>
        <w:r w:rsidR="00FA690A">
          <w:rPr>
            <w:rFonts w:ascii="宋体" w:hAnsi="宋体"/>
            <w:sz w:val="24"/>
          </w:rPr>
          <w:tab/>
        </w:r>
        <w:r w:rsidR="00FA690A">
          <w:rPr>
            <w:rStyle w:val="af1"/>
            <w:rFonts w:ascii="宋体" w:hAnsi="宋体" w:hint="eastAsia"/>
            <w:sz w:val="24"/>
          </w:rPr>
          <w:t>禁止行为</w:t>
        </w:r>
        <w:r w:rsidR="00FA690A">
          <w:rPr>
            <w:rFonts w:ascii="宋体" w:hAnsi="宋体"/>
            <w:sz w:val="24"/>
          </w:rPr>
          <w:tab/>
          <w:t>15-</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_Toc3276862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3" w:history="1">
        <w:r w:rsidR="00FA690A">
          <w:rPr>
            <w:rStyle w:val="af1"/>
            <w:rFonts w:ascii="宋体" w:hAnsi="宋体" w:hint="eastAsia"/>
            <w:sz w:val="24"/>
          </w:rPr>
          <w:t>第十六部分</w:t>
        </w:r>
        <w:r w:rsidR="00FA690A">
          <w:rPr>
            <w:rFonts w:ascii="宋体" w:hAnsi="宋体"/>
            <w:sz w:val="24"/>
          </w:rPr>
          <w:tab/>
        </w:r>
        <w:r w:rsidR="00FA690A">
          <w:rPr>
            <w:rStyle w:val="af1"/>
            <w:rFonts w:ascii="宋体" w:hAnsi="宋体" w:hint="eastAsia"/>
            <w:sz w:val="24"/>
          </w:rPr>
          <w:t>托管协议的变更、终止与基金财产的清算</w:t>
        </w:r>
        <w:r w:rsidR="00FA690A">
          <w:rPr>
            <w:rFonts w:ascii="宋体" w:hAnsi="宋体"/>
            <w:sz w:val="24"/>
          </w:rPr>
          <w:tab/>
          <w:t>16-</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_Toc3276863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4" w:history="1">
        <w:r w:rsidR="00FA690A">
          <w:rPr>
            <w:rStyle w:val="af1"/>
            <w:rFonts w:ascii="宋体" w:hAnsi="宋体" w:hint="eastAsia"/>
            <w:sz w:val="24"/>
          </w:rPr>
          <w:t>第十七部分</w:t>
        </w:r>
        <w:r w:rsidR="00FA690A">
          <w:rPr>
            <w:rFonts w:ascii="宋体" w:hAnsi="宋体"/>
            <w:sz w:val="24"/>
          </w:rPr>
          <w:tab/>
        </w:r>
        <w:r w:rsidR="00FA690A">
          <w:rPr>
            <w:rStyle w:val="af1"/>
            <w:rFonts w:ascii="宋体" w:hAnsi="宋体" w:hint="eastAsia"/>
            <w:sz w:val="24"/>
          </w:rPr>
          <w:t>违约责任</w:t>
        </w:r>
        <w:r w:rsidR="00FA690A">
          <w:rPr>
            <w:rFonts w:ascii="宋体" w:hAnsi="宋体"/>
            <w:sz w:val="24"/>
          </w:rPr>
          <w:tab/>
          <w:t>17-</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_Toc3276864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5" w:history="1">
        <w:r w:rsidR="00FA690A">
          <w:rPr>
            <w:rStyle w:val="af1"/>
            <w:rFonts w:ascii="宋体" w:hAnsi="宋体" w:hint="eastAsia"/>
            <w:sz w:val="24"/>
          </w:rPr>
          <w:t>第十八部分</w:t>
        </w:r>
        <w:r w:rsidR="00FA690A">
          <w:rPr>
            <w:rFonts w:ascii="宋体" w:hAnsi="宋体"/>
            <w:sz w:val="24"/>
          </w:rPr>
          <w:tab/>
        </w:r>
        <w:r w:rsidR="00FA690A">
          <w:rPr>
            <w:rStyle w:val="af1"/>
            <w:rFonts w:ascii="宋体" w:hAnsi="宋体" w:hint="eastAsia"/>
            <w:sz w:val="24"/>
          </w:rPr>
          <w:t>争议解决方式</w:t>
        </w:r>
        <w:r w:rsidR="00FA690A">
          <w:rPr>
            <w:rFonts w:ascii="宋体" w:hAnsi="宋体"/>
            <w:sz w:val="24"/>
          </w:rPr>
          <w:tab/>
          <w:t>18-</w:t>
        </w:r>
        <w:r w:rsidR="00FA690A">
          <w:rPr>
            <w:rFonts w:ascii="宋体" w:hAnsi="宋体" w:hint="eastAsia"/>
            <w:sz w:val="24"/>
          </w:rPr>
          <w:t>（</w:t>
        </w:r>
      </w:hyperlink>
      <w:r w:rsidR="00FA690A">
        <w:rPr>
          <w:rFonts w:ascii="宋体" w:hAnsi="宋体"/>
          <w:sz w:val="24"/>
        </w:rPr>
        <w:t>1</w:t>
      </w:r>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6" w:history="1">
        <w:r w:rsidR="00FA690A">
          <w:rPr>
            <w:rStyle w:val="af1"/>
            <w:rFonts w:ascii="宋体" w:hAnsi="宋体" w:hint="eastAsia"/>
            <w:sz w:val="24"/>
          </w:rPr>
          <w:t>第十九部分</w:t>
        </w:r>
        <w:r w:rsidR="00FA690A">
          <w:rPr>
            <w:rFonts w:ascii="宋体" w:hAnsi="宋体"/>
            <w:sz w:val="24"/>
          </w:rPr>
          <w:tab/>
        </w:r>
        <w:r w:rsidR="00FA690A">
          <w:rPr>
            <w:rStyle w:val="af1"/>
            <w:rFonts w:ascii="宋体" w:hAnsi="宋体" w:hint="eastAsia"/>
            <w:sz w:val="24"/>
          </w:rPr>
          <w:t>托管协议的效力</w:t>
        </w:r>
        <w:r w:rsidR="00FA690A">
          <w:rPr>
            <w:rFonts w:ascii="宋体" w:hAnsi="宋体"/>
            <w:sz w:val="24"/>
          </w:rPr>
          <w:tab/>
          <w:t>19-</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_Toc3276866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7" w:history="1">
        <w:r w:rsidR="00FA690A">
          <w:rPr>
            <w:rStyle w:val="af1"/>
            <w:rFonts w:ascii="宋体" w:hAnsi="宋体" w:hint="eastAsia"/>
            <w:sz w:val="24"/>
          </w:rPr>
          <w:t>第二十部分</w:t>
        </w:r>
        <w:r w:rsidR="00FA690A">
          <w:rPr>
            <w:rFonts w:ascii="宋体" w:hAnsi="宋体"/>
            <w:sz w:val="24"/>
          </w:rPr>
          <w:tab/>
        </w:r>
        <w:r w:rsidR="00FA690A">
          <w:rPr>
            <w:rStyle w:val="af1"/>
            <w:rFonts w:ascii="宋体" w:hAnsi="宋体" w:hint="eastAsia"/>
            <w:sz w:val="24"/>
          </w:rPr>
          <w:t>其他事项</w:t>
        </w:r>
        <w:r w:rsidR="00FA690A">
          <w:rPr>
            <w:rFonts w:ascii="宋体" w:hAnsi="宋体"/>
            <w:sz w:val="24"/>
          </w:rPr>
          <w:tab/>
          <w:t>20-</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_Toc3276867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DA394D">
      <w:pPr>
        <w:pStyle w:val="10"/>
        <w:tabs>
          <w:tab w:val="left" w:pos="1475"/>
          <w:tab w:val="right" w:leader="dot" w:pos="8494"/>
        </w:tabs>
        <w:spacing w:line="360" w:lineRule="auto"/>
        <w:rPr>
          <w:rFonts w:ascii="宋体" w:hAnsi="宋体"/>
          <w:sz w:val="24"/>
        </w:rPr>
      </w:pPr>
      <w:hyperlink w:anchor="_Toc3276868" w:history="1">
        <w:r w:rsidR="00FA690A">
          <w:rPr>
            <w:rStyle w:val="af1"/>
            <w:rFonts w:ascii="宋体" w:hAnsi="宋体" w:hint="eastAsia"/>
            <w:sz w:val="24"/>
          </w:rPr>
          <w:t>第二十一部分</w:t>
        </w:r>
        <w:r w:rsidR="00FA690A">
          <w:rPr>
            <w:rFonts w:ascii="宋体" w:hAnsi="宋体"/>
            <w:sz w:val="24"/>
          </w:rPr>
          <w:tab/>
        </w:r>
        <w:r w:rsidR="00FA690A">
          <w:rPr>
            <w:rStyle w:val="af1"/>
            <w:rFonts w:ascii="宋体" w:hAnsi="宋体" w:hint="eastAsia"/>
            <w:sz w:val="24"/>
          </w:rPr>
          <w:t>托管协议的签订</w:t>
        </w:r>
        <w:r w:rsidR="00FA690A">
          <w:rPr>
            <w:rFonts w:ascii="宋体" w:hAnsi="宋体"/>
            <w:sz w:val="24"/>
          </w:rPr>
          <w:tab/>
          <w:t>21-</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_Toc3276868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FA690A">
      <w:pPr>
        <w:spacing w:line="360" w:lineRule="auto"/>
        <w:rPr>
          <w:rFonts w:ascii="宋体" w:hAnsi="宋体"/>
          <w:sz w:val="24"/>
        </w:rPr>
      </w:pPr>
      <w:r>
        <w:rPr>
          <w:rFonts w:ascii="宋体" w:hAnsi="宋体"/>
          <w:sz w:val="24"/>
        </w:rPr>
        <w:fldChar w:fldCharType="end"/>
      </w:r>
    </w:p>
    <w:p w:rsidR="005553D6" w:rsidRDefault="00FA690A">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东方阿尔法兴科一年持有期混合型证券投资基金</w:t>
      </w:r>
      <w:r>
        <w:rPr>
          <w:rFonts w:ascii="宋体" w:hAnsi="宋体" w:hint="eastAsia"/>
          <w:kern w:val="0"/>
          <w:sz w:val="24"/>
        </w:rPr>
        <w:t>；</w:t>
      </w:r>
    </w:p>
    <w:p w:rsidR="005553D6" w:rsidRDefault="00FA690A">
      <w:pPr>
        <w:widowControl/>
        <w:spacing w:line="360" w:lineRule="auto"/>
        <w:ind w:firstLineChars="200" w:firstLine="480"/>
        <w:contextualSpacing/>
        <w:rPr>
          <w:rFonts w:ascii="宋体" w:hAnsi="宋体"/>
          <w:kern w:val="0"/>
          <w:sz w:val="24"/>
        </w:rPr>
      </w:pPr>
      <w:r>
        <w:rPr>
          <w:rFonts w:ascii="宋体" w:hAnsi="宋体" w:hint="eastAsia"/>
          <w:kern w:val="0"/>
          <w:sz w:val="24"/>
        </w:rPr>
        <w:t>鉴于兴业银行股份有限公司系一家依照中国法律合法成立并有效存续的银行，按照相关法律法规的规定具备担任基金托管人的资格和能力；</w:t>
      </w:r>
    </w:p>
    <w:p w:rsidR="005553D6" w:rsidRDefault="00FA690A">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东方阿尔法兴科一年持有期混合型证券投资基金</w:t>
      </w:r>
      <w:r>
        <w:rPr>
          <w:rFonts w:ascii="宋体" w:hAnsi="宋体" w:hint="eastAsia"/>
          <w:kern w:val="0"/>
          <w:sz w:val="24"/>
        </w:rPr>
        <w:t>的基金管理人，兴业银行股份有限公司拟担任</w:t>
      </w:r>
      <w:r>
        <w:rPr>
          <w:rFonts w:ascii="宋体" w:hAnsi="宋体" w:cs="宋体" w:hint="eastAsia"/>
          <w:sz w:val="24"/>
        </w:rPr>
        <w:t>东方阿尔法兴科一年持有期混合型证券投资基金</w:t>
      </w:r>
      <w:r>
        <w:rPr>
          <w:rFonts w:ascii="宋体" w:hAnsi="宋体" w:hint="eastAsia"/>
          <w:kern w:val="0"/>
          <w:sz w:val="24"/>
        </w:rPr>
        <w:t>的基金托管人；</w:t>
      </w:r>
    </w:p>
    <w:p w:rsidR="005553D6" w:rsidRDefault="00FA690A">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东方阿尔法兴科一年持有期混合型证券投资基金</w:t>
      </w:r>
      <w:r>
        <w:rPr>
          <w:rFonts w:ascii="宋体" w:hAnsi="宋体" w:hint="eastAsia"/>
          <w:kern w:val="0"/>
          <w:sz w:val="24"/>
        </w:rPr>
        <w:t>的基金管理人和基金托管人之间的权利义务关系，特制订本托管协议；</w:t>
      </w:r>
    </w:p>
    <w:p w:rsidR="005553D6" w:rsidRDefault="00FA690A">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东方阿尔法兴科一年持有期混合型证券投资基金</w:t>
      </w:r>
      <w:r>
        <w:rPr>
          <w:rFonts w:ascii="宋体" w:hAnsi="宋体" w:cs="Arial" w:hint="eastAsia"/>
          <w:kern w:val="0"/>
          <w:sz w:val="24"/>
          <w:lang w:val="en-GB"/>
        </w:rPr>
        <w:t>基金合同》</w:t>
      </w:r>
      <w:r>
        <w:rPr>
          <w:rFonts w:ascii="宋体" w:hAnsi="宋体"/>
          <w:kern w:val="0"/>
          <w:sz w:val="24"/>
          <w:lang w:val="en-GB"/>
        </w:rPr>
        <w:t>(以下简称“基金合同”或</w:t>
      </w:r>
      <w:r>
        <w:rPr>
          <w:rFonts w:ascii="宋体" w:hAnsi="宋体" w:hint="eastAsia"/>
          <w:kern w:val="0"/>
          <w:sz w:val="24"/>
          <w:lang w:val="en-GB"/>
        </w:rPr>
        <w:t>“《基金合同》”</w:t>
      </w:r>
      <w:r>
        <w:rPr>
          <w:rFonts w:ascii="宋体" w:hAnsi="宋体"/>
          <w:kern w:val="0"/>
          <w:sz w:val="24"/>
          <w:lang w:val="en-GB"/>
        </w:rPr>
        <w:t>)中定义的术语在用于本托管协议时应具有相同的含义</w:t>
      </w:r>
      <w:r>
        <w:rPr>
          <w:rFonts w:ascii="宋体" w:hAnsi="宋体" w:hint="eastAsia"/>
          <w:kern w:val="0"/>
          <w:sz w:val="24"/>
          <w:lang w:val="en-GB"/>
        </w:rPr>
        <w:t>，若有抵触应以基金合同为准。</w:t>
      </w:r>
    </w:p>
    <w:p w:rsidR="005553D6" w:rsidRDefault="005553D6">
      <w:pPr>
        <w:widowControl/>
        <w:spacing w:line="360" w:lineRule="auto"/>
        <w:contextualSpacing/>
        <w:rPr>
          <w:rFonts w:ascii="宋体" w:hAnsi="宋体"/>
          <w:sz w:val="24"/>
          <w:lang w:val="en-GB"/>
        </w:rPr>
      </w:pPr>
    </w:p>
    <w:bookmarkEnd w:id="14"/>
    <w:p w:rsidR="005553D6" w:rsidRDefault="005553D6">
      <w:pPr>
        <w:widowControl/>
        <w:spacing w:line="360" w:lineRule="auto"/>
        <w:contextualSpacing/>
        <w:rPr>
          <w:rFonts w:ascii="宋体" w:hAnsi="宋体"/>
          <w:sz w:val="24"/>
          <w:lang w:val="en-GB"/>
        </w:rPr>
        <w:sectPr w:rsidR="005553D6">
          <w:headerReference w:type="default" r:id="rId58"/>
          <w:footerReference w:type="default" r:id="rId59"/>
          <w:pgSz w:w="11906" w:h="16838"/>
          <w:pgMar w:top="1418" w:right="1701" w:bottom="1418" w:left="1701" w:header="851" w:footer="992" w:gutter="0"/>
          <w:pgNumType w:fmt="upperRoman"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7" w:name="_Toc348082029"/>
      <w:bookmarkStart w:id="18" w:name="_Toc3276848"/>
      <w:bookmarkStart w:id="19" w:name="_Toc384992691"/>
      <w:bookmarkStart w:id="20" w:name="CLAUSE_1527db310d3c4e36ac5a0c8d6a0d9166"/>
      <w:bookmarkStart w:id="21" w:name="_Toc348082031"/>
      <w:r>
        <w:rPr>
          <w:rFonts w:ascii="宋体" w:eastAsia="宋体" w:hAnsi="宋体"/>
        </w:rPr>
        <w:lastRenderedPageBreak/>
        <w:t xml:space="preserve"> </w:t>
      </w:r>
      <w:bookmarkStart w:id="22" w:name="CTS_1527db310d3c4e36ac5a0c8d6a0d9166"/>
      <w:bookmarkEnd w:id="22"/>
      <w:r>
        <w:rPr>
          <w:rFonts w:ascii="宋体" w:eastAsia="宋体" w:hAnsi="宋体" w:hint="eastAsia"/>
        </w:rPr>
        <w:t>基金托管协议当事人</w:t>
      </w:r>
      <w:bookmarkEnd w:id="17"/>
      <w:bookmarkEnd w:id="18"/>
      <w:bookmarkEnd w:id="19"/>
    </w:p>
    <w:p w:rsidR="005553D6" w:rsidRDefault="00FA690A">
      <w:pPr>
        <w:spacing w:line="360" w:lineRule="auto"/>
        <w:ind w:firstLineChars="200" w:firstLine="482"/>
        <w:contextualSpacing/>
        <w:rPr>
          <w:rFonts w:ascii="宋体" w:hAnsi="宋体"/>
          <w:b/>
          <w:sz w:val="24"/>
        </w:rPr>
      </w:pPr>
      <w:r>
        <w:rPr>
          <w:rFonts w:ascii="宋体" w:hAnsi="宋体" w:hint="eastAsia"/>
          <w:b/>
          <w:sz w:val="24"/>
        </w:rPr>
        <w:t>（一）基金管理人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6008号深圳特区报业大厦23楼BC</w:t>
      </w:r>
    </w:p>
    <w:p w:rsidR="005553D6" w:rsidRDefault="00FA690A">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6008号深圳特区报业大厦23楼BC</w:t>
      </w:r>
    </w:p>
    <w:p w:rsidR="005553D6" w:rsidRDefault="00FA690A">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rsidR="005553D6" w:rsidRDefault="00FA690A">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rsidR="005553D6" w:rsidRDefault="00FA690A">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2017年7月4日</w:t>
      </w:r>
    </w:p>
    <w:p w:rsidR="005553D6" w:rsidRDefault="00FA690A">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rsidR="005553D6" w:rsidRDefault="00FA690A">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1亿元人民币</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存续期间：持续经营</w:t>
      </w:r>
    </w:p>
    <w:p w:rsidR="005553D6" w:rsidRDefault="00FA690A">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rsidR="005553D6" w:rsidRDefault="005553D6">
      <w:pPr>
        <w:spacing w:line="360" w:lineRule="auto"/>
        <w:ind w:firstLineChars="200" w:firstLine="480"/>
        <w:contextualSpacing/>
        <w:rPr>
          <w:rFonts w:ascii="宋体" w:hAnsi="宋体"/>
          <w:sz w:val="24"/>
        </w:rPr>
      </w:pPr>
    </w:p>
    <w:p w:rsidR="005553D6" w:rsidRDefault="00FA690A">
      <w:pPr>
        <w:spacing w:line="360" w:lineRule="auto"/>
        <w:ind w:firstLineChars="200" w:firstLine="482"/>
        <w:contextualSpacing/>
        <w:rPr>
          <w:rFonts w:ascii="宋体" w:hAnsi="宋体"/>
          <w:b/>
          <w:sz w:val="24"/>
        </w:rPr>
      </w:pPr>
      <w:r>
        <w:rPr>
          <w:rFonts w:ascii="宋体" w:hAnsi="宋体" w:hint="eastAsia"/>
          <w:b/>
          <w:sz w:val="24"/>
        </w:rPr>
        <w:t>（二）基金托管人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名称：兴业银行股份有限公司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住所：</w:t>
      </w:r>
      <w:r w:rsidR="00FA39DF" w:rsidRPr="009E74F0">
        <w:rPr>
          <w:rFonts w:ascii="宋体" w:hAnsi="宋体" w:hint="eastAsia"/>
          <w:sz w:val="24"/>
        </w:rPr>
        <w:t>福州市台江区江滨中大道</w:t>
      </w:r>
      <w:r w:rsidR="00FA39DF" w:rsidRPr="009E74F0">
        <w:rPr>
          <w:rFonts w:ascii="宋体" w:hAnsi="宋体"/>
          <w:sz w:val="24"/>
        </w:rPr>
        <w:t>398号兴业银行大厦</w:t>
      </w:r>
    </w:p>
    <w:p w:rsidR="005553D6" w:rsidRDefault="00FA690A">
      <w:pPr>
        <w:spacing w:line="360" w:lineRule="auto"/>
        <w:ind w:firstLineChars="200" w:firstLine="480"/>
        <w:contextualSpacing/>
        <w:rPr>
          <w:rFonts w:ascii="宋体" w:hAnsi="宋体"/>
          <w:sz w:val="24"/>
        </w:rPr>
      </w:pPr>
      <w:r>
        <w:rPr>
          <w:rFonts w:ascii="宋体" w:hAnsi="宋体" w:hint="eastAsia"/>
          <w:sz w:val="24"/>
        </w:rPr>
        <w:t>办公地址：上海市银城路167号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邮政编码：200120</w:t>
      </w:r>
    </w:p>
    <w:p w:rsidR="005553D6" w:rsidRDefault="00FA690A">
      <w:pPr>
        <w:spacing w:line="360" w:lineRule="auto"/>
        <w:ind w:firstLineChars="200" w:firstLine="480"/>
        <w:contextualSpacing/>
        <w:rPr>
          <w:rFonts w:ascii="宋体" w:hAnsi="宋体"/>
          <w:sz w:val="24"/>
        </w:rPr>
      </w:pPr>
      <w:r>
        <w:rPr>
          <w:rFonts w:ascii="宋体" w:hAnsi="宋体" w:hint="eastAsia"/>
          <w:sz w:val="24"/>
        </w:rPr>
        <w:t>法定代表人：吕家进</w:t>
      </w:r>
    </w:p>
    <w:p w:rsidR="005553D6" w:rsidRDefault="00FA690A">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198</w:t>
      </w:r>
      <w:r>
        <w:rPr>
          <w:rFonts w:ascii="宋体" w:hAnsi="宋体" w:hint="eastAsia"/>
          <w:sz w:val="24"/>
        </w:rPr>
        <w:t>8</w:t>
      </w:r>
      <w:r>
        <w:rPr>
          <w:rFonts w:ascii="宋体" w:hAnsi="宋体"/>
          <w:sz w:val="24"/>
        </w:rPr>
        <w:t>年</w:t>
      </w:r>
      <w:r>
        <w:rPr>
          <w:rFonts w:ascii="宋体" w:hAnsi="宋体" w:hint="eastAsia"/>
          <w:sz w:val="24"/>
        </w:rPr>
        <w:t>08</w:t>
      </w:r>
      <w:r>
        <w:rPr>
          <w:rFonts w:ascii="宋体" w:hAnsi="宋体"/>
          <w:sz w:val="24"/>
        </w:rPr>
        <w:t>月</w:t>
      </w:r>
      <w:r>
        <w:rPr>
          <w:rFonts w:ascii="宋体" w:hAnsi="宋体" w:hint="eastAsia"/>
          <w:sz w:val="24"/>
        </w:rPr>
        <w:t>22</w:t>
      </w:r>
      <w:r>
        <w:rPr>
          <w:rFonts w:ascii="宋体" w:hAnsi="宋体"/>
          <w:sz w:val="24"/>
        </w:rPr>
        <w:t>日</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基金托管业务批准文号：中国证监会证</w:t>
      </w:r>
      <w:proofErr w:type="gramStart"/>
      <w:r>
        <w:rPr>
          <w:rFonts w:ascii="宋体" w:hAnsi="宋体" w:hint="eastAsia"/>
          <w:sz w:val="24"/>
        </w:rPr>
        <w:t>监基金字</w:t>
      </w:r>
      <w:proofErr w:type="gramEnd"/>
      <w:r>
        <w:rPr>
          <w:rFonts w:ascii="宋体" w:hAnsi="宋体" w:hint="eastAsia"/>
          <w:sz w:val="24"/>
        </w:rPr>
        <w:t>[2005]74号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组织形式：股份有限公司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cs="Arial" w:hint="eastAsia"/>
          <w:sz w:val="24"/>
        </w:rPr>
        <w:t>人民币2</w:t>
      </w:r>
      <w:r>
        <w:rPr>
          <w:rFonts w:ascii="宋体" w:hAnsi="宋体" w:cs="Arial"/>
          <w:sz w:val="24"/>
        </w:rPr>
        <w:t>07.74</w:t>
      </w:r>
      <w:r>
        <w:rPr>
          <w:rFonts w:ascii="宋体" w:hAnsi="宋体" w:cs="Arial" w:hint="eastAsia"/>
          <w:sz w:val="24"/>
        </w:rPr>
        <w:t>亿元</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20"/>
    <w:p w:rsidR="005553D6" w:rsidRDefault="005553D6">
      <w:pPr>
        <w:rPr>
          <w:rFonts w:ascii="宋体" w:hAnsi="宋体" w:cs="Arial"/>
          <w:sz w:val="24"/>
        </w:rPr>
        <w:sectPr w:rsidR="005553D6">
          <w:footerReference w:type="default" r:id="rId60"/>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23" w:name="_Toc3276849"/>
      <w:bookmarkStart w:id="24" w:name="_Toc348082030"/>
      <w:bookmarkStart w:id="25" w:name="_Toc384992692"/>
      <w:bookmarkStart w:id="26" w:name="CLAUSE_c01a710d4d75417eb23976271466949d"/>
      <w:r>
        <w:rPr>
          <w:rFonts w:ascii="宋体" w:eastAsia="宋体" w:hAnsi="宋体"/>
        </w:rPr>
        <w:lastRenderedPageBreak/>
        <w:t xml:space="preserve"> </w:t>
      </w:r>
      <w:bookmarkStart w:id="27" w:name="CTS_c01a710d4d75417eb23976271466949d"/>
      <w:bookmarkEnd w:id="27"/>
      <w:r>
        <w:rPr>
          <w:rFonts w:ascii="宋体" w:eastAsia="宋体" w:hAnsi="宋体" w:hint="eastAsia"/>
        </w:rPr>
        <w:t>基金托管协议的依据、目的和原则</w:t>
      </w:r>
      <w:bookmarkEnd w:id="23"/>
      <w:bookmarkEnd w:id="24"/>
      <w:bookmarkEnd w:id="25"/>
    </w:p>
    <w:p w:rsidR="005553D6" w:rsidRDefault="00FA690A">
      <w:pPr>
        <w:spacing w:line="360" w:lineRule="auto"/>
        <w:ind w:firstLineChars="200" w:firstLine="480"/>
        <w:contextualSpacing/>
        <w:rPr>
          <w:rFonts w:ascii="宋体" w:hAnsi="宋体"/>
          <w:sz w:val="24"/>
        </w:rPr>
      </w:pPr>
      <w:r>
        <w:rPr>
          <w:rFonts w:ascii="宋体" w:hAnsi="宋体" w:hint="eastAsia"/>
          <w:sz w:val="24"/>
        </w:rPr>
        <w:t>（一）订立托管协议的依据</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(以下简称“《基金法》”)、《公开募集证券投资基金运作管理办法》（以下简称“《运作办法》</w:t>
      </w:r>
      <w:r>
        <w:rPr>
          <w:rFonts w:ascii="宋体" w:hAnsi="宋体" w:hint="eastAsia"/>
          <w:sz w:val="24"/>
        </w:rPr>
        <w:t>”）、《公开募集开放式证券投资基金流动性风险管理规定》、《公开募集证券投资基金信息披露管理办法》（以下简称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）等有关法律法规、基金合同及其他有关规定制订。</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（二）订立托管协议的目的</w:t>
      </w:r>
    </w:p>
    <w:p w:rsidR="005553D6" w:rsidRDefault="00FA690A">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（三）订立托管协议的原则</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（四）解释</w:t>
      </w:r>
    </w:p>
    <w:p w:rsidR="005553D6" w:rsidRDefault="00FA690A">
      <w:pPr>
        <w:spacing w:line="360" w:lineRule="auto"/>
        <w:ind w:firstLineChars="200" w:firstLine="480"/>
        <w:contextualSpacing/>
        <w:rPr>
          <w:rFonts w:ascii="宋体" w:hAnsi="宋体" w:cs="Arial"/>
          <w:sz w:val="24"/>
        </w:rPr>
      </w:pPr>
      <w:r>
        <w:rPr>
          <w:rFonts w:ascii="宋体" w:hAnsi="宋体" w:cs="Arial" w:hint="eastAsia"/>
          <w:sz w:val="24"/>
        </w:rPr>
        <w:t>除非文义另有所指，本协议的所有术语与《基金合同》的相应术语具有相同含义。</w:t>
      </w: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bookmarkEnd w:id="26"/>
    <w:p w:rsidR="005553D6" w:rsidRDefault="005553D6">
      <w:pPr>
        <w:spacing w:line="360" w:lineRule="auto"/>
        <w:ind w:firstLineChars="200" w:firstLine="480"/>
        <w:contextualSpacing/>
        <w:rPr>
          <w:rFonts w:ascii="宋体" w:hAnsi="宋体" w:cs="Arial"/>
          <w:sz w:val="24"/>
        </w:rPr>
        <w:sectPr w:rsidR="005553D6">
          <w:footerReference w:type="default" r:id="rId61"/>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28" w:name="_Toc3276850"/>
      <w:bookmarkStart w:id="29" w:name="_Toc384992693"/>
      <w:bookmarkStart w:id="30" w:name="CLAUSE_f8008f4d8f2d49cd863c646d6a8cc7c2"/>
      <w:r>
        <w:rPr>
          <w:rFonts w:ascii="宋体" w:eastAsia="宋体" w:hAnsi="宋体"/>
        </w:rPr>
        <w:lastRenderedPageBreak/>
        <w:t xml:space="preserve"> </w:t>
      </w:r>
      <w:bookmarkStart w:id="31" w:name="CTS_f8008f4d8f2d49cd863c646d6a8cc7c2"/>
      <w:bookmarkEnd w:id="31"/>
      <w:r>
        <w:rPr>
          <w:rFonts w:ascii="宋体" w:eastAsia="宋体" w:hAnsi="宋体" w:hint="eastAsia"/>
        </w:rPr>
        <w:t>基金托管人对基金管理人的业务监督和核查</w:t>
      </w:r>
      <w:bookmarkEnd w:id="21"/>
      <w:bookmarkEnd w:id="28"/>
      <w:bookmarkEnd w:id="29"/>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Pr>
          <w:rFonts w:ascii="宋体" w:hAnsi="宋体" w:hint="eastAsia"/>
          <w:sz w:val="24"/>
        </w:rPr>
        <w:t>事先或</w:t>
      </w:r>
      <w:proofErr w:type="gramEnd"/>
      <w:r>
        <w:rPr>
          <w:rFonts w:ascii="宋体" w:hAnsi="宋体" w:hint="eastAsia"/>
          <w:sz w:val="24"/>
        </w:rPr>
        <w:t>定期向基金托管人提供投资品种池，以便基金托管人对基金实际投资是否符合基金合同关于证券选择标准的约定进行监督。</w:t>
      </w:r>
    </w:p>
    <w:p w:rsidR="005553D6" w:rsidRDefault="00FA690A">
      <w:pPr>
        <w:spacing w:line="360" w:lineRule="auto"/>
        <w:ind w:firstLineChars="200" w:firstLine="480"/>
        <w:contextualSpacing/>
        <w:rPr>
          <w:rFonts w:ascii="宋体" w:hAnsi="宋体" w:cs="Arial"/>
          <w:sz w:val="24"/>
        </w:rPr>
      </w:pPr>
      <w:r>
        <w:rPr>
          <w:rFonts w:ascii="宋体" w:hAnsi="宋体"/>
          <w:sz w:val="24"/>
        </w:rPr>
        <w:t>1.</w:t>
      </w:r>
      <w:r>
        <w:rPr>
          <w:rFonts w:ascii="宋体" w:hAnsi="宋体" w:hint="eastAsia"/>
          <w:sz w:val="24"/>
        </w:rPr>
        <w:t>本基金的投资范围为：</w:t>
      </w:r>
      <w:r>
        <w:rPr>
          <w:rFonts w:ascii="宋体" w:hAnsi="宋体" w:cs="Arial" w:hint="eastAsia"/>
          <w:sz w:val="24"/>
        </w:rPr>
        <w:t>具有良好流动性的金融工具，包括国内依法发行上市的股票（包括主板、创业板及其他中国证监会允许基金投资的股票及存托凭证）、港股通标的股票（包括沪港</w:t>
      </w:r>
      <w:proofErr w:type="gramStart"/>
      <w:r>
        <w:rPr>
          <w:rFonts w:ascii="宋体" w:hAnsi="宋体" w:cs="Arial" w:hint="eastAsia"/>
          <w:sz w:val="24"/>
        </w:rPr>
        <w:t>通股票</w:t>
      </w:r>
      <w:proofErr w:type="gramEnd"/>
      <w:r>
        <w:rPr>
          <w:rFonts w:ascii="宋体" w:hAnsi="宋体" w:cs="Arial"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cs="Arial" w:hint="eastAsia"/>
          <w:sz w:val="24"/>
        </w:rPr>
        <w:t>的纯债部分</w:t>
      </w:r>
      <w:proofErr w:type="gramEnd"/>
      <w:r>
        <w:rPr>
          <w:rFonts w:ascii="宋体" w:hAnsi="宋体" w:cs="Arial" w:hint="eastAsia"/>
          <w:sz w:val="24"/>
        </w:rPr>
        <w:t>、可交换债、央行票据、中期票据、证券公司短期公司债券、短期融资</w:t>
      </w:r>
      <w:proofErr w:type="gramStart"/>
      <w:r>
        <w:rPr>
          <w:rFonts w:ascii="宋体" w:hAnsi="宋体" w:cs="Arial" w:hint="eastAsia"/>
          <w:sz w:val="24"/>
        </w:rPr>
        <w:t>券</w:t>
      </w:r>
      <w:proofErr w:type="gramEnd"/>
      <w:r>
        <w:rPr>
          <w:rFonts w:ascii="宋体" w:hAnsi="宋体" w:cs="Arial" w:hint="eastAsia"/>
          <w:sz w:val="24"/>
        </w:rPr>
        <w:t>、超短期融资</w:t>
      </w:r>
      <w:proofErr w:type="gramStart"/>
      <w:r>
        <w:rPr>
          <w:rFonts w:ascii="宋体" w:hAnsi="宋体" w:cs="Arial" w:hint="eastAsia"/>
          <w:sz w:val="24"/>
        </w:rPr>
        <w:t>券</w:t>
      </w:r>
      <w:proofErr w:type="gramEnd"/>
      <w:r>
        <w:rPr>
          <w:rFonts w:ascii="宋体" w:hAnsi="宋体" w:cs="Arial" w:hint="eastAsia"/>
          <w:sz w:val="24"/>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5553D6" w:rsidRDefault="00FA690A">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rsidR="005553D6" w:rsidRDefault="00FA690A">
      <w:pPr>
        <w:spacing w:line="360" w:lineRule="auto"/>
        <w:ind w:firstLineChars="200" w:firstLine="480"/>
        <w:contextualSpacing/>
        <w:rPr>
          <w:rFonts w:ascii="宋体" w:hAnsi="宋体"/>
          <w:sz w:val="24"/>
        </w:rPr>
      </w:pPr>
      <w:r>
        <w:rPr>
          <w:rFonts w:ascii="宋体" w:hAnsi="宋体"/>
          <w:sz w:val="24"/>
        </w:rPr>
        <w:t>2.本基金各类品种的投资比例、投资限制为：</w:t>
      </w:r>
      <w:bookmarkStart w:id="32" w:name="_Hlk32665172"/>
    </w:p>
    <w:bookmarkEnd w:id="32"/>
    <w:p w:rsidR="005553D6" w:rsidRDefault="00FA690A">
      <w:pPr>
        <w:spacing w:line="360" w:lineRule="auto"/>
        <w:ind w:firstLineChars="200" w:firstLine="480"/>
        <w:rPr>
          <w:rFonts w:ascii="宋体" w:hAnsi="宋体"/>
          <w:bCs/>
          <w:sz w:val="24"/>
          <w:szCs w:val="20"/>
        </w:rPr>
      </w:pPr>
      <w:r>
        <w:rPr>
          <w:rFonts w:ascii="宋体" w:hAnsi="宋体"/>
          <w:bCs/>
          <w:sz w:val="24"/>
          <w:szCs w:val="20"/>
        </w:rPr>
        <w:t>（1）</w:t>
      </w:r>
      <w:r>
        <w:rPr>
          <w:rFonts w:ascii="宋体" w:hAnsi="宋体" w:hint="eastAsia"/>
          <w:bCs/>
          <w:sz w:val="24"/>
          <w:szCs w:val="20"/>
        </w:rPr>
        <w:t>本基金投资组合中股票资产投资比例为基金资产的60%-95%，其中对港股通标的股票（包括沪港</w:t>
      </w:r>
      <w:proofErr w:type="gramStart"/>
      <w:r>
        <w:rPr>
          <w:rFonts w:ascii="宋体" w:hAnsi="宋体" w:hint="eastAsia"/>
          <w:bCs/>
          <w:sz w:val="24"/>
          <w:szCs w:val="20"/>
        </w:rPr>
        <w:t>通股票</w:t>
      </w:r>
      <w:proofErr w:type="gramEnd"/>
      <w:r>
        <w:rPr>
          <w:rFonts w:ascii="宋体" w:hAnsi="宋体" w:hint="eastAsia"/>
          <w:bCs/>
          <w:sz w:val="24"/>
          <w:szCs w:val="20"/>
        </w:rPr>
        <w:t>及深港通股票）的投资比例不超过股票资产的50%；</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sz w:val="24"/>
          <w:szCs w:val="20"/>
        </w:rPr>
        <w:t>2</w:t>
      </w:r>
      <w:r>
        <w:rPr>
          <w:rFonts w:ascii="宋体" w:hAnsi="宋体" w:hint="eastAsia"/>
          <w:sz w:val="24"/>
          <w:szCs w:val="20"/>
        </w:rPr>
        <w:t>）</w:t>
      </w:r>
      <w:r>
        <w:rPr>
          <w:rFonts w:ascii="宋体" w:hAnsi="宋体" w:hint="eastAsia"/>
          <w:bCs/>
          <w:sz w:val="24"/>
          <w:szCs w:val="20"/>
        </w:rPr>
        <w:t>每个交易日日终在扣除股指期货、国债期货和股票期权合约需缴纳的交易保证金后，</w:t>
      </w:r>
      <w:r>
        <w:rPr>
          <w:rFonts w:ascii="宋体" w:hAnsi="宋体" w:hint="eastAsia"/>
          <w:sz w:val="24"/>
          <w:szCs w:val="20"/>
        </w:rPr>
        <w:t>保持不低于基金资产净值</w:t>
      </w:r>
      <w:r>
        <w:rPr>
          <w:rFonts w:ascii="宋体" w:hAnsi="宋体"/>
          <w:sz w:val="24"/>
          <w:szCs w:val="20"/>
        </w:rPr>
        <w:t>5</w:t>
      </w:r>
      <w:r>
        <w:rPr>
          <w:rFonts w:ascii="宋体" w:hAnsi="宋体" w:hint="eastAsia"/>
          <w:sz w:val="24"/>
          <w:szCs w:val="20"/>
        </w:rPr>
        <w:t>％的现金或者到期日在一年以内的政府债券</w:t>
      </w:r>
      <w:r>
        <w:rPr>
          <w:rFonts w:ascii="宋体" w:hAnsi="宋体" w:hint="eastAsia"/>
          <w:bCs/>
          <w:sz w:val="24"/>
          <w:szCs w:val="20"/>
        </w:rPr>
        <w:t>，</w:t>
      </w:r>
      <w:r>
        <w:rPr>
          <w:rFonts w:ascii="宋体" w:hAnsi="宋体" w:hint="eastAsia"/>
          <w:sz w:val="24"/>
          <w:szCs w:val="20"/>
        </w:rPr>
        <w:t>其中现金不包括结算备付金、存出保证金、应收申购款等；</w:t>
      </w:r>
    </w:p>
    <w:p w:rsidR="005553D6" w:rsidRDefault="00FA690A">
      <w:pPr>
        <w:numPr>
          <w:ilvl w:val="0"/>
          <w:numId w:val="3"/>
        </w:numPr>
        <w:spacing w:line="360" w:lineRule="auto"/>
        <w:ind w:firstLineChars="200" w:firstLine="480"/>
        <w:rPr>
          <w:rFonts w:ascii="宋体" w:hAnsi="宋体"/>
          <w:sz w:val="24"/>
          <w:szCs w:val="20"/>
        </w:rPr>
      </w:pPr>
      <w:bookmarkStart w:id="33" w:name="_Hlk533861090"/>
      <w:r>
        <w:rPr>
          <w:rFonts w:ascii="宋体" w:hAnsi="宋体" w:hint="eastAsia"/>
          <w:sz w:val="24"/>
          <w:szCs w:val="20"/>
        </w:rPr>
        <w:t>本基金持有一家公司</w:t>
      </w:r>
      <w:r>
        <w:rPr>
          <w:rFonts w:ascii="宋体" w:hAnsi="宋体" w:hint="eastAsia"/>
          <w:bCs/>
          <w:sz w:val="24"/>
          <w:szCs w:val="20"/>
        </w:rPr>
        <w:t>发行</w:t>
      </w:r>
      <w:r>
        <w:rPr>
          <w:rFonts w:ascii="宋体" w:hAnsi="宋体" w:hint="eastAsia"/>
          <w:sz w:val="24"/>
          <w:szCs w:val="20"/>
        </w:rPr>
        <w:t>的证券其市值</w:t>
      </w:r>
      <w:r>
        <w:rPr>
          <w:rFonts w:ascii="宋体" w:hAnsi="宋体" w:hint="eastAsia"/>
          <w:bCs/>
          <w:sz w:val="24"/>
          <w:szCs w:val="20"/>
        </w:rPr>
        <w:t>（若同时持有一家公司发行的A股和H股，则为A股与H股合计市值）</w:t>
      </w:r>
      <w:r>
        <w:rPr>
          <w:rFonts w:ascii="宋体" w:hAnsi="宋体" w:hint="eastAsia"/>
          <w:sz w:val="24"/>
          <w:szCs w:val="20"/>
        </w:rPr>
        <w:t>不超过基金资产净值的</w:t>
      </w:r>
      <w:r>
        <w:rPr>
          <w:rFonts w:ascii="宋体" w:hAnsi="宋体"/>
          <w:sz w:val="24"/>
          <w:szCs w:val="20"/>
        </w:rPr>
        <w:t>10</w:t>
      </w:r>
      <w:r>
        <w:rPr>
          <w:rFonts w:ascii="宋体" w:hAnsi="宋体" w:hint="eastAsia"/>
          <w:sz w:val="24"/>
          <w:szCs w:val="20"/>
        </w:rPr>
        <w:t>％</w:t>
      </w:r>
      <w:bookmarkEnd w:id="33"/>
      <w:r>
        <w:rPr>
          <w:rFonts w:ascii="宋体" w:hAnsi="宋体" w:hint="eastAsia"/>
          <w:sz w:val="24"/>
          <w:szCs w:val="20"/>
        </w:rPr>
        <w:t>；</w:t>
      </w:r>
    </w:p>
    <w:p w:rsidR="005553D6" w:rsidRDefault="00FA690A">
      <w:pPr>
        <w:numPr>
          <w:ilvl w:val="0"/>
          <w:numId w:val="4"/>
        </w:numPr>
        <w:spacing w:line="360" w:lineRule="auto"/>
        <w:ind w:firstLine="480"/>
        <w:rPr>
          <w:rFonts w:ascii="宋体" w:hAnsi="宋体"/>
          <w:sz w:val="24"/>
          <w:szCs w:val="20"/>
        </w:rPr>
      </w:pPr>
      <w:r>
        <w:rPr>
          <w:rFonts w:ascii="宋体" w:hAnsi="宋体" w:hint="eastAsia"/>
          <w:sz w:val="24"/>
          <w:szCs w:val="20"/>
        </w:rPr>
        <w:t>本基金管理人管理的全部基金持有一家公司发行的证券</w:t>
      </w:r>
      <w:r>
        <w:rPr>
          <w:rFonts w:ascii="宋体" w:hAnsi="宋体" w:hint="eastAsia"/>
          <w:bCs/>
          <w:sz w:val="24"/>
          <w:szCs w:val="20"/>
        </w:rPr>
        <w:t>（A股与H股合计）</w:t>
      </w:r>
      <w:r>
        <w:rPr>
          <w:rFonts w:ascii="宋体" w:hAnsi="宋体" w:hint="eastAsia"/>
          <w:sz w:val="24"/>
          <w:szCs w:val="20"/>
        </w:rPr>
        <w:t>，不超过该证券的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lastRenderedPageBreak/>
        <w:t>（</w:t>
      </w:r>
      <w:r>
        <w:rPr>
          <w:rFonts w:ascii="宋体" w:hAnsi="宋体"/>
          <w:sz w:val="24"/>
          <w:szCs w:val="20"/>
        </w:rPr>
        <w:t>5</w:t>
      </w:r>
      <w:r>
        <w:rPr>
          <w:rFonts w:ascii="宋体" w:hAnsi="宋体" w:hint="eastAsia"/>
          <w:sz w:val="24"/>
          <w:szCs w:val="20"/>
        </w:rPr>
        <w:t>）本基金投资于同一原始权益人的各类资产支持证券的比例，不得超过基金资产净值的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6</w:t>
      </w:r>
      <w:r>
        <w:rPr>
          <w:rFonts w:ascii="宋体" w:hAnsi="宋体" w:hint="eastAsia"/>
          <w:sz w:val="24"/>
          <w:szCs w:val="20"/>
        </w:rPr>
        <w:t>）本基金持有的全部资产支持证券，其市值不得超过基金资产净值的</w:t>
      </w:r>
      <w:r>
        <w:rPr>
          <w:rFonts w:ascii="宋体" w:hAnsi="宋体"/>
          <w:sz w:val="24"/>
          <w:szCs w:val="20"/>
        </w:rPr>
        <w:t>20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7</w:t>
      </w:r>
      <w:r>
        <w:rPr>
          <w:rFonts w:ascii="宋体" w:hAnsi="宋体" w:hint="eastAsia"/>
          <w:sz w:val="24"/>
          <w:szCs w:val="20"/>
        </w:rPr>
        <w:t>）本基金持有的同一</w:t>
      </w:r>
      <w:r>
        <w:rPr>
          <w:rFonts w:ascii="宋体" w:hAnsi="宋体"/>
          <w:sz w:val="24"/>
          <w:szCs w:val="20"/>
        </w:rPr>
        <w:t>(</w:t>
      </w:r>
      <w:r>
        <w:rPr>
          <w:rFonts w:ascii="宋体" w:hAnsi="宋体" w:hint="eastAsia"/>
          <w:sz w:val="24"/>
          <w:szCs w:val="20"/>
        </w:rPr>
        <w:t>指同一信用级别</w:t>
      </w:r>
      <w:r>
        <w:rPr>
          <w:rFonts w:ascii="宋体" w:hAnsi="宋体"/>
          <w:sz w:val="24"/>
          <w:szCs w:val="20"/>
        </w:rPr>
        <w:t>)</w:t>
      </w:r>
      <w:r>
        <w:rPr>
          <w:rFonts w:ascii="宋体" w:hAnsi="宋体" w:hint="eastAsia"/>
          <w:sz w:val="24"/>
          <w:szCs w:val="20"/>
        </w:rPr>
        <w:t>资产支持证券的比例，不得超过该资产支持证券规模的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8</w:t>
      </w:r>
      <w:r>
        <w:rPr>
          <w:rFonts w:ascii="宋体" w:hAnsi="宋体" w:hint="eastAsia"/>
          <w:sz w:val="24"/>
          <w:szCs w:val="20"/>
        </w:rPr>
        <w:t>）本基金管理人管理的全部基金投资于同一原始权益人的各类资产支持证券，不得超过其各类资产支持证券合计规模的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9</w:t>
      </w:r>
      <w:r>
        <w:rPr>
          <w:rFonts w:ascii="宋体" w:hAnsi="宋体" w:hint="eastAsia"/>
          <w:sz w:val="24"/>
          <w:szCs w:val="20"/>
        </w:rPr>
        <w:t>）本基金应投资于信用级别评级为</w:t>
      </w:r>
      <w:r>
        <w:rPr>
          <w:rFonts w:ascii="宋体" w:hAnsi="宋体"/>
          <w:sz w:val="24"/>
          <w:szCs w:val="20"/>
        </w:rPr>
        <w:t>BBB</w:t>
      </w:r>
      <w:r>
        <w:rPr>
          <w:rFonts w:ascii="宋体" w:hAnsi="宋体" w:hint="eastAsia"/>
          <w:sz w:val="24"/>
          <w:szCs w:val="20"/>
        </w:rPr>
        <w:t>以上</w:t>
      </w:r>
      <w:r>
        <w:rPr>
          <w:rFonts w:ascii="宋体" w:hAnsi="宋体"/>
          <w:sz w:val="24"/>
          <w:szCs w:val="20"/>
        </w:rPr>
        <w:t>(</w:t>
      </w:r>
      <w:r>
        <w:rPr>
          <w:rFonts w:ascii="宋体" w:hAnsi="宋体" w:hint="eastAsia"/>
          <w:sz w:val="24"/>
          <w:szCs w:val="20"/>
        </w:rPr>
        <w:t>含</w:t>
      </w:r>
      <w:r>
        <w:rPr>
          <w:rFonts w:ascii="宋体" w:hAnsi="宋体"/>
          <w:sz w:val="24"/>
          <w:szCs w:val="20"/>
        </w:rPr>
        <w:t>BBB)</w:t>
      </w:r>
      <w:r>
        <w:rPr>
          <w:rFonts w:ascii="宋体" w:hAnsi="宋体" w:hint="eastAsia"/>
          <w:sz w:val="24"/>
          <w:szCs w:val="20"/>
        </w:rPr>
        <w:t>的资产支持证券。基金持有资产支持证券期间，如果其信用等级下降、不再符合投资标准，应在评级报告发布之日起</w:t>
      </w:r>
      <w:r>
        <w:rPr>
          <w:rFonts w:ascii="宋体" w:hAnsi="宋体"/>
          <w:sz w:val="24"/>
          <w:szCs w:val="20"/>
        </w:rPr>
        <w:t>3</w:t>
      </w:r>
      <w:r>
        <w:rPr>
          <w:rFonts w:ascii="宋体" w:hAnsi="宋体" w:hint="eastAsia"/>
          <w:sz w:val="24"/>
          <w:szCs w:val="20"/>
        </w:rPr>
        <w:t>个月内予以全部卖出；</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10</w:t>
      </w:r>
      <w:r>
        <w:rPr>
          <w:rFonts w:ascii="宋体" w:hAnsi="宋体" w:hint="eastAsia"/>
          <w:sz w:val="24"/>
          <w:szCs w:val="20"/>
        </w:rPr>
        <w:t>）基金财产参与股票发行申购，本基金所申报的金额不超过本基金的总资产，本基金所申报的股票数量不超过拟发行股票公司本次发行股票的总量；</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11</w:t>
      </w:r>
      <w:r>
        <w:rPr>
          <w:rFonts w:ascii="宋体" w:hAnsi="宋体" w:hint="eastAsia"/>
          <w:sz w:val="24"/>
          <w:szCs w:val="20"/>
        </w:rPr>
        <w:t>）本基金进入全国银行间同业市场进行债券回购的资金余额不得超过基金资产净值的</w:t>
      </w:r>
      <w:r>
        <w:rPr>
          <w:rFonts w:ascii="宋体" w:hAnsi="宋体"/>
          <w:sz w:val="24"/>
          <w:szCs w:val="20"/>
        </w:rPr>
        <w:t>40%</w:t>
      </w:r>
      <w:r>
        <w:rPr>
          <w:rFonts w:ascii="宋体" w:hAnsi="宋体" w:hint="eastAsia"/>
          <w:bCs/>
          <w:sz w:val="24"/>
          <w:szCs w:val="20"/>
        </w:rPr>
        <w:t>，进入</w:t>
      </w:r>
      <w:r>
        <w:rPr>
          <w:rFonts w:ascii="宋体" w:hAnsi="宋体" w:hint="eastAsia"/>
          <w:sz w:val="24"/>
          <w:szCs w:val="20"/>
        </w:rPr>
        <w:t>全国银行间同业市场</w:t>
      </w:r>
      <w:r>
        <w:rPr>
          <w:rFonts w:ascii="宋体" w:hAnsi="宋体" w:hint="eastAsia"/>
          <w:bCs/>
          <w:sz w:val="24"/>
          <w:szCs w:val="20"/>
        </w:rPr>
        <w:t>进行</w:t>
      </w:r>
      <w:r>
        <w:rPr>
          <w:rFonts w:ascii="宋体" w:hAnsi="宋体" w:hint="eastAsia"/>
          <w:sz w:val="24"/>
          <w:szCs w:val="20"/>
        </w:rPr>
        <w:t>债券回购</w:t>
      </w:r>
      <w:r>
        <w:rPr>
          <w:rFonts w:ascii="宋体" w:hAnsi="宋体" w:hint="eastAsia"/>
          <w:bCs/>
          <w:sz w:val="24"/>
          <w:szCs w:val="20"/>
        </w:rPr>
        <w:t>的</w:t>
      </w:r>
      <w:r>
        <w:rPr>
          <w:rFonts w:ascii="宋体" w:hAnsi="宋体" w:hint="eastAsia"/>
          <w:sz w:val="24"/>
          <w:szCs w:val="20"/>
        </w:rPr>
        <w:t>最长期限为</w:t>
      </w:r>
      <w:r>
        <w:rPr>
          <w:rFonts w:ascii="宋体" w:hAnsi="宋体"/>
          <w:sz w:val="24"/>
          <w:szCs w:val="20"/>
        </w:rPr>
        <w:t>1</w:t>
      </w:r>
      <w:r>
        <w:rPr>
          <w:rFonts w:ascii="宋体" w:hAnsi="宋体" w:hint="eastAsia"/>
          <w:sz w:val="24"/>
          <w:szCs w:val="20"/>
        </w:rPr>
        <w:t>年，债券回购到期后不得展期；</w:t>
      </w:r>
    </w:p>
    <w:p w:rsidR="005553D6" w:rsidRDefault="00FA690A">
      <w:pPr>
        <w:spacing w:line="360" w:lineRule="auto"/>
        <w:ind w:firstLineChars="200" w:firstLine="480"/>
        <w:rPr>
          <w:rFonts w:ascii="宋体" w:hAnsi="宋体"/>
          <w:sz w:val="24"/>
        </w:rPr>
      </w:pPr>
      <w:bookmarkStart w:id="34"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rsidR="005553D6" w:rsidRDefault="00FA690A">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5553D6" w:rsidRDefault="00FA690A">
      <w:pPr>
        <w:spacing w:line="360" w:lineRule="auto"/>
        <w:ind w:firstLineChars="200" w:firstLine="480"/>
        <w:rPr>
          <w:rFonts w:ascii="宋体" w:hAnsi="宋体"/>
          <w:sz w:val="24"/>
          <w:szCs w:val="20"/>
        </w:rPr>
      </w:pPr>
      <w:r>
        <w:rPr>
          <w:rFonts w:ascii="宋体" w:hAnsi="宋体"/>
          <w:bCs/>
          <w:sz w:val="24"/>
          <w:szCs w:val="20"/>
        </w:rPr>
        <w:t>（14）本基金</w:t>
      </w:r>
      <w:r>
        <w:rPr>
          <w:rFonts w:ascii="宋体" w:hAnsi="宋体" w:hint="eastAsia"/>
          <w:sz w:val="24"/>
          <w:szCs w:val="20"/>
        </w:rPr>
        <w:t>与私募类</w:t>
      </w:r>
      <w:proofErr w:type="gramStart"/>
      <w:r>
        <w:rPr>
          <w:rFonts w:ascii="宋体" w:hAnsi="宋体" w:hint="eastAsia"/>
          <w:sz w:val="24"/>
          <w:szCs w:val="20"/>
        </w:rPr>
        <w:t>证券资管产品</w:t>
      </w:r>
      <w:proofErr w:type="gramEnd"/>
      <w:r>
        <w:rPr>
          <w:rFonts w:ascii="宋体" w:hAnsi="宋体" w:hint="eastAsia"/>
          <w:sz w:val="24"/>
          <w:szCs w:val="20"/>
        </w:rPr>
        <w:t>及中国证监会认定的其他主体为交易对手开展逆回购交易的，可接受质押品的资质要求</w:t>
      </w:r>
      <w:r>
        <w:rPr>
          <w:rFonts w:ascii="宋体" w:hAnsi="宋体"/>
          <w:bCs/>
          <w:sz w:val="24"/>
          <w:szCs w:val="20"/>
        </w:rPr>
        <w:t>应当</w:t>
      </w:r>
      <w:r>
        <w:rPr>
          <w:rFonts w:ascii="宋体" w:hAnsi="宋体" w:hint="eastAsia"/>
          <w:sz w:val="24"/>
          <w:szCs w:val="20"/>
        </w:rPr>
        <w:t>与基金</w:t>
      </w:r>
      <w:r>
        <w:rPr>
          <w:rFonts w:ascii="宋体" w:hAnsi="宋体"/>
          <w:bCs/>
          <w:sz w:val="24"/>
          <w:szCs w:val="20"/>
        </w:rPr>
        <w:t>合同约定的</w:t>
      </w:r>
      <w:r>
        <w:rPr>
          <w:rFonts w:ascii="宋体" w:hAnsi="宋体" w:hint="eastAsia"/>
          <w:sz w:val="24"/>
          <w:szCs w:val="20"/>
        </w:rPr>
        <w:t>投资范围保持一致；</w:t>
      </w:r>
    </w:p>
    <w:bookmarkEnd w:id="34"/>
    <w:p w:rsidR="005553D6" w:rsidRDefault="00FA690A">
      <w:pPr>
        <w:spacing w:line="360" w:lineRule="auto"/>
        <w:ind w:firstLineChars="200" w:firstLine="480"/>
        <w:rPr>
          <w:rFonts w:ascii="宋体" w:hAnsi="宋体"/>
          <w:bCs/>
          <w:sz w:val="24"/>
          <w:szCs w:val="20"/>
        </w:rPr>
      </w:pPr>
      <w:r>
        <w:rPr>
          <w:rFonts w:ascii="宋体" w:hAnsi="宋体"/>
          <w:bCs/>
          <w:sz w:val="24"/>
          <w:szCs w:val="20"/>
        </w:rPr>
        <w:t>（15）本基金资产总值不超过基金资产净值的140%；</w:t>
      </w:r>
    </w:p>
    <w:p w:rsidR="005553D6" w:rsidRDefault="00FA690A">
      <w:pPr>
        <w:spacing w:line="360" w:lineRule="auto"/>
        <w:ind w:firstLineChars="200" w:firstLine="480"/>
        <w:rPr>
          <w:rFonts w:ascii="宋体" w:hAnsi="宋体"/>
          <w:bCs/>
          <w:kern w:val="0"/>
          <w:sz w:val="24"/>
          <w:szCs w:val="20"/>
        </w:rPr>
      </w:pPr>
      <w:r>
        <w:rPr>
          <w:rFonts w:ascii="宋体" w:hAnsi="宋体" w:hint="eastAsia"/>
          <w:bCs/>
          <w:sz w:val="24"/>
          <w:szCs w:val="20"/>
        </w:rPr>
        <w:t>（</w:t>
      </w:r>
      <w:r>
        <w:rPr>
          <w:rFonts w:ascii="宋体" w:hAnsi="宋体"/>
          <w:bCs/>
          <w:sz w:val="24"/>
          <w:szCs w:val="20"/>
        </w:rPr>
        <w:t>16</w:t>
      </w:r>
      <w:r>
        <w:rPr>
          <w:rFonts w:ascii="宋体" w:hAnsi="宋体" w:hint="eastAsia"/>
          <w:bCs/>
          <w:sz w:val="24"/>
          <w:szCs w:val="20"/>
        </w:rPr>
        <w:t>）本基金参与股指期货、国债期货交易，需遵守下列规定：</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本基金在任何交易日日终，持有的买入股指期货合约价值，不得超过基金资产净值的10%；</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lastRenderedPageBreak/>
        <w:t>本基金在任何交易日日终，持有的买入国债期货合约价值，不得超过基金资产净值的15%；</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本基金在任何交易日日终，持有的卖出股指期货合约价值不得超过基金持有的股票总市值的</w:t>
      </w:r>
      <w:r>
        <w:rPr>
          <w:rFonts w:ascii="宋体" w:hAnsi="宋体"/>
          <w:bCs/>
          <w:sz w:val="24"/>
          <w:szCs w:val="20"/>
        </w:rPr>
        <w:t>20%</w:t>
      </w:r>
      <w:r>
        <w:rPr>
          <w:rFonts w:ascii="宋体" w:hAnsi="宋体" w:hint="eastAsia"/>
          <w:bCs/>
          <w:sz w:val="24"/>
          <w:szCs w:val="20"/>
        </w:rPr>
        <w:t>；</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本基金在任何交易日日终，持有的卖出国债期货合约价值不得超过基金持有的债券总市值的30%；</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本基金在任何交易日内交易（不包括平仓）的股指期货合约的成交金额不得超过上一交易日基金资产净值的</w:t>
      </w:r>
      <w:r>
        <w:rPr>
          <w:rFonts w:ascii="宋体" w:hAnsi="宋体"/>
          <w:bCs/>
          <w:sz w:val="24"/>
          <w:szCs w:val="20"/>
        </w:rPr>
        <w:t>20%</w:t>
      </w:r>
      <w:r>
        <w:rPr>
          <w:rFonts w:ascii="宋体" w:hAnsi="宋体" w:hint="eastAsia"/>
          <w:bCs/>
          <w:sz w:val="24"/>
          <w:szCs w:val="20"/>
        </w:rPr>
        <w:t>；</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本基金在任何交易日内交易（不包括平仓）的国债期货合约的成交金额不得超过上一交易日基金资产净值的30%；</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本基金所持有的股票市值和买入、卖出股指期货合约价值，合计（轧差计算）应当符合基金合同关于股票投资比例的有关规定；</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rsidR="005553D6" w:rsidRDefault="00FA690A">
      <w:pPr>
        <w:spacing w:line="360" w:lineRule="auto"/>
        <w:ind w:firstLineChars="200" w:firstLine="480"/>
        <w:rPr>
          <w:rFonts w:ascii="宋体" w:hAnsi="宋体"/>
          <w:color w:val="000000"/>
          <w:sz w:val="24"/>
        </w:rPr>
      </w:pPr>
      <w:r>
        <w:rPr>
          <w:rFonts w:ascii="宋体" w:hAnsi="宋体"/>
          <w:color w:val="000000"/>
          <w:sz w:val="24"/>
        </w:rPr>
        <w:t>（</w:t>
      </w:r>
      <w:r>
        <w:rPr>
          <w:rFonts w:ascii="TimesNewRomanPSMT" w:hAnsi="TimesNewRomanPSMT"/>
          <w:color w:val="000000"/>
          <w:sz w:val="24"/>
        </w:rPr>
        <w:t>17</w:t>
      </w:r>
      <w:r>
        <w:rPr>
          <w:rFonts w:ascii="宋体" w:hAnsi="宋体"/>
          <w:color w:val="000000"/>
          <w:sz w:val="24"/>
        </w:rPr>
        <w:t>）本基金参与股票期权交易的，需遵守下列投资比例限制：</w:t>
      </w:r>
    </w:p>
    <w:p w:rsidR="005553D6" w:rsidRDefault="00FA690A">
      <w:pPr>
        <w:numPr>
          <w:ilvl w:val="0"/>
          <w:numId w:val="6"/>
        </w:numPr>
        <w:spacing w:line="360" w:lineRule="auto"/>
        <w:ind w:firstLine="93"/>
        <w:rPr>
          <w:rFonts w:ascii="宋体" w:hAnsi="宋体"/>
          <w:bCs/>
          <w:sz w:val="24"/>
          <w:szCs w:val="20"/>
        </w:rPr>
      </w:pPr>
      <w:r>
        <w:rPr>
          <w:rFonts w:ascii="宋体" w:hAnsi="宋体" w:hint="eastAsia"/>
          <w:bCs/>
          <w:sz w:val="24"/>
          <w:szCs w:val="20"/>
        </w:rPr>
        <w:t>本基金因未平仓的股票期权合约支付和收取的权利金总额不得超过基金资产净值的 10%；</w:t>
      </w:r>
    </w:p>
    <w:p w:rsidR="005553D6" w:rsidRDefault="00FA690A">
      <w:pPr>
        <w:numPr>
          <w:ilvl w:val="0"/>
          <w:numId w:val="6"/>
        </w:numPr>
        <w:spacing w:line="360" w:lineRule="auto"/>
        <w:ind w:firstLine="93"/>
        <w:rPr>
          <w:rFonts w:ascii="宋体" w:hAnsi="宋体"/>
          <w:bCs/>
          <w:sz w:val="24"/>
          <w:szCs w:val="20"/>
        </w:rPr>
      </w:pPr>
      <w:r>
        <w:rPr>
          <w:rFonts w:ascii="宋体" w:hAnsi="宋体" w:hint="eastAsia"/>
          <w:bCs/>
          <w:sz w:val="24"/>
          <w:szCs w:val="20"/>
        </w:rPr>
        <w:t>本基金开仓卖出认购股票期权的，应持有足额标的证券；开仓卖出认</w:t>
      </w:r>
      <w:proofErr w:type="gramStart"/>
      <w:r>
        <w:rPr>
          <w:rFonts w:ascii="宋体" w:hAnsi="宋体" w:hint="eastAsia"/>
          <w:bCs/>
          <w:sz w:val="24"/>
          <w:szCs w:val="20"/>
        </w:rPr>
        <w:t>沽股票</w:t>
      </w:r>
      <w:proofErr w:type="gramEnd"/>
      <w:r>
        <w:rPr>
          <w:rFonts w:ascii="宋体" w:hAnsi="宋体" w:hint="eastAsia"/>
          <w:bCs/>
          <w:sz w:val="24"/>
          <w:szCs w:val="20"/>
        </w:rPr>
        <w:t>期权的，应持有合约行权所需的全额现金或交易所规则认可的可冲抵股票期权保证金的现金等价物；</w:t>
      </w:r>
    </w:p>
    <w:p w:rsidR="005553D6" w:rsidRDefault="00FA690A">
      <w:pPr>
        <w:numPr>
          <w:ilvl w:val="0"/>
          <w:numId w:val="6"/>
        </w:numPr>
        <w:spacing w:line="360" w:lineRule="auto"/>
        <w:ind w:firstLine="93"/>
        <w:rPr>
          <w:rFonts w:ascii="宋体" w:hAnsi="宋体"/>
          <w:bCs/>
          <w:sz w:val="24"/>
          <w:szCs w:val="20"/>
        </w:rPr>
      </w:pPr>
      <w:r>
        <w:rPr>
          <w:rFonts w:ascii="宋体" w:hAnsi="宋体" w:hint="eastAsia"/>
          <w:bCs/>
          <w:sz w:val="24"/>
          <w:szCs w:val="20"/>
        </w:rPr>
        <w:t>本基金未平仓的股票期权合约面值不得超过基金资产净值的 20%。其中，合约面值按照行权价乘以合约乘数计算；</w:t>
      </w:r>
    </w:p>
    <w:p w:rsidR="005553D6" w:rsidRDefault="00FA690A">
      <w:pPr>
        <w:spacing w:line="360" w:lineRule="auto"/>
        <w:ind w:firstLineChars="200" w:firstLine="480"/>
        <w:rPr>
          <w:rFonts w:ascii="宋体" w:hAnsi="宋体"/>
          <w:bCs/>
          <w:sz w:val="24"/>
          <w:szCs w:val="20"/>
        </w:rPr>
      </w:pPr>
      <w:r>
        <w:rPr>
          <w:rFonts w:ascii="宋体" w:hAnsi="宋体" w:hint="eastAsia"/>
          <w:bCs/>
          <w:sz w:val="24"/>
          <w:szCs w:val="20"/>
        </w:rPr>
        <w:t>（1</w:t>
      </w:r>
      <w:r>
        <w:rPr>
          <w:rFonts w:ascii="宋体" w:hAnsi="宋体"/>
          <w:bCs/>
          <w:sz w:val="24"/>
          <w:szCs w:val="20"/>
        </w:rPr>
        <w:t>8</w:t>
      </w:r>
      <w:r>
        <w:rPr>
          <w:rFonts w:ascii="宋体" w:hAnsi="宋体" w:hint="eastAsia"/>
          <w:bCs/>
          <w:sz w:val="24"/>
          <w:szCs w:val="20"/>
        </w:rPr>
        <w:t>）</w:t>
      </w:r>
      <w:r>
        <w:rPr>
          <w:rFonts w:ascii="宋体" w:hAnsi="宋体"/>
          <w:bCs/>
          <w:sz w:val="24"/>
          <w:szCs w:val="20"/>
        </w:rPr>
        <w:t>本基金参与融资的，每个交易日日终，本基金持有的融资买入股票与 其他有价证券市值之和，不得超过基金资产净值的 95%</w:t>
      </w:r>
      <w:r>
        <w:rPr>
          <w:rFonts w:ascii="宋体" w:hAnsi="宋体" w:hint="eastAsia"/>
          <w:bCs/>
          <w:sz w:val="24"/>
          <w:szCs w:val="20"/>
        </w:rPr>
        <w:t>；</w:t>
      </w:r>
    </w:p>
    <w:p w:rsidR="005553D6" w:rsidRDefault="00FA690A">
      <w:pPr>
        <w:spacing w:line="360" w:lineRule="auto"/>
        <w:ind w:firstLineChars="200" w:firstLine="480"/>
        <w:rPr>
          <w:rFonts w:ascii="宋体" w:hAnsi="宋体"/>
          <w:bCs/>
          <w:sz w:val="24"/>
          <w:szCs w:val="20"/>
        </w:rPr>
      </w:pPr>
      <w:r>
        <w:rPr>
          <w:rFonts w:ascii="宋体" w:hAnsi="宋体" w:hint="eastAsia"/>
          <w:bCs/>
          <w:sz w:val="24"/>
          <w:szCs w:val="20"/>
        </w:rPr>
        <w:t>（19）本基金投资存托凭证的比例限制依照境内上市交易的股票执行，与境内</w:t>
      </w:r>
      <w:r>
        <w:rPr>
          <w:rFonts w:ascii="宋体" w:hAnsi="宋体" w:hint="eastAsia"/>
          <w:bCs/>
          <w:sz w:val="24"/>
          <w:szCs w:val="20"/>
        </w:rPr>
        <w:lastRenderedPageBreak/>
        <w:t>上市交易的股票合并计算；</w:t>
      </w:r>
    </w:p>
    <w:p w:rsidR="005553D6" w:rsidRDefault="00FA690A">
      <w:pPr>
        <w:spacing w:line="360" w:lineRule="auto"/>
        <w:ind w:firstLineChars="200" w:firstLine="480"/>
        <w:rPr>
          <w:rFonts w:ascii="宋体" w:hAnsi="宋体"/>
          <w:sz w:val="24"/>
          <w:szCs w:val="20"/>
        </w:rPr>
      </w:pPr>
      <w:r>
        <w:rPr>
          <w:rFonts w:ascii="宋体" w:hAnsi="宋体"/>
          <w:bCs/>
          <w:sz w:val="24"/>
          <w:szCs w:val="20"/>
        </w:rPr>
        <w:t>（</w:t>
      </w:r>
      <w:r>
        <w:rPr>
          <w:rFonts w:ascii="宋体" w:hAnsi="宋体" w:hint="eastAsia"/>
          <w:bCs/>
          <w:sz w:val="24"/>
          <w:szCs w:val="20"/>
        </w:rPr>
        <w:t>20</w:t>
      </w:r>
      <w:r>
        <w:rPr>
          <w:rFonts w:ascii="宋体" w:hAnsi="宋体" w:hint="eastAsia"/>
          <w:sz w:val="24"/>
          <w:szCs w:val="20"/>
        </w:rPr>
        <w:t>）法律法规及中国证监会规定的和《基金合同》约定的其他投资限制。</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除上述（</w:t>
      </w:r>
      <w:r>
        <w:rPr>
          <w:rFonts w:ascii="宋体" w:hAnsi="宋体"/>
          <w:sz w:val="24"/>
          <w:szCs w:val="20"/>
        </w:rPr>
        <w:t>2</w:t>
      </w:r>
      <w:r>
        <w:rPr>
          <w:rFonts w:ascii="宋体" w:hAnsi="宋体" w:hint="eastAsia"/>
          <w:sz w:val="24"/>
          <w:szCs w:val="20"/>
        </w:rPr>
        <w:t>）、（</w:t>
      </w:r>
      <w:r>
        <w:rPr>
          <w:rFonts w:ascii="宋体" w:hAnsi="宋体"/>
          <w:bCs/>
          <w:sz w:val="24"/>
          <w:szCs w:val="20"/>
        </w:rPr>
        <w:t>9）、（13）、（14）情形之外</w:t>
      </w:r>
      <w:r>
        <w:rPr>
          <w:rFonts w:ascii="宋体" w:hAnsi="宋体" w:hint="eastAsia"/>
          <w:sz w:val="24"/>
          <w:szCs w:val="20"/>
        </w:rPr>
        <w:t>，因证券、期货市场波动、证券发行人合并、基金规模变动等基金管理人之外的因素致使基金投资比例不符合上述规定投资比例的，基金管理人应当在</w:t>
      </w:r>
      <w:r>
        <w:rPr>
          <w:rFonts w:ascii="宋体" w:hAnsi="宋体"/>
          <w:sz w:val="24"/>
          <w:szCs w:val="20"/>
        </w:rPr>
        <w:t>10</w:t>
      </w:r>
      <w:r>
        <w:rPr>
          <w:rFonts w:ascii="宋体" w:hAnsi="宋体" w:hint="eastAsia"/>
          <w:sz w:val="24"/>
          <w:szCs w:val="20"/>
        </w:rPr>
        <w:t>个交易日内进行调整，但中国证监会规定的特殊情形除外。</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本基金财产不得用于以下投资或者活动：</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1）承销证券；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2）违反规定向他人贷款或者提供担保；</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3）从事承担无限责任的投资；</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5）向其基金管理人、基金托管人出资；</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7）法律、行政法规或者</w:t>
      </w:r>
      <w:r>
        <w:rPr>
          <w:rFonts w:ascii="宋体" w:hAnsi="宋体" w:hint="eastAsia"/>
          <w:sz w:val="24"/>
        </w:rPr>
        <w:t>中国证监会规定禁止的其他活动。</w:t>
      </w:r>
    </w:p>
    <w:p w:rsidR="005553D6" w:rsidRDefault="00FA690A">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553D6" w:rsidRDefault="00FA690A">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rsidR="005553D6" w:rsidRDefault="00FA690A">
      <w:pPr>
        <w:spacing w:line="360" w:lineRule="auto"/>
        <w:ind w:firstLineChars="200" w:firstLine="480"/>
        <w:contextualSpacing/>
        <w:rPr>
          <w:rFonts w:ascii="宋体" w:hAnsi="宋体"/>
          <w:sz w:val="24"/>
        </w:rPr>
      </w:pPr>
      <w:r>
        <w:rPr>
          <w:rFonts w:ascii="宋体" w:hAnsi="宋体"/>
          <w:sz w:val="24"/>
        </w:rPr>
        <w:t>6.</w:t>
      </w: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bookmarkEnd w:id="35"/>
    </w:p>
    <w:p w:rsidR="005553D6" w:rsidRDefault="00FA690A">
      <w:pPr>
        <w:spacing w:line="360" w:lineRule="auto"/>
        <w:ind w:firstLineChars="200" w:firstLine="480"/>
        <w:contextualSpacing/>
        <w:rPr>
          <w:rFonts w:ascii="宋体" w:hAnsi="宋体"/>
          <w:sz w:val="24"/>
        </w:rPr>
      </w:pPr>
      <w:r>
        <w:rPr>
          <w:rFonts w:ascii="宋体" w:hAnsi="宋体" w:hint="eastAsia"/>
          <w:sz w:val="24"/>
        </w:rPr>
        <w:t>7、当基金持有特定资产且存在或潜在大额赎回申请时，根据最大限度保护基</w:t>
      </w:r>
      <w:r>
        <w:rPr>
          <w:rFonts w:ascii="宋体" w:hAnsi="宋体" w:hint="eastAsia"/>
          <w:sz w:val="24"/>
        </w:rPr>
        <w:lastRenderedPageBreak/>
        <w:t>金份额持有人利益的原则，基金管理人经与基金托管人协商一致，并咨询会计师事务所意见后，可以依照法律法规及基金合同的约定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，无需召开基金份额持有人大会审议。</w:t>
      </w:r>
    </w:p>
    <w:p w:rsidR="005553D6" w:rsidRDefault="00FA690A">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实施期间，本部分约定的投资组合比例、组合限制等约定仅</w:t>
      </w:r>
      <w:proofErr w:type="gramStart"/>
      <w:r>
        <w:rPr>
          <w:rFonts w:ascii="宋体" w:hAnsi="宋体" w:hint="eastAsia"/>
          <w:sz w:val="24"/>
        </w:rPr>
        <w:t>适用于主袋账户</w:t>
      </w:r>
      <w:proofErr w:type="gramEnd"/>
      <w:r>
        <w:rPr>
          <w:rFonts w:ascii="宋体" w:hAnsi="宋体" w:hint="eastAsia"/>
          <w:sz w:val="24"/>
        </w:rPr>
        <w:t>。</w:t>
      </w:r>
    </w:p>
    <w:p w:rsidR="005553D6" w:rsidRDefault="00FA690A">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的具体规则依照相关法律法规的规定和基金合同的约定执行。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本基金投资银行存款应符合如下规定：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w:t>
      </w:r>
      <w:r>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Pr>
          <w:rFonts w:ascii="宋体" w:hAnsi="宋体" w:hint="eastAsia"/>
          <w:sz w:val="24"/>
        </w:rPr>
        <w:t>5%。</w:t>
      </w:r>
    </w:p>
    <w:p w:rsidR="005553D6" w:rsidRDefault="00FA690A">
      <w:pPr>
        <w:spacing w:line="360" w:lineRule="auto"/>
        <w:ind w:firstLineChars="200" w:firstLine="480"/>
        <w:contextualSpacing/>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（三）基金投资银行存款协议的签订、账户开设与管理、投资指令与资金划付、账目核对、到期兑付、提前支取</w:t>
      </w:r>
    </w:p>
    <w:p w:rsidR="005553D6" w:rsidRDefault="00FA690A">
      <w:pPr>
        <w:spacing w:line="360" w:lineRule="auto"/>
        <w:ind w:firstLineChars="200" w:firstLine="480"/>
        <w:contextualSpacing/>
        <w:rPr>
          <w:rFonts w:ascii="宋体" w:hAnsi="宋体"/>
          <w:sz w:val="24"/>
        </w:rPr>
      </w:pPr>
      <w:r>
        <w:rPr>
          <w:rFonts w:ascii="宋体" w:hAnsi="宋体"/>
          <w:sz w:val="24"/>
        </w:rPr>
        <w:t>1.基金投资银行存款协议的签订</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2）基金托管人依据相关法规对《总体合作协议》和《存款协议书》的内容进行复核，审查存款银行资格等。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）寄送或上门交付存款证实书或其他有效存款凭证的，基金托管人可向存款分支机构的上级行发出存款余额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6）基金管理人应在《存款协议书》中规定，</w:t>
      </w:r>
      <w:r>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）基金管理人应在《存款协议书》中规定，因定期存款产生的存单不得被质押或以任何方式被抵押，不得用于转让和背书。</w:t>
      </w:r>
    </w:p>
    <w:p w:rsidR="005553D6" w:rsidRDefault="00FA690A">
      <w:pPr>
        <w:spacing w:line="360" w:lineRule="auto"/>
        <w:ind w:firstLineChars="200" w:firstLine="480"/>
        <w:contextualSpacing/>
        <w:rPr>
          <w:rFonts w:ascii="宋体" w:hAnsi="宋体"/>
          <w:sz w:val="24"/>
        </w:rPr>
      </w:pPr>
      <w:r>
        <w:rPr>
          <w:rFonts w:ascii="宋体" w:hAnsi="宋体"/>
          <w:sz w:val="24"/>
        </w:rPr>
        <w:lastRenderedPageBreak/>
        <w:t>2.</w:t>
      </w:r>
      <w:r>
        <w:rPr>
          <w:rFonts w:ascii="宋体" w:hAnsi="宋体" w:hint="eastAsia"/>
          <w:sz w:val="24"/>
        </w:rPr>
        <w:t>基金投资银行存款时的账户开设与管理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管理人应当依据基金管理人与存款银行签订的《总体合作协议》、《存款协议书》等，以基金的名义在存款银行总行或授权分行指定的分支机构开立银行账户。</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存款凭证传递、账目核对及到期兑付</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）的方式快递或上门交付至托管人，原存款凭证自动作废。</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rsidR="005553D6" w:rsidRDefault="00FA690A">
      <w:pPr>
        <w:spacing w:line="360" w:lineRule="auto"/>
        <w:ind w:firstLineChars="200" w:firstLine="480"/>
        <w:contextualSpacing/>
        <w:rPr>
          <w:rFonts w:ascii="宋体" w:hAnsi="宋体"/>
          <w:sz w:val="24"/>
        </w:rPr>
      </w:pPr>
      <w:r>
        <w:rPr>
          <w:rFonts w:ascii="宋体" w:hAnsi="宋体" w:hint="eastAsia"/>
          <w:sz w:val="24"/>
        </w:rPr>
        <w:t>每个工作日，基金管理人应与基金托管人核对各项银行存款投资余额及应计利息。</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w:t>
      </w:r>
      <w:r>
        <w:rPr>
          <w:rFonts w:ascii="宋体" w:hAnsi="宋体" w:hint="eastAsia"/>
          <w:sz w:val="24"/>
        </w:rPr>
        <w:t>存款银行应于每季末后</w:t>
      </w:r>
      <w:r>
        <w:rPr>
          <w:rFonts w:ascii="宋体" w:hAnsi="宋体"/>
          <w:sz w:val="24"/>
        </w:rPr>
        <w:t>5个工作日内向</w:t>
      </w:r>
      <w:r>
        <w:rPr>
          <w:rFonts w:ascii="宋体" w:hAnsi="宋体" w:hint="eastAsia"/>
          <w:sz w:val="24"/>
        </w:rPr>
        <w:t>基金托管人指定人员寄送对账单。因存款银行未寄送对账单造成的资金被挪用、盗取的责任由存款银行承担。</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基金管理人提前通知基金托管人通过快递将存款凭证原件寄给存款银行分支机构指定的会计主管。存款银行未收到存款凭证原件的，应与基金托管人电话询问。</w:t>
      </w:r>
      <w:r>
        <w:rPr>
          <w:rFonts w:ascii="宋体" w:hAnsi="宋体" w:hint="eastAsia"/>
          <w:sz w:val="24"/>
        </w:rPr>
        <w:lastRenderedPageBreak/>
        <w:t>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5553D6" w:rsidRDefault="00FA690A">
      <w:pPr>
        <w:spacing w:line="360" w:lineRule="auto"/>
        <w:ind w:firstLineChars="200" w:firstLine="480"/>
        <w:contextualSpacing/>
        <w:rPr>
          <w:rFonts w:ascii="宋体" w:hAnsi="宋体"/>
          <w:sz w:val="24"/>
        </w:rPr>
      </w:pPr>
      <w:r>
        <w:rPr>
          <w:rFonts w:ascii="宋体" w:hAnsi="宋体"/>
          <w:sz w:val="24"/>
        </w:rPr>
        <w:t>4.提前支取</w:t>
      </w:r>
    </w:p>
    <w:p w:rsidR="005553D6" w:rsidRDefault="00FA690A">
      <w:pPr>
        <w:spacing w:line="360" w:lineRule="auto"/>
        <w:ind w:firstLineChars="200" w:firstLine="480"/>
        <w:contextualSpacing/>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rsidR="005553D6" w:rsidRDefault="00FA690A">
      <w:pPr>
        <w:spacing w:line="360" w:lineRule="auto"/>
        <w:ind w:firstLineChars="200" w:firstLine="480"/>
        <w:contextualSpacing/>
        <w:rPr>
          <w:rFonts w:ascii="宋体" w:hAnsi="宋体"/>
          <w:sz w:val="24"/>
        </w:rPr>
      </w:pPr>
      <w:r>
        <w:rPr>
          <w:rFonts w:ascii="宋体" w:hAnsi="宋体" w:hint="eastAsia"/>
          <w:sz w:val="24"/>
        </w:rPr>
        <w:t>提前支取的具体事项按照基金管理人与存款银行签订的《存款协议书》执行。</w:t>
      </w:r>
    </w:p>
    <w:p w:rsidR="005553D6" w:rsidRDefault="00FA690A">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基金投资银行存款的监督</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工作日内纠正。基金管理人对基金托管人通知的违规事项未能在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工作日内纠正的，基金托管人应报告中国证监会。基金托管人发现基金管理人有重大违规行为，应立即报告中国证监会，同时通知基金管理人在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工作日内纠正或拒绝结算，若因基金管理人拒不执行造成基金财产损失的，相关损失由基金管理人承担，基金托管人不承担任何责任。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w:t>
      </w:r>
      <w:r>
        <w:rPr>
          <w:rFonts w:ascii="宋体" w:hAnsi="宋体" w:hint="eastAsia"/>
          <w:sz w:val="24"/>
        </w:rPr>
        <w:lastRenderedPageBreak/>
        <w:t>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rsidR="005553D6" w:rsidRDefault="00FA690A">
      <w:pPr>
        <w:spacing w:line="360" w:lineRule="auto"/>
        <w:ind w:firstLineChars="200" w:firstLine="480"/>
        <w:contextualSpacing/>
        <w:rPr>
          <w:rFonts w:ascii="宋体" w:hAnsi="宋体"/>
          <w:sz w:val="24"/>
        </w:rPr>
      </w:pPr>
      <w:r>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rsidR="005553D6" w:rsidRDefault="00FA690A">
      <w:pPr>
        <w:spacing w:line="360" w:lineRule="auto"/>
        <w:ind w:firstLineChars="200" w:firstLine="480"/>
        <w:contextualSpacing/>
        <w:rPr>
          <w:rFonts w:ascii="宋体" w:hAnsi="宋体"/>
          <w:sz w:val="24"/>
        </w:rPr>
      </w:pPr>
      <w:r>
        <w:rPr>
          <w:rFonts w:ascii="宋体" w:hAnsi="宋体"/>
          <w:sz w:val="24"/>
        </w:rPr>
        <w:t xml:space="preserve">2. </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基金管理人对本基金投资流通受限证券的流动性风险负责，确保对相关风险</w:t>
      </w:r>
      <w:r>
        <w:rPr>
          <w:rFonts w:ascii="宋体" w:hAnsi="宋体"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5553D6" w:rsidRDefault="00FA690A">
      <w:pPr>
        <w:spacing w:line="360" w:lineRule="auto"/>
        <w:ind w:firstLineChars="200" w:firstLine="480"/>
        <w:contextualSpacing/>
        <w:rPr>
          <w:rFonts w:ascii="宋体" w:hAnsi="宋体"/>
          <w:sz w:val="24"/>
        </w:rPr>
      </w:pPr>
      <w:r>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rsidR="005553D6" w:rsidRDefault="00FA690A">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由于基金管理人未及时提供有关证券的具体的必要的信息，致使托管人无法审核认购指令而影响认购款项划拨的，基金托管人免于承担责任。</w:t>
      </w:r>
    </w:p>
    <w:p w:rsidR="005553D6" w:rsidRDefault="00FA690A">
      <w:pPr>
        <w:spacing w:line="360" w:lineRule="auto"/>
        <w:ind w:firstLineChars="200" w:firstLine="480"/>
        <w:contextualSpacing/>
        <w:rPr>
          <w:rFonts w:ascii="宋体" w:hAnsi="宋体"/>
          <w:sz w:val="24"/>
        </w:rPr>
      </w:pPr>
      <w:r>
        <w:rPr>
          <w:rFonts w:ascii="宋体" w:hAnsi="宋体"/>
          <w:sz w:val="24"/>
        </w:rPr>
        <w:t>4.基金托管人依照法律法规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5553D6" w:rsidRDefault="00FA690A">
      <w:pPr>
        <w:spacing w:line="360" w:lineRule="auto"/>
        <w:ind w:firstLineChars="200" w:firstLine="480"/>
        <w:contextualSpacing/>
        <w:rPr>
          <w:rFonts w:ascii="宋体" w:hAnsi="宋体"/>
          <w:sz w:val="24"/>
        </w:rPr>
      </w:pPr>
      <w:r>
        <w:rPr>
          <w:rFonts w:ascii="宋体" w:hAnsi="宋体"/>
          <w:sz w:val="24"/>
        </w:rPr>
        <w:t>5. 基金管理</w:t>
      </w:r>
      <w:r>
        <w:rPr>
          <w:rFonts w:ascii="宋体" w:hAnsi="宋体" w:hint="eastAsia"/>
          <w:sz w:val="24"/>
        </w:rPr>
        <w:t>人</w:t>
      </w:r>
      <w:r>
        <w:rPr>
          <w:rFonts w:ascii="宋体" w:hAnsi="宋体"/>
          <w:sz w:val="24"/>
        </w:rPr>
        <w:t>应在基金投资非公开发行股票后两个交易日内,在中国证监会</w:t>
      </w:r>
      <w:r>
        <w:rPr>
          <w:rFonts w:ascii="宋体" w:hAnsi="宋体" w:hint="eastAsia"/>
          <w:sz w:val="24"/>
        </w:rPr>
        <w:t>规定</w:t>
      </w:r>
      <w:r>
        <w:rPr>
          <w:rFonts w:ascii="宋体" w:hAnsi="宋体"/>
          <w:sz w:val="24"/>
        </w:rPr>
        <w:t>媒介披露所投资非公开发行股票的名称、数量、总成本、账面价值,以及总成本和账面价值占基金资产净值的比例、锁定期等信息。</w:t>
      </w:r>
    </w:p>
    <w:p w:rsidR="005553D6" w:rsidRDefault="00FA690A">
      <w:pPr>
        <w:spacing w:line="360" w:lineRule="auto"/>
        <w:ind w:firstLineChars="200" w:firstLine="480"/>
        <w:contextualSpacing/>
        <w:rPr>
          <w:rFonts w:ascii="宋体" w:hAnsi="宋体"/>
          <w:sz w:val="24"/>
        </w:rPr>
      </w:pPr>
      <w:r>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基金份额净值计算、基金费用开支及收入确定、基金收益分配、相关信息披露、基金宣传推介材料中登载基金业绩表现数据等进行监督和核查。</w:t>
      </w:r>
    </w:p>
    <w:p w:rsidR="005553D6" w:rsidRDefault="00FA690A">
      <w:pPr>
        <w:spacing w:line="360" w:lineRule="auto"/>
        <w:ind w:firstLineChars="200" w:firstLine="480"/>
        <w:contextualSpacing/>
        <w:rPr>
          <w:rFonts w:ascii="宋体" w:hAnsi="宋体"/>
          <w:sz w:val="24"/>
        </w:rPr>
      </w:pPr>
      <w:r>
        <w:rPr>
          <w:rFonts w:ascii="宋体" w:hAnsi="宋体"/>
          <w:sz w:val="24"/>
        </w:rPr>
        <w:t>（八）基金托管人发现基金管理人的上述事项及投资指令或实际投资运作违反法律法规、《基金合同》和本托管协议的规定，应及时以电话、邮件或书面提示</w:t>
      </w:r>
      <w:r>
        <w:rPr>
          <w:rFonts w:ascii="宋体" w:hAnsi="宋体"/>
          <w:sz w:val="24"/>
        </w:rPr>
        <w:lastRenderedPageBreak/>
        <w:t>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5553D6" w:rsidRDefault="00FA690A">
      <w:pPr>
        <w:spacing w:line="360" w:lineRule="auto"/>
        <w:ind w:firstLineChars="200" w:firstLine="480"/>
        <w:contextualSpacing/>
        <w:rPr>
          <w:rFonts w:ascii="宋体" w:hAnsi="宋体"/>
          <w:sz w:val="24"/>
        </w:rPr>
      </w:pPr>
      <w:r>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（十）</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（十一）基金托管人发现基金管理人有重大违规行为，应及时报告中国证监会，同时通知基金管理人限期纠正。</w:t>
      </w:r>
      <w:bookmarkStart w:id="36" w:name="_Toc110761796"/>
      <w:bookmarkStart w:id="37" w:name="_Toc118212950"/>
      <w:bookmarkStart w:id="38" w:name="_Toc86649722"/>
      <w:bookmarkStart w:id="39" w:name="_Toc119402710"/>
      <w:bookmarkStart w:id="40" w:name="_Toc86737929"/>
      <w:bookmarkStart w:id="41" w:name="_Toc110830492"/>
      <w:bookmarkStart w:id="42" w:name="_Toc118972648"/>
      <w:bookmarkStart w:id="43" w:name="_Toc86726439"/>
      <w:bookmarkStart w:id="44" w:name="_Toc120435783"/>
      <w:bookmarkStart w:id="45" w:name="_Toc110765660"/>
      <w:bookmarkStart w:id="46" w:name="_Toc108512358"/>
      <w:bookmarkStart w:id="47" w:name="_Toc86727355"/>
      <w:bookmarkStart w:id="48" w:name="_Toc86223242"/>
      <w:bookmarkStart w:id="49" w:name="_Toc89163368"/>
      <w:bookmarkStart w:id="50" w:name="_Toc118774803"/>
      <w:bookmarkStart w:id="51" w:name="_Toc86225291"/>
    </w:p>
    <w:bookmarkEnd w:id="30"/>
    <w:p w:rsidR="005553D6" w:rsidRDefault="005553D6">
      <w:pPr>
        <w:spacing w:line="360" w:lineRule="auto"/>
        <w:ind w:firstLineChars="200" w:firstLine="480"/>
        <w:contextualSpacing/>
        <w:rPr>
          <w:rFonts w:ascii="宋体" w:hAnsi="宋体"/>
          <w:sz w:val="24"/>
        </w:rPr>
        <w:sectPr w:rsidR="005553D6">
          <w:footerReference w:type="default" r:id="rId62"/>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52" w:name="_Toc3276851"/>
      <w:bookmarkStart w:id="53" w:name="_Toc384992694"/>
      <w:bookmarkStart w:id="54" w:name="_Toc348082032"/>
      <w:bookmarkStart w:id="55" w:name="CLAUSE_3941d2e12a5840c8a774da0b5e8d5732"/>
      <w:r>
        <w:rPr>
          <w:rFonts w:ascii="宋体" w:eastAsia="宋体" w:hAnsi="宋体"/>
        </w:rPr>
        <w:lastRenderedPageBreak/>
        <w:t xml:space="preserve"> </w:t>
      </w:r>
      <w:bookmarkStart w:id="56" w:name="CTS_3941d2e12a5840c8a774da0b5e8d5732"/>
      <w:bookmarkEnd w:id="56"/>
      <w:r>
        <w:rPr>
          <w:rFonts w:ascii="宋体" w:eastAsia="宋体" w:hAnsi="宋体" w:hint="eastAsia"/>
        </w:rPr>
        <w:t>基金管理人对基金托管人的业务核查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w:t>
      </w:r>
      <w:r>
        <w:rPr>
          <w:rFonts w:ascii="宋体" w:hAnsi="宋体" w:hint="eastAsia"/>
          <w:bCs/>
          <w:sz w:val="24"/>
        </w:rPr>
        <w:t>、期货结算账户</w:t>
      </w:r>
      <w:r>
        <w:rPr>
          <w:rFonts w:ascii="宋体" w:hAnsi="宋体" w:hint="eastAsia"/>
          <w:sz w:val="24"/>
        </w:rPr>
        <w:t>等投资所需账户、复核基金管理人计算的基金资产净值和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基金份额净值、根据基金管理人指令办理清算交收、相关信息披露和监督基金投资运作等行为。</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w:t>
      </w:r>
      <w:r>
        <w:rPr>
          <w:rFonts w:ascii="宋体" w:hAnsi="宋体"/>
          <w:sz w:val="24"/>
        </w:rPr>
        <w:t>电话、邮件或</w:t>
      </w:r>
      <w:r>
        <w:rPr>
          <w:rFonts w:ascii="宋体" w:hAnsi="宋体" w:hint="eastAsia"/>
          <w:sz w:val="24"/>
        </w:rPr>
        <w:t>书面形式等方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rsidR="005553D6" w:rsidRDefault="005553D6">
      <w:pPr>
        <w:spacing w:line="360" w:lineRule="auto"/>
        <w:ind w:firstLineChars="200" w:firstLine="480"/>
        <w:contextualSpacing/>
        <w:rPr>
          <w:rFonts w:ascii="宋体" w:hAnsi="宋体"/>
          <w:sz w:val="24"/>
        </w:rPr>
      </w:pPr>
    </w:p>
    <w:bookmarkEnd w:id="55"/>
    <w:p w:rsidR="005553D6" w:rsidRDefault="005553D6">
      <w:pPr>
        <w:spacing w:line="360" w:lineRule="auto"/>
        <w:ind w:firstLineChars="200" w:firstLine="480"/>
        <w:contextualSpacing/>
        <w:rPr>
          <w:rFonts w:ascii="宋体" w:hAnsi="宋体"/>
          <w:sz w:val="24"/>
        </w:rPr>
        <w:sectPr w:rsidR="005553D6">
          <w:footerReference w:type="default" r:id="rId63"/>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57" w:name="_Toc84234388"/>
      <w:bookmarkStart w:id="58" w:name="_Toc86204789"/>
      <w:bookmarkStart w:id="59" w:name="_Toc84133786"/>
      <w:bookmarkStart w:id="60" w:name="_Toc118212951"/>
      <w:bookmarkStart w:id="61" w:name="_Toc348082033"/>
      <w:bookmarkStart w:id="62" w:name="_Toc86649723"/>
      <w:bookmarkStart w:id="63" w:name="_Toc118774804"/>
      <w:bookmarkStart w:id="64" w:name="_Toc110830493"/>
      <w:bookmarkStart w:id="65" w:name="_Toc86225292"/>
      <w:bookmarkStart w:id="66" w:name="_Toc86726440"/>
      <w:bookmarkStart w:id="67" w:name="_Toc119402711"/>
      <w:bookmarkStart w:id="68" w:name="_Toc110761797"/>
      <w:bookmarkStart w:id="69" w:name="_Toc86223243"/>
      <w:bookmarkStart w:id="70" w:name="_Toc89163369"/>
      <w:bookmarkStart w:id="71" w:name="_Toc86727356"/>
      <w:bookmarkStart w:id="72" w:name="_Toc118972649"/>
      <w:bookmarkStart w:id="73" w:name="_Toc86737930"/>
      <w:bookmarkStart w:id="74" w:name="_Toc108512359"/>
      <w:bookmarkStart w:id="75" w:name="_Toc3276852"/>
      <w:bookmarkStart w:id="76" w:name="_Toc110765661"/>
      <w:bookmarkStart w:id="77" w:name="_Toc384992695"/>
      <w:bookmarkStart w:id="78" w:name="_Toc84234435"/>
      <w:bookmarkStart w:id="79" w:name="_Toc120435784"/>
      <w:bookmarkStart w:id="80" w:name="CLAUSE_ae32e2f5dbd7495eb29c9432267c084b"/>
      <w:r>
        <w:rPr>
          <w:rFonts w:ascii="宋体" w:eastAsia="宋体" w:hAnsi="宋体"/>
        </w:rPr>
        <w:lastRenderedPageBreak/>
        <w:t xml:space="preserve"> </w:t>
      </w:r>
      <w:bookmarkStart w:id="81" w:name="CTS_ae32e2f5dbd7495eb29c9432267c084b"/>
      <w:bookmarkEnd w:id="81"/>
      <w:r>
        <w:rPr>
          <w:rFonts w:ascii="宋体" w:eastAsia="宋体" w:hAnsi="宋体" w:hint="eastAsia"/>
        </w:rPr>
        <w:t>基金财产的保管</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（一）基金财产保管的原则</w:t>
      </w:r>
    </w:p>
    <w:p w:rsidR="005553D6" w:rsidRDefault="00FA690A">
      <w:pPr>
        <w:spacing w:line="360" w:lineRule="auto"/>
        <w:ind w:firstLineChars="200" w:firstLine="480"/>
        <w:contextualSpacing/>
        <w:rPr>
          <w:rFonts w:ascii="宋体" w:hAnsi="宋体"/>
          <w:sz w:val="24"/>
        </w:rPr>
      </w:pPr>
      <w:r>
        <w:rPr>
          <w:rFonts w:ascii="宋体" w:hAnsi="宋体"/>
          <w:sz w:val="24"/>
        </w:rPr>
        <w:t>1.基金财产应独立于基金管理人、基金托管</w:t>
      </w:r>
      <w:r>
        <w:rPr>
          <w:rFonts w:ascii="宋体" w:hAnsi="宋体" w:cs="Arial" w:hint="eastAsia"/>
          <w:sz w:val="24"/>
        </w:rPr>
        <w:t>人和证券经纪机构</w:t>
      </w:r>
      <w:r>
        <w:rPr>
          <w:rFonts w:ascii="宋体" w:hAnsi="宋体" w:hint="eastAsia"/>
          <w:sz w:val="24"/>
        </w:rPr>
        <w:t>的固有财产。</w:t>
      </w:r>
    </w:p>
    <w:p w:rsidR="005553D6" w:rsidRDefault="00FA690A">
      <w:pPr>
        <w:spacing w:line="360" w:lineRule="auto"/>
        <w:ind w:firstLineChars="200" w:firstLine="480"/>
        <w:contextualSpacing/>
        <w:rPr>
          <w:rFonts w:ascii="宋体" w:hAnsi="宋体"/>
          <w:sz w:val="24"/>
        </w:rPr>
      </w:pPr>
      <w:r>
        <w:rPr>
          <w:rFonts w:ascii="宋体" w:hAnsi="宋体"/>
          <w:sz w:val="24"/>
        </w:rPr>
        <w:t>2.基金托管人应安全保管基金财产。</w:t>
      </w:r>
    </w:p>
    <w:p w:rsidR="005553D6" w:rsidRDefault="00FA690A">
      <w:pPr>
        <w:spacing w:line="360" w:lineRule="auto"/>
        <w:ind w:firstLineChars="200" w:firstLine="480"/>
        <w:contextualSpacing/>
        <w:rPr>
          <w:rFonts w:ascii="宋体" w:hAnsi="宋体"/>
          <w:sz w:val="24"/>
        </w:rPr>
      </w:pPr>
      <w:r>
        <w:rPr>
          <w:rFonts w:ascii="宋体" w:hAnsi="宋体"/>
          <w:sz w:val="24"/>
        </w:rPr>
        <w:t>3.基金托管人按照规定开设基金财产</w:t>
      </w:r>
      <w:r>
        <w:rPr>
          <w:rFonts w:ascii="宋体" w:hAnsi="宋体" w:hint="eastAsia"/>
          <w:sz w:val="24"/>
        </w:rPr>
        <w:t>投资所需的相关账户。</w:t>
      </w:r>
    </w:p>
    <w:p w:rsidR="005553D6" w:rsidRDefault="00FA690A">
      <w:pPr>
        <w:spacing w:line="360" w:lineRule="auto"/>
        <w:ind w:firstLineChars="200" w:firstLine="480"/>
        <w:contextualSpacing/>
        <w:rPr>
          <w:rFonts w:ascii="宋体" w:hAnsi="宋体"/>
          <w:sz w:val="24"/>
        </w:rPr>
      </w:pPr>
      <w:r>
        <w:rPr>
          <w:rFonts w:ascii="宋体" w:hAnsi="宋体"/>
          <w:sz w:val="24"/>
        </w:rPr>
        <w:t>4.基金托管人对所托管的不同基金财产分别设置账户，确保基金财产的完整与独立。</w:t>
      </w:r>
    </w:p>
    <w:p w:rsidR="005553D6" w:rsidRDefault="00FA690A">
      <w:pPr>
        <w:spacing w:line="360" w:lineRule="auto"/>
        <w:ind w:firstLineChars="200" w:firstLine="480"/>
        <w:contextualSpacing/>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rsidR="005553D6" w:rsidRDefault="00FA690A">
      <w:pPr>
        <w:spacing w:line="360" w:lineRule="auto"/>
        <w:ind w:firstLineChars="200" w:firstLine="480"/>
        <w:contextualSpacing/>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rsidR="005553D6" w:rsidRDefault="00FA690A">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rsidR="005553D6" w:rsidRDefault="00FA690A">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rsidR="005553D6" w:rsidRDefault="00FA690A">
      <w:pPr>
        <w:spacing w:line="360" w:lineRule="auto"/>
        <w:ind w:firstLineChars="200" w:firstLine="480"/>
        <w:contextualSpacing/>
        <w:rPr>
          <w:rFonts w:ascii="宋体" w:hAnsi="宋体"/>
          <w:sz w:val="24"/>
        </w:rPr>
      </w:pPr>
      <w:r>
        <w:rPr>
          <w:rFonts w:ascii="宋体" w:hAnsi="宋体"/>
          <w:sz w:val="24"/>
        </w:rPr>
        <w:t>1.基金募集期间募集的资金应开立“基金募集专户”。该账户由基金管理人或基金管理人委托的登记机构</w:t>
      </w:r>
      <w:r>
        <w:rPr>
          <w:rFonts w:ascii="宋体" w:hAnsi="宋体" w:hint="eastAsia"/>
          <w:sz w:val="24"/>
        </w:rPr>
        <w:t>开立并管理。</w:t>
      </w:r>
    </w:p>
    <w:p w:rsidR="005553D6" w:rsidRDefault="00FA690A">
      <w:pPr>
        <w:spacing w:line="360" w:lineRule="auto"/>
        <w:ind w:firstLineChars="200" w:firstLine="480"/>
        <w:contextualSpacing/>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w:t>
      </w:r>
      <w:bookmarkStart w:id="82" w:name="_Hlk48047709"/>
      <w:r>
        <w:rPr>
          <w:rFonts w:ascii="宋体" w:hAnsi="宋体" w:hint="eastAsia"/>
          <w:sz w:val="24"/>
        </w:rPr>
        <w:t>符合</w:t>
      </w:r>
      <w:proofErr w:type="gramEnd"/>
      <w:r>
        <w:rPr>
          <w:rFonts w:ascii="宋体" w:hAnsi="宋体" w:hint="eastAsia"/>
          <w:sz w:val="24"/>
        </w:rPr>
        <w:t>《中华人民共和国证券法》规定</w:t>
      </w:r>
      <w:bookmarkEnd w:id="82"/>
      <w:r>
        <w:rPr>
          <w:rFonts w:ascii="宋体" w:hAnsi="宋体" w:hint="eastAsia"/>
          <w:sz w:val="24"/>
        </w:rPr>
        <w:t>的会计师事务所进行验资，出具验资报告。出具的验资报告由参加验资的</w:t>
      </w:r>
      <w:r>
        <w:rPr>
          <w:rFonts w:ascii="宋体" w:hAnsi="宋体"/>
          <w:sz w:val="24"/>
        </w:rPr>
        <w:t>2名或2名以上中国注册会计师签字方为有效。</w:t>
      </w:r>
    </w:p>
    <w:p w:rsidR="005553D6" w:rsidRDefault="00FA690A">
      <w:pPr>
        <w:spacing w:line="360" w:lineRule="auto"/>
        <w:ind w:firstLineChars="200" w:firstLine="480"/>
        <w:contextualSpacing/>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r>
        <w:rPr>
          <w:rFonts w:ascii="宋体" w:hAnsi="宋体" w:hint="eastAsia"/>
          <w:sz w:val="24"/>
        </w:rPr>
        <w:t>，基金托管人应提供充分协助。</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（三）基金资金账户的开立和管理</w:t>
      </w:r>
    </w:p>
    <w:p w:rsidR="005553D6" w:rsidRDefault="00FA690A">
      <w:pPr>
        <w:spacing w:line="360" w:lineRule="auto"/>
        <w:ind w:firstLineChars="200" w:firstLine="480"/>
        <w:contextualSpacing/>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东方阿尔法兴科一年持有期混合型证券投资基金</w:t>
      </w:r>
      <w:r>
        <w:rPr>
          <w:rFonts w:ascii="宋体" w:hAnsi="宋体" w:hint="eastAsia"/>
          <w:sz w:val="24"/>
        </w:rPr>
        <w:t>”，预留印鉴为基金托管人印章。</w:t>
      </w:r>
    </w:p>
    <w:p w:rsidR="005553D6" w:rsidRDefault="00FA690A">
      <w:pPr>
        <w:spacing w:line="360" w:lineRule="auto"/>
        <w:ind w:firstLineChars="200" w:firstLine="480"/>
        <w:contextualSpacing/>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rsidR="005553D6" w:rsidRDefault="00FA690A">
      <w:pPr>
        <w:spacing w:line="360" w:lineRule="auto"/>
        <w:ind w:firstLineChars="200" w:firstLine="480"/>
        <w:contextualSpacing/>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资金交收</w:t>
      </w:r>
      <w:r>
        <w:rPr>
          <w:rFonts w:ascii="宋体" w:hAnsi="宋体" w:hint="eastAsia"/>
          <w:sz w:val="24"/>
        </w:rPr>
        <w:t>账户的开立和管理</w:t>
      </w:r>
    </w:p>
    <w:p w:rsidR="005553D6" w:rsidRDefault="00FA690A">
      <w:pPr>
        <w:spacing w:line="360" w:lineRule="auto"/>
        <w:ind w:firstLineChars="200" w:firstLine="480"/>
        <w:contextualSpacing/>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rsidR="005553D6" w:rsidRDefault="00FA690A">
      <w:pPr>
        <w:spacing w:line="360" w:lineRule="auto"/>
        <w:ind w:firstLineChars="200" w:firstLine="480"/>
        <w:contextualSpacing/>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553D6" w:rsidRDefault="00FA690A">
      <w:pPr>
        <w:spacing w:line="360" w:lineRule="auto"/>
        <w:ind w:firstLineChars="200" w:firstLine="480"/>
        <w:contextualSpacing/>
        <w:rPr>
          <w:rFonts w:ascii="宋体" w:hAnsi="宋体"/>
          <w:sz w:val="24"/>
        </w:rPr>
      </w:pPr>
      <w:r>
        <w:rPr>
          <w:rFonts w:ascii="宋体" w:hAnsi="宋体"/>
          <w:sz w:val="24"/>
        </w:rPr>
        <w:t>3.基金证券账户的开立和证券账户卡的保管由基金托管人负责，账户资产的管理和运用由基金管理人负责。</w:t>
      </w:r>
    </w:p>
    <w:p w:rsidR="005553D6" w:rsidRDefault="00FA690A">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财产</w:t>
      </w:r>
      <w:r>
        <w:rPr>
          <w:rFonts w:ascii="宋体" w:hAnsi="宋体" w:hint="eastAsia"/>
          <w:sz w:val="24"/>
        </w:rPr>
        <w:t>证券</w:t>
      </w:r>
      <w:r>
        <w:rPr>
          <w:rFonts w:ascii="宋体" w:hAnsi="宋体" w:cs="Arial" w:hint="eastAsia"/>
          <w:sz w:val="24"/>
        </w:rPr>
        <w:t>交易结算资金的存管、记载交易结算资金的变动明细以及场内证券交易清算，并与基金托管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rsidR="005553D6" w:rsidRDefault="00FA690A">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基金托管人和基金管理人不得出借或转让证券账户、证券交易资金账户，亦不得使用证券账户或证券交易资金账户进行本基金业务以外的活动。本基金通过证券经纪机构进行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rsidR="005553D6" w:rsidRDefault="00FA690A">
      <w:pPr>
        <w:spacing w:line="360" w:lineRule="auto"/>
        <w:ind w:firstLineChars="200" w:firstLine="480"/>
        <w:contextualSpacing/>
        <w:rPr>
          <w:rFonts w:ascii="宋体" w:hAnsi="宋体" w:cs="Arial"/>
          <w:sz w:val="24"/>
        </w:rPr>
      </w:pPr>
      <w:r>
        <w:rPr>
          <w:rFonts w:ascii="宋体" w:hAnsi="宋体" w:cs="Arial"/>
          <w:sz w:val="24"/>
        </w:rPr>
        <w:lastRenderedPageBreak/>
        <w:t>5.基金管理人承诺证券交易资金账户为主资金账户，不开立任何辅助资金账户；不为证券交易资金账户另行开立银行托管账户以外的其他银行账户。</w:t>
      </w:r>
    </w:p>
    <w:p w:rsidR="005553D6" w:rsidRDefault="00FA690A">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5553D6" w:rsidRDefault="00FA690A">
      <w:pPr>
        <w:spacing w:line="360" w:lineRule="auto"/>
        <w:ind w:firstLineChars="200" w:firstLine="480"/>
        <w:contextualSpacing/>
        <w:rPr>
          <w:rFonts w:ascii="宋体" w:hAnsi="宋体"/>
          <w:sz w:val="24"/>
        </w:rPr>
      </w:pPr>
      <w:r>
        <w:rPr>
          <w:rFonts w:ascii="宋体" w:hAnsi="宋体" w:hint="eastAsia"/>
          <w:sz w:val="24"/>
        </w:rPr>
        <w:t>（六）其他账户的开立和管理</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rsidR="005553D6" w:rsidRDefault="00FA690A">
      <w:pPr>
        <w:spacing w:line="360" w:lineRule="auto"/>
        <w:ind w:firstLineChars="200" w:firstLine="480"/>
        <w:contextualSpacing/>
        <w:rPr>
          <w:rFonts w:ascii="宋体" w:hAnsi="宋体"/>
          <w:sz w:val="24"/>
        </w:rPr>
      </w:pPr>
      <w:r>
        <w:rPr>
          <w:rFonts w:ascii="宋体" w:hAnsi="宋体"/>
          <w:sz w:val="24"/>
        </w:rPr>
        <w:t>3.法律法规等有关规定对相关账户的开立和管理另有规定的，从其规定办理。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（八）与基金财产有关的重大合同的保管</w:t>
      </w:r>
    </w:p>
    <w:p w:rsidR="005553D6" w:rsidRDefault="00FA690A">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5553D6" w:rsidRDefault="005553D6">
      <w:pPr>
        <w:spacing w:line="360" w:lineRule="auto"/>
        <w:ind w:firstLineChars="200" w:firstLine="480"/>
        <w:contextualSpacing/>
        <w:rPr>
          <w:rFonts w:ascii="宋体" w:hAnsi="宋体"/>
          <w:sz w:val="24"/>
        </w:rPr>
      </w:pPr>
    </w:p>
    <w:bookmarkEnd w:id="80"/>
    <w:p w:rsidR="005553D6" w:rsidRDefault="005553D6">
      <w:pPr>
        <w:spacing w:line="360" w:lineRule="auto"/>
        <w:ind w:firstLineChars="200" w:firstLine="480"/>
        <w:contextualSpacing/>
        <w:rPr>
          <w:rFonts w:ascii="宋体" w:hAnsi="宋体"/>
          <w:sz w:val="24"/>
        </w:rPr>
        <w:sectPr w:rsidR="005553D6">
          <w:footerReference w:type="default" r:id="rId64"/>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83" w:name="_Toc108512360"/>
      <w:bookmarkStart w:id="84" w:name="_Toc84133787"/>
      <w:bookmarkStart w:id="85" w:name="_Toc384992696"/>
      <w:bookmarkStart w:id="86" w:name="_Toc118774805"/>
      <w:bookmarkStart w:id="87" w:name="_Toc110765662"/>
      <w:bookmarkStart w:id="88" w:name="_Toc86726441"/>
      <w:bookmarkStart w:id="89" w:name="_Toc110761798"/>
      <w:bookmarkStart w:id="90" w:name="_Toc110830494"/>
      <w:bookmarkStart w:id="91" w:name="_Toc84234389"/>
      <w:bookmarkStart w:id="92" w:name="_Toc118972650"/>
      <w:bookmarkStart w:id="93" w:name="_Toc86727357"/>
      <w:bookmarkStart w:id="94" w:name="_Toc86223244"/>
      <w:bookmarkStart w:id="95" w:name="_Toc89163370"/>
      <w:bookmarkStart w:id="96" w:name="_Toc86737931"/>
      <w:bookmarkStart w:id="97" w:name="_Toc348082034"/>
      <w:bookmarkStart w:id="98" w:name="_Toc86204790"/>
      <w:bookmarkStart w:id="99" w:name="_Toc118212952"/>
      <w:bookmarkStart w:id="100" w:name="_Toc119402712"/>
      <w:bookmarkStart w:id="101" w:name="_Toc3276853"/>
      <w:bookmarkStart w:id="102" w:name="_Toc86649724"/>
      <w:bookmarkStart w:id="103" w:name="_Toc120435785"/>
      <w:bookmarkStart w:id="104" w:name="_Toc86225293"/>
      <w:bookmarkStart w:id="105" w:name="_Toc84234436"/>
      <w:bookmarkStart w:id="106" w:name="CLAUSE_34806e539a8f471b92f0dfa4de179c52"/>
      <w:r>
        <w:rPr>
          <w:rFonts w:ascii="宋体" w:eastAsia="宋体" w:hAnsi="宋体"/>
        </w:rPr>
        <w:lastRenderedPageBreak/>
        <w:t xml:space="preserve"> </w:t>
      </w:r>
      <w:bookmarkStart w:id="107" w:name="CTS_34806e539a8f471b92f0dfa4de179c52"/>
      <w:bookmarkEnd w:id="107"/>
      <w:r>
        <w:rPr>
          <w:rFonts w:ascii="宋体" w:eastAsia="宋体" w:hAnsi="宋体" w:hint="eastAsia"/>
        </w:rPr>
        <w:t>指令的发送、确认及执行</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Pr>
          <w:rFonts w:ascii="宋体" w:hAnsi="宋体" w:hint="eastAsia"/>
          <w:sz w:val="24"/>
        </w:rPr>
        <w:t>启用函应注明</w:t>
      </w:r>
      <w:proofErr w:type="gramEnd"/>
      <w:r>
        <w:rPr>
          <w:rFonts w:ascii="宋体" w:hAnsi="宋体" w:hint="eastAsia"/>
          <w:sz w:val="24"/>
        </w:rPr>
        <w:t>启用的业务类型、启用日期等。</w:t>
      </w:r>
      <w:proofErr w:type="gramStart"/>
      <w:r>
        <w:rPr>
          <w:rFonts w:ascii="宋体" w:hAnsi="宋体" w:hint="eastAsia"/>
          <w:sz w:val="24"/>
        </w:rPr>
        <w:t>启用函应加盖</w:t>
      </w:r>
      <w:proofErr w:type="gramEnd"/>
      <w:r>
        <w:rPr>
          <w:rFonts w:ascii="宋体" w:hAnsi="宋体" w:hint="eastAsia"/>
          <w:sz w:val="24"/>
        </w:rPr>
        <w:t>基金管理人公司公章。</w:t>
      </w:r>
    </w:p>
    <w:p w:rsidR="005553D6" w:rsidRDefault="00FA690A">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以授权通知载明的生效时间或通知基金托管人的</w:t>
      </w:r>
      <w:proofErr w:type="gramStart"/>
      <w:r>
        <w:rPr>
          <w:rFonts w:ascii="宋体" w:hAnsi="宋体" w:hint="eastAsia"/>
          <w:sz w:val="24"/>
        </w:rPr>
        <w:t>时间孰晚为</w:t>
      </w:r>
      <w:proofErr w:type="gramEnd"/>
      <w:r>
        <w:rPr>
          <w:rFonts w:ascii="宋体" w:hAnsi="宋体" w:hint="eastAsia"/>
          <w:sz w:val="24"/>
        </w:rPr>
        <w:t>生效时间，未标注生效时间的以授权通知的落款时间为生效时间。基金管理人在此后三个工作日内将授权通知的正本送交基金托管人。授权通知书正本内容与基金托管人收到的传真不一致的，以基金托管人收到的传真为准。</w:t>
      </w:r>
    </w:p>
    <w:p w:rsidR="005553D6" w:rsidRDefault="00FA690A">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（二）指令的内容</w:t>
      </w:r>
    </w:p>
    <w:p w:rsidR="005553D6" w:rsidRDefault="00FA690A">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w:t>
      </w:r>
      <w:r>
        <w:rPr>
          <w:rFonts w:ascii="宋体" w:hAnsi="宋体" w:hint="eastAsia"/>
          <w:sz w:val="24"/>
        </w:rPr>
        <w:lastRenderedPageBreak/>
        <w:t>签章。基金管理人发给基金托管人的资金划拨类指令应写明款项事由、时间、金额、出款和收款账户信息等。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rsidR="005553D6" w:rsidRDefault="00FA690A">
      <w:pPr>
        <w:spacing w:line="360" w:lineRule="auto"/>
        <w:ind w:firstLineChars="200" w:firstLine="480"/>
        <w:contextualSpacing/>
        <w:rPr>
          <w:rFonts w:ascii="宋体" w:hAnsi="宋体"/>
          <w:sz w:val="24"/>
        </w:rPr>
      </w:pPr>
      <w:r>
        <w:rPr>
          <w:rFonts w:ascii="宋体" w:hAnsi="宋体"/>
          <w:sz w:val="24"/>
        </w:rPr>
        <w:t>1.指令的发送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对于新股、新债申购等网下公开发行业务，基金管理人应于网下申购缴款日的</w:t>
      </w:r>
      <w:r>
        <w:rPr>
          <w:rFonts w:ascii="宋体" w:hAnsi="宋体"/>
          <w:sz w:val="24"/>
        </w:rPr>
        <w:t>10:00前将指令发送给</w:t>
      </w:r>
      <w:r>
        <w:rPr>
          <w:rFonts w:ascii="宋体" w:hAnsi="宋体" w:hint="eastAsia"/>
          <w:sz w:val="24"/>
        </w:rPr>
        <w:t>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对于期货</w:t>
      </w:r>
      <w:proofErr w:type="gramStart"/>
      <w:r>
        <w:rPr>
          <w:rFonts w:ascii="宋体" w:hAnsi="宋体" w:hint="eastAsia"/>
          <w:sz w:val="24"/>
        </w:rPr>
        <w:t>出入金</w:t>
      </w:r>
      <w:proofErr w:type="gramEnd"/>
      <w:r>
        <w:rPr>
          <w:rFonts w:ascii="宋体" w:hAnsi="宋体" w:hint="eastAsia"/>
          <w:sz w:val="24"/>
        </w:rPr>
        <w:t>业务，基金管理人应于交易日期货</w:t>
      </w:r>
      <w:proofErr w:type="gramStart"/>
      <w:r>
        <w:rPr>
          <w:rFonts w:ascii="宋体" w:hAnsi="宋体" w:hint="eastAsia"/>
          <w:sz w:val="24"/>
        </w:rPr>
        <w:t>出入金</w:t>
      </w:r>
      <w:proofErr w:type="gramEnd"/>
      <w:r>
        <w:rPr>
          <w:rFonts w:ascii="宋体" w:hAnsi="宋体" w:hint="eastAsia"/>
          <w:sz w:val="24"/>
        </w:rPr>
        <w:t>截止时间前</w:t>
      </w:r>
      <w:r>
        <w:rPr>
          <w:rFonts w:ascii="宋体" w:hAnsi="宋体"/>
          <w:sz w:val="24"/>
        </w:rPr>
        <w:t>2小时将期货</w:t>
      </w:r>
      <w:proofErr w:type="gramStart"/>
      <w:r>
        <w:rPr>
          <w:rFonts w:ascii="宋体" w:hAnsi="宋体"/>
          <w:sz w:val="24"/>
        </w:rPr>
        <w:t>出入金</w:t>
      </w:r>
      <w:proofErr w:type="gramEnd"/>
      <w:r>
        <w:rPr>
          <w:rFonts w:ascii="宋体" w:hAnsi="宋体"/>
          <w:sz w:val="24"/>
        </w:rPr>
        <w:t>指令发送至</w:t>
      </w:r>
      <w:r>
        <w:rPr>
          <w:rFonts w:ascii="宋体" w:hAnsi="宋体" w:hint="eastAsia"/>
          <w:sz w:val="24"/>
        </w:rPr>
        <w:t>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对于场内业务，基金管理人在运用基金财产时，开展场内证券交易前，基金管理人通过基金托管账户与证券资金账户已建立的第三方存管系统在基金</w:t>
      </w:r>
      <w:proofErr w:type="gramStart"/>
      <w:r>
        <w:rPr>
          <w:rFonts w:ascii="宋体" w:hAnsi="宋体" w:hint="eastAsia"/>
          <w:sz w:val="24"/>
        </w:rPr>
        <w:t>托管户</w:t>
      </w:r>
      <w:proofErr w:type="gramEnd"/>
      <w:r>
        <w:rPr>
          <w:rFonts w:ascii="宋体" w:hAnsi="宋体" w:hint="eastAsia"/>
          <w:sz w:val="24"/>
        </w:rPr>
        <w:t>与证券资金账户之间划款，</w:t>
      </w:r>
      <w:proofErr w:type="gramStart"/>
      <w:r>
        <w:rPr>
          <w:rFonts w:ascii="宋体" w:hAnsi="宋体" w:hint="eastAsia"/>
          <w:sz w:val="24"/>
        </w:rPr>
        <w:t>即银证互</w:t>
      </w:r>
      <w:proofErr w:type="gramEnd"/>
      <w:r>
        <w:rPr>
          <w:rFonts w:ascii="宋体" w:hAnsi="宋体" w:hint="eastAsia"/>
          <w:sz w:val="24"/>
        </w:rPr>
        <w:t>转。</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对于银行间业务，如需发送银行间成交单或者划款指令的，基金管理人应于交易日</w:t>
      </w:r>
      <w:r>
        <w:rPr>
          <w:rFonts w:ascii="宋体" w:hAnsi="宋体"/>
          <w:sz w:val="24"/>
        </w:rPr>
        <w:t>15:00前将银行间成交单及相关划款指令发送至</w:t>
      </w:r>
      <w:r>
        <w:rPr>
          <w:rFonts w:ascii="宋体" w:hAnsi="宋体" w:hint="eastAsia"/>
          <w:sz w:val="24"/>
        </w:rPr>
        <w:t>基金托管人。基金管理人应与基金托管人确认基金托管人已完成证书和权限设置后方可进行本基金的银行间交易。</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对于指定时间出款的交易指令，基金管理人应提前</w:t>
      </w:r>
      <w:r>
        <w:rPr>
          <w:rFonts w:ascii="宋体" w:hAnsi="宋体"/>
          <w:sz w:val="24"/>
        </w:rPr>
        <w:t>2小时将指令发送至</w:t>
      </w:r>
      <w:r>
        <w:rPr>
          <w:rFonts w:ascii="宋体" w:hAnsi="宋体" w:hint="eastAsia"/>
          <w:sz w:val="24"/>
        </w:rPr>
        <w:t>基金托管人；对于基金管理人于</w:t>
      </w:r>
      <w:r>
        <w:rPr>
          <w:rFonts w:ascii="宋体" w:hAnsi="宋体"/>
          <w:sz w:val="24"/>
        </w:rPr>
        <w:t>15:00以后发送至</w:t>
      </w:r>
      <w:r>
        <w:rPr>
          <w:rFonts w:ascii="宋体" w:hAnsi="宋体" w:hint="eastAsia"/>
          <w:sz w:val="24"/>
        </w:rPr>
        <w:t>基金托管人的指令，基金托管人不保证当日出款。</w:t>
      </w:r>
    </w:p>
    <w:p w:rsidR="005553D6" w:rsidRDefault="00FA690A">
      <w:pPr>
        <w:spacing w:line="360" w:lineRule="auto"/>
        <w:ind w:firstLineChars="200" w:firstLine="480"/>
        <w:contextualSpacing/>
        <w:rPr>
          <w:rFonts w:ascii="宋体" w:hAnsi="宋体"/>
          <w:sz w:val="24"/>
        </w:rPr>
      </w:pPr>
      <w:r>
        <w:rPr>
          <w:rFonts w:ascii="宋体" w:hAnsi="宋体"/>
          <w:sz w:val="24"/>
        </w:rPr>
        <w:t>2.指令的确认</w:t>
      </w:r>
      <w:r>
        <w:rPr>
          <w:rFonts w:ascii="宋体" w:hAnsi="宋体" w:hint="eastAsia"/>
          <w:sz w:val="24"/>
        </w:rPr>
        <w:t>：基金管理人有义务在发送指令后与基金托管人进行电话确认。对于依照“授权通知”发出的指令，基金管理人不得否认其效力。</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lastRenderedPageBreak/>
        <w:t>非银期转账</w:t>
      </w:r>
      <w:proofErr w:type="gramEnd"/>
      <w:r>
        <w:rPr>
          <w:rFonts w:ascii="宋体" w:hAnsi="宋体" w:hint="eastAsia"/>
          <w:sz w:val="24"/>
        </w:rPr>
        <w:t>手工出入金。</w:t>
      </w:r>
    </w:p>
    <w:p w:rsidR="005553D6" w:rsidRDefault="00FA690A">
      <w:pPr>
        <w:autoSpaceDE w:val="0"/>
        <w:autoSpaceDN w:val="0"/>
        <w:spacing w:line="360" w:lineRule="auto"/>
        <w:ind w:firstLineChars="200" w:firstLine="480"/>
        <w:contextualSpacing/>
        <w:rPr>
          <w:rFonts w:ascii="宋体" w:hAnsi="宋体"/>
          <w:sz w:val="24"/>
        </w:rPr>
      </w:pPr>
      <w:proofErr w:type="gramStart"/>
      <w:r>
        <w:rPr>
          <w:rFonts w:ascii="宋体" w:hAnsi="宋体" w:hint="eastAsia"/>
          <w:sz w:val="24"/>
        </w:rPr>
        <w:t>非银期转账</w:t>
      </w:r>
      <w:proofErr w:type="gramEnd"/>
      <w:r>
        <w:rPr>
          <w:rFonts w:ascii="宋体" w:hAnsi="宋体" w:hint="eastAsia"/>
          <w:sz w:val="24"/>
        </w:rPr>
        <w:t>手工出入金，入金由基金托管人依据基金管理人提供的划款指令通过结算银行的</w:t>
      </w:r>
      <w:proofErr w:type="gramStart"/>
      <w:r>
        <w:rPr>
          <w:rFonts w:ascii="宋体" w:hAnsi="宋体" w:hint="eastAsia"/>
          <w:sz w:val="24"/>
        </w:rPr>
        <w:t>网银系统划往</w:t>
      </w:r>
      <w:proofErr w:type="gramEnd"/>
      <w:r>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Pr>
          <w:rFonts w:ascii="宋体" w:hAnsi="宋体" w:hint="eastAsia"/>
          <w:sz w:val="24"/>
        </w:rPr>
        <w:t>网银系统划往基金</w:t>
      </w:r>
      <w:proofErr w:type="gramEnd"/>
      <w:r>
        <w:rPr>
          <w:rFonts w:ascii="宋体" w:hAnsi="宋体" w:hint="eastAsia"/>
          <w:sz w:val="24"/>
        </w:rPr>
        <w:t>托管账户。</w:t>
      </w:r>
    </w:p>
    <w:p w:rsidR="005553D6" w:rsidRDefault="00FA690A">
      <w:pPr>
        <w:spacing w:line="360" w:lineRule="auto"/>
        <w:ind w:firstLineChars="200" w:firstLine="480"/>
        <w:contextualSpacing/>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rsidR="005553D6" w:rsidRDefault="00FA690A">
      <w:pPr>
        <w:spacing w:line="360" w:lineRule="auto"/>
        <w:ind w:firstLineChars="200" w:firstLine="480"/>
        <w:contextualSpacing/>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w:t>
      </w:r>
      <w:r>
        <w:rPr>
          <w:rFonts w:ascii="宋体" w:hAnsi="宋体"/>
          <w:sz w:val="24"/>
        </w:rPr>
        <w:t>“废”等字样</w:t>
      </w:r>
      <w:r>
        <w:rPr>
          <w:rFonts w:ascii="宋体" w:hAnsi="宋体" w:hint="eastAsia"/>
          <w:sz w:val="24"/>
        </w:rPr>
        <w:t>并加盖预留印鉴及被授权人签章后传真给基金托管人，并电话通知基金托管人。</w:t>
      </w:r>
    </w:p>
    <w:p w:rsidR="005553D6" w:rsidRDefault="00FA690A">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.基金管理人发送错误指令的情形包括指令发送人员无权或超越权限发送指令，指令不能辨识或要素不全导致无法执行等情形。</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w:t>
      </w:r>
      <w:r>
        <w:rPr>
          <w:rFonts w:ascii="宋体" w:hAnsi="宋体"/>
          <w:sz w:val="24"/>
        </w:rPr>
        <w:t>收</w:t>
      </w:r>
      <w:r>
        <w:rPr>
          <w:rFonts w:ascii="宋体" w:hAnsi="宋体" w:hint="eastAsia"/>
          <w:sz w:val="24"/>
        </w:rPr>
        <w:t>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（五）基金托管人依照法律法规暂缓、拒绝执行指令的情形和处理程序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（六）基金托管人未按照基金管理人指令执行的处理方法</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对于基金管理人的有效指令和通知，除非违反法律法规、基金合同、托管协议或具有第（四）项所述错误，基金托管人不得无故拒绝或拖延执行，否则应就基金或基金管理人由此产生的损失负赔偿责任。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（七）更换被授权人员的程序</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w:t>
      </w:r>
      <w:r>
        <w:rPr>
          <w:rFonts w:ascii="宋体" w:hAnsi="宋体" w:hint="eastAsia"/>
          <w:sz w:val="24"/>
        </w:rPr>
        <w:lastRenderedPageBreak/>
        <w:t>存在事实上未经授权、欺诈、伪造或未能及时提供授权通知等情形，基金托管人不承担因执行有关指令或拒绝执行有关指令而给基金管理人或基金资产或任何第三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的损失，全部责任由基金管理人承担，但基金托管人未按合同约定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bookmarkEnd w:id="106"/>
    <w:p w:rsidR="005553D6" w:rsidRDefault="005553D6">
      <w:pPr>
        <w:spacing w:line="360" w:lineRule="auto"/>
        <w:ind w:firstLineChars="200" w:firstLine="480"/>
        <w:contextualSpacing/>
        <w:rPr>
          <w:rFonts w:ascii="宋体" w:hAnsi="宋体"/>
          <w:sz w:val="24"/>
        </w:rPr>
        <w:sectPr w:rsidR="005553D6">
          <w:footerReference w:type="default" r:id="rId65"/>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08" w:name="_Toc110765663"/>
      <w:bookmarkStart w:id="109" w:name="_Toc118774806"/>
      <w:bookmarkStart w:id="110" w:name="_Toc120435786"/>
      <w:bookmarkStart w:id="111" w:name="_Toc86223245"/>
      <w:bookmarkStart w:id="112" w:name="_Toc86204791"/>
      <w:bookmarkStart w:id="113" w:name="_Toc110830495"/>
      <w:bookmarkStart w:id="114" w:name="_Toc348082035"/>
      <w:bookmarkStart w:id="115" w:name="_Toc384992697"/>
      <w:bookmarkStart w:id="116" w:name="_Toc84234390"/>
      <w:bookmarkStart w:id="117" w:name="_Toc89163371"/>
      <w:bookmarkStart w:id="118" w:name="_Toc119402713"/>
      <w:bookmarkStart w:id="119" w:name="_Toc86737932"/>
      <w:bookmarkStart w:id="120" w:name="_Toc110761799"/>
      <w:bookmarkStart w:id="121" w:name="_Toc84234437"/>
      <w:bookmarkStart w:id="122" w:name="_Toc86727358"/>
      <w:bookmarkStart w:id="123" w:name="_Toc118972651"/>
      <w:bookmarkStart w:id="124" w:name="_Toc3276854"/>
      <w:bookmarkStart w:id="125" w:name="_Toc84133788"/>
      <w:bookmarkStart w:id="126" w:name="_Toc118212953"/>
      <w:bookmarkStart w:id="127" w:name="_Toc108512361"/>
      <w:bookmarkStart w:id="128" w:name="_Toc86726442"/>
      <w:bookmarkStart w:id="129" w:name="_Toc86225294"/>
      <w:bookmarkStart w:id="130" w:name="_Toc86649725"/>
      <w:bookmarkStart w:id="131" w:name="CLAUSE_051bfcee3a0d41e3adef2ce664b42c36"/>
      <w:r>
        <w:rPr>
          <w:rFonts w:ascii="宋体" w:eastAsia="宋体" w:hAnsi="宋体"/>
        </w:rPr>
        <w:lastRenderedPageBreak/>
        <w:t xml:space="preserve"> </w:t>
      </w:r>
      <w:bookmarkStart w:id="132" w:name="CTS_051bfcee3a0d41e3adef2ce664b42c36"/>
      <w:bookmarkEnd w:id="132"/>
      <w:r>
        <w:rPr>
          <w:rFonts w:ascii="宋体" w:eastAsia="宋体" w:hAnsi="宋体" w:hint="eastAsia"/>
        </w:rPr>
        <w:t>交易及清算交收安排</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5553D6" w:rsidRDefault="00FA690A">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w:t>
      </w:r>
      <w:r>
        <w:rPr>
          <w:rFonts w:ascii="宋体" w:hAnsi="宋体" w:cs="Arial" w:hint="eastAsia"/>
          <w:sz w:val="24"/>
        </w:rPr>
        <w:t>应制</w:t>
      </w:r>
      <w:proofErr w:type="gramStart"/>
      <w:r>
        <w:rPr>
          <w:rFonts w:ascii="宋体" w:hAnsi="宋体" w:cs="Arial" w:hint="eastAsia"/>
          <w:sz w:val="24"/>
        </w:rPr>
        <w:t>定</w:t>
      </w:r>
      <w:r>
        <w:rPr>
          <w:rFonts w:ascii="宋体" w:hAnsi="宋体" w:hint="eastAsia"/>
          <w:sz w:val="24"/>
        </w:rPr>
        <w:t>选择</w:t>
      </w:r>
      <w:proofErr w:type="gramEnd"/>
      <w:r>
        <w:rPr>
          <w:rFonts w:ascii="宋体" w:hAnsi="宋体" w:hint="eastAsia"/>
          <w:sz w:val="24"/>
        </w:rPr>
        <w:t>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经纪</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基金管理人所选择的期货公司负责办理委托资产的期货交易的清算交割。</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rsidR="005553D6" w:rsidRDefault="00FA690A">
      <w:pPr>
        <w:spacing w:line="360" w:lineRule="auto"/>
        <w:ind w:firstLineChars="200" w:firstLine="480"/>
        <w:contextualSpacing/>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17：00之前。因交易所原因而造成数据延迟发送的，基金管理人应及时通知基金托管人，并在恢复后告知期货公司立即发送至基金托管人，并电话确认数据接收状况。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基金管理人应责成其选择的期货公司对发送的数据的准确性、完整性、真实性负责。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rsidR="005553D6" w:rsidRDefault="00FA690A">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协议，用以具体明确三方在证券交易资金结算业务中的责任。</w:t>
      </w:r>
      <w:r>
        <w:rPr>
          <w:rFonts w:ascii="宋体" w:hAnsi="宋体" w:cs="Tahoma"/>
          <w:color w:val="000000"/>
          <w:sz w:val="24"/>
        </w:rPr>
        <w:t xml:space="preserve"> </w:t>
      </w:r>
    </w:p>
    <w:p w:rsidR="005553D6" w:rsidRDefault="00FA690A">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rsidR="005553D6" w:rsidRDefault="00FA690A">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rsidR="005553D6" w:rsidRDefault="00FA690A">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w:t>
      </w:r>
      <w:proofErr w:type="gramStart"/>
      <w:r>
        <w:rPr>
          <w:rFonts w:ascii="宋体" w:hAnsi="宋体" w:cs="Tahoma" w:hint="eastAsia"/>
          <w:color w:val="000000"/>
          <w:sz w:val="24"/>
        </w:rPr>
        <w:t>非交易</w:t>
      </w:r>
      <w:proofErr w:type="gramEnd"/>
      <w:r>
        <w:rPr>
          <w:rFonts w:ascii="宋体" w:hAnsi="宋体" w:cs="Tahoma" w:hint="eastAsia"/>
          <w:color w:val="000000"/>
          <w:sz w:val="24"/>
        </w:rPr>
        <w:t>涉及的证券资金结算业务，并承担由证券经纪机构原因造成的正常结算、交收业务无法完成的责任。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rsidR="005553D6" w:rsidRDefault="00FA690A">
      <w:pPr>
        <w:spacing w:line="360" w:lineRule="auto"/>
        <w:ind w:firstLineChars="200" w:firstLine="480"/>
        <w:contextualSpacing/>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rsidR="005553D6" w:rsidRDefault="00FA690A">
      <w:pPr>
        <w:spacing w:line="360" w:lineRule="auto"/>
        <w:ind w:firstLineChars="200" w:firstLine="480"/>
        <w:contextualSpacing/>
        <w:rPr>
          <w:rFonts w:ascii="宋体" w:hAnsi="宋体"/>
          <w:sz w:val="24"/>
        </w:rPr>
      </w:pPr>
      <w:r>
        <w:rPr>
          <w:rFonts w:ascii="宋体" w:hAnsi="宋体"/>
          <w:sz w:val="24"/>
        </w:rPr>
        <w:t>2.基金管理人应将每个开放日的申购、赎回、转换开放式基金的数据传送给基金托管人。基金管理人应对传递的申购、赎回、转换开放式基金的数据真实性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rsidR="005553D6" w:rsidRDefault="00FA690A">
      <w:pPr>
        <w:spacing w:line="360" w:lineRule="auto"/>
        <w:ind w:firstLineChars="200" w:firstLine="480"/>
        <w:contextualSpacing/>
        <w:rPr>
          <w:rFonts w:ascii="宋体" w:hAnsi="宋体"/>
          <w:sz w:val="24"/>
        </w:rPr>
      </w:pPr>
      <w:r>
        <w:rPr>
          <w:rFonts w:ascii="宋体" w:hAnsi="宋体"/>
          <w:sz w:val="24"/>
        </w:rPr>
        <w:t>3.基金管理人应保证本基金（或本基金管理人委托）的</w:t>
      </w:r>
      <w:r>
        <w:rPr>
          <w:rFonts w:ascii="宋体" w:hAnsi="宋体" w:hint="eastAsia"/>
          <w:sz w:val="24"/>
        </w:rPr>
        <w:t>注册登记机构每个工作日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rsidR="005553D6" w:rsidRDefault="00FA690A">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5553D6" w:rsidRDefault="00FA690A">
      <w:pPr>
        <w:spacing w:line="360" w:lineRule="auto"/>
        <w:ind w:firstLineChars="200" w:firstLine="480"/>
        <w:contextualSpacing/>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rsidR="005553D6" w:rsidRDefault="00FA690A">
      <w:pPr>
        <w:spacing w:line="360" w:lineRule="auto"/>
        <w:ind w:firstLineChars="200" w:firstLine="480"/>
        <w:contextualSpacing/>
        <w:rPr>
          <w:rFonts w:ascii="宋体" w:hAnsi="宋体"/>
          <w:sz w:val="24"/>
        </w:rPr>
      </w:pPr>
      <w:r>
        <w:rPr>
          <w:rFonts w:ascii="宋体" w:hAnsi="宋体"/>
          <w:sz w:val="24"/>
        </w:rPr>
        <w:t>6.关于清算专用账户的设立和管理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rsidR="005553D6" w:rsidRDefault="00FA690A">
      <w:pPr>
        <w:spacing w:line="360" w:lineRule="auto"/>
        <w:ind w:firstLineChars="200" w:firstLine="480"/>
        <w:contextualSpacing/>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人应负责向有关当事人追偿基金的损失，基金托管人应提供充分协助。</w:t>
      </w:r>
    </w:p>
    <w:p w:rsidR="005553D6" w:rsidRDefault="00FA690A">
      <w:pPr>
        <w:spacing w:line="360" w:lineRule="auto"/>
        <w:ind w:firstLineChars="200" w:firstLine="480"/>
        <w:contextualSpacing/>
        <w:rPr>
          <w:rFonts w:ascii="宋体" w:hAnsi="宋体"/>
          <w:sz w:val="24"/>
        </w:rPr>
      </w:pPr>
      <w:r>
        <w:rPr>
          <w:rFonts w:ascii="宋体" w:hAnsi="宋体"/>
          <w:sz w:val="24"/>
        </w:rPr>
        <w:t>8.赎回</w:t>
      </w:r>
      <w:r>
        <w:rPr>
          <w:rFonts w:ascii="宋体" w:hAnsi="宋体" w:hint="eastAsia"/>
          <w:sz w:val="24"/>
        </w:rPr>
        <w:t>、转换资金划付规定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但应及时通知基金管理人。</w:t>
      </w:r>
    </w:p>
    <w:p w:rsidR="005553D6" w:rsidRDefault="00FA690A">
      <w:pPr>
        <w:spacing w:line="360" w:lineRule="auto"/>
        <w:ind w:firstLineChars="200" w:firstLine="480"/>
        <w:contextualSpacing/>
        <w:rPr>
          <w:rFonts w:ascii="宋体" w:hAnsi="宋体"/>
          <w:sz w:val="24"/>
        </w:rPr>
      </w:pPr>
      <w:r>
        <w:rPr>
          <w:rFonts w:ascii="宋体" w:hAnsi="宋体"/>
          <w:sz w:val="24"/>
        </w:rPr>
        <w:t>9.资金指令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（四）资金净额结算</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hint="eastAsia"/>
          <w:sz w:val="24"/>
        </w:rPr>
        <w:t>交收日</w:t>
      </w:r>
      <w:proofErr w:type="gramEnd"/>
      <w:r>
        <w:rPr>
          <w:rFonts w:ascii="宋体" w:hAnsi="宋体"/>
          <w:sz w:val="24"/>
        </w:rPr>
        <w:t>15:00</w:t>
      </w:r>
      <w:r>
        <w:rPr>
          <w:rFonts w:ascii="宋体" w:hAnsi="宋体" w:hint="eastAsia"/>
          <w:sz w:val="24"/>
        </w:rPr>
        <w:t>时之前从基金清算账户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p>
    <w:p w:rsidR="005553D6" w:rsidRDefault="00FA690A">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（五）基金现金分红</w:t>
      </w:r>
    </w:p>
    <w:p w:rsidR="005553D6" w:rsidRDefault="00FA690A">
      <w:pPr>
        <w:spacing w:line="360" w:lineRule="auto"/>
        <w:ind w:firstLineChars="200" w:firstLine="480"/>
        <w:contextualSpacing/>
        <w:rPr>
          <w:rFonts w:ascii="宋体" w:hAnsi="宋体"/>
          <w:sz w:val="24"/>
        </w:rPr>
      </w:pPr>
      <w:r>
        <w:rPr>
          <w:rFonts w:ascii="宋体" w:hAnsi="宋体"/>
          <w:sz w:val="24"/>
        </w:rPr>
        <w:t>1.基金管理人确定分红方案通知基金托管人，双方核定后依照《信息披露办法》的有关规定在中国证监会</w:t>
      </w:r>
      <w:r>
        <w:rPr>
          <w:rFonts w:ascii="宋体" w:hAnsi="宋体" w:hint="eastAsia"/>
          <w:sz w:val="24"/>
        </w:rPr>
        <w:t>规定媒介上公告。</w:t>
      </w:r>
    </w:p>
    <w:p w:rsidR="005553D6" w:rsidRDefault="00FA690A">
      <w:pPr>
        <w:spacing w:line="360" w:lineRule="auto"/>
        <w:ind w:firstLineChars="200" w:firstLine="480"/>
        <w:contextualSpacing/>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w:t>
      </w:r>
      <w:r>
        <w:rPr>
          <w:rFonts w:ascii="宋体" w:hAnsi="宋体" w:hint="eastAsia"/>
          <w:sz w:val="24"/>
        </w:rPr>
        <w:lastRenderedPageBreak/>
        <w:t>往基金</w:t>
      </w:r>
      <w:proofErr w:type="gramEnd"/>
      <w:r>
        <w:rPr>
          <w:rFonts w:ascii="宋体" w:hAnsi="宋体" w:hint="eastAsia"/>
          <w:sz w:val="24"/>
        </w:rPr>
        <w:t>清算账户。</w:t>
      </w:r>
    </w:p>
    <w:p w:rsidR="005553D6" w:rsidRDefault="00FA690A">
      <w:pPr>
        <w:spacing w:line="360" w:lineRule="auto"/>
        <w:ind w:firstLineChars="200" w:firstLine="480"/>
        <w:contextualSpacing/>
        <w:rPr>
          <w:rFonts w:ascii="宋体" w:hAnsi="宋体"/>
          <w:sz w:val="24"/>
        </w:rPr>
      </w:pPr>
      <w:r>
        <w:rPr>
          <w:rFonts w:ascii="宋体" w:hAnsi="宋体"/>
          <w:sz w:val="24"/>
        </w:rPr>
        <w:t>3.基金管理人在下达指令时，应给基金托管人留出必需的划款时间。</w:t>
      </w:r>
    </w:p>
    <w:p w:rsidR="005553D6" w:rsidRDefault="005553D6">
      <w:pPr>
        <w:spacing w:line="360" w:lineRule="auto"/>
        <w:ind w:firstLineChars="200" w:firstLine="480"/>
        <w:contextualSpacing/>
        <w:rPr>
          <w:rFonts w:ascii="宋体" w:hAnsi="宋体"/>
          <w:sz w:val="24"/>
        </w:rPr>
      </w:pPr>
    </w:p>
    <w:p w:rsidR="005553D6" w:rsidRDefault="005553D6">
      <w:pPr>
        <w:spacing w:line="360" w:lineRule="auto"/>
        <w:ind w:firstLineChars="200" w:firstLine="480"/>
        <w:contextualSpacing/>
        <w:rPr>
          <w:rFonts w:ascii="宋体" w:hAnsi="宋体"/>
          <w:sz w:val="24"/>
        </w:rPr>
      </w:pPr>
    </w:p>
    <w:bookmarkEnd w:id="131"/>
    <w:p w:rsidR="005553D6" w:rsidRDefault="005553D6">
      <w:pPr>
        <w:spacing w:line="360" w:lineRule="auto"/>
        <w:ind w:firstLineChars="200" w:firstLine="480"/>
        <w:contextualSpacing/>
        <w:rPr>
          <w:rFonts w:ascii="宋体" w:hAnsi="宋体"/>
          <w:sz w:val="24"/>
        </w:rPr>
        <w:sectPr w:rsidR="005553D6">
          <w:footerReference w:type="default" r:id="rId66"/>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33" w:name="_Toc3276855"/>
      <w:bookmarkStart w:id="134" w:name="_Toc384992698"/>
      <w:bookmarkStart w:id="135" w:name="_Toc348082036"/>
      <w:bookmarkStart w:id="136" w:name="CLAUSE_91e51f2778d64c7db088a52e2454c65e"/>
      <w:r>
        <w:rPr>
          <w:rFonts w:ascii="宋体" w:eastAsia="宋体" w:hAnsi="宋体"/>
        </w:rPr>
        <w:lastRenderedPageBreak/>
        <w:t xml:space="preserve"> </w:t>
      </w:r>
      <w:bookmarkStart w:id="137" w:name="CTS_91e51f2778d64c7db088a52e2454c65e"/>
      <w:bookmarkEnd w:id="137"/>
      <w:r>
        <w:rPr>
          <w:rFonts w:ascii="宋体" w:eastAsia="宋体" w:hAnsi="宋体" w:hint="eastAsia"/>
        </w:rPr>
        <w:t>基金资产净值计算、估值和会计核算</w:t>
      </w:r>
      <w:bookmarkEnd w:id="133"/>
      <w:bookmarkEnd w:id="134"/>
      <w:bookmarkEnd w:id="135"/>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rsidR="005553D6" w:rsidRDefault="00FA690A">
      <w:pPr>
        <w:spacing w:line="360" w:lineRule="auto"/>
        <w:ind w:firstLineChars="200" w:firstLine="480"/>
        <w:contextualSpacing/>
        <w:rPr>
          <w:rFonts w:ascii="宋体" w:hAnsi="宋体"/>
          <w:sz w:val="24"/>
        </w:rPr>
      </w:pPr>
      <w:r>
        <w:rPr>
          <w:rFonts w:ascii="宋体" w:hAnsi="宋体"/>
          <w:sz w:val="24"/>
        </w:rPr>
        <w:t>1.基金资产净值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基金份额净值是指每个工作日基金资产净值除以估值日基金份额总数，基金份额净值的计算，精确到</w:t>
      </w:r>
      <w:r>
        <w:rPr>
          <w:rFonts w:ascii="宋体" w:hAnsi="宋体"/>
          <w:sz w:val="24"/>
        </w:rPr>
        <w:t>0.0001</w:t>
      </w:r>
      <w:r>
        <w:rPr>
          <w:rFonts w:ascii="宋体" w:hAnsi="宋体" w:hint="eastAsia"/>
          <w:sz w:val="24"/>
        </w:rPr>
        <w:t>元，小数点后第五位四舍五入。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rsidR="005553D6" w:rsidRDefault="00FA690A">
      <w:pPr>
        <w:spacing w:line="360" w:lineRule="auto"/>
        <w:ind w:firstLineChars="200" w:firstLine="480"/>
        <w:contextualSpacing/>
        <w:rPr>
          <w:rFonts w:ascii="宋体" w:hAnsi="宋体"/>
          <w:sz w:val="24"/>
        </w:rPr>
      </w:pPr>
      <w:r>
        <w:rPr>
          <w:rFonts w:ascii="宋体" w:hAnsi="宋体"/>
          <w:sz w:val="24"/>
        </w:rPr>
        <w:t>2.复核程序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基金管理人每工作日对基金资产进行估值后，将基金净值信息发送基金托管人，经基金托管人复核无误后，由基金管理人按约定对外公布。</w:t>
      </w:r>
    </w:p>
    <w:p w:rsidR="005553D6" w:rsidRDefault="00FA690A">
      <w:pPr>
        <w:spacing w:line="360" w:lineRule="auto"/>
        <w:ind w:firstLineChars="200" w:firstLine="480"/>
        <w:contextualSpacing/>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Pr>
          <w:rFonts w:ascii="宋体" w:hAnsi="宋体" w:hint="eastAsia"/>
          <w:sz w:val="24"/>
        </w:rPr>
        <w:t>信息</w:t>
      </w:r>
      <w:r>
        <w:rPr>
          <w:rFonts w:ascii="宋体" w:hAnsi="宋体"/>
          <w:sz w:val="24"/>
        </w:rPr>
        <w:t>的计算结果对外予以公布。</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（二）基金资产的估值</w:t>
      </w:r>
    </w:p>
    <w:p w:rsidR="005553D6" w:rsidRDefault="00FA690A">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（四）基金会计制度</w:t>
      </w:r>
    </w:p>
    <w:p w:rsidR="005553D6" w:rsidRDefault="00FA690A">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（五）基金账册的建立</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5553D6" w:rsidRDefault="00FA690A">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rsidR="005553D6" w:rsidRDefault="00FA690A">
      <w:pPr>
        <w:spacing w:line="360" w:lineRule="auto"/>
        <w:ind w:firstLineChars="200" w:firstLine="480"/>
        <w:contextualSpacing/>
        <w:rPr>
          <w:rFonts w:ascii="宋体" w:hAnsi="宋体"/>
          <w:sz w:val="24"/>
        </w:rPr>
      </w:pPr>
      <w:r>
        <w:rPr>
          <w:rFonts w:ascii="宋体" w:hAnsi="宋体"/>
          <w:sz w:val="24"/>
        </w:rPr>
        <w:t>1.财务报表的编制</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rsidR="005553D6" w:rsidRDefault="00FA690A">
      <w:pPr>
        <w:spacing w:line="360" w:lineRule="auto"/>
        <w:ind w:firstLineChars="200" w:firstLine="480"/>
        <w:contextualSpacing/>
        <w:rPr>
          <w:rFonts w:ascii="宋体" w:hAnsi="宋体"/>
          <w:sz w:val="24"/>
        </w:rPr>
      </w:pPr>
      <w:r>
        <w:rPr>
          <w:rFonts w:ascii="宋体" w:hAnsi="宋体"/>
          <w:sz w:val="24"/>
        </w:rPr>
        <w:lastRenderedPageBreak/>
        <w:t>2.报表复核</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5553D6" w:rsidRDefault="00FA690A">
      <w:pPr>
        <w:spacing w:line="360" w:lineRule="auto"/>
        <w:ind w:firstLineChars="200" w:firstLine="480"/>
        <w:contextualSpacing/>
        <w:rPr>
          <w:rFonts w:ascii="宋体" w:hAnsi="宋体"/>
          <w:sz w:val="24"/>
        </w:rPr>
      </w:pPr>
      <w:r>
        <w:rPr>
          <w:rFonts w:ascii="宋体" w:hAnsi="宋体"/>
          <w:sz w:val="24"/>
        </w:rPr>
        <w:t>3.财务报表的编制与复核时间安排</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定报刊上。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w:t>
      </w:r>
      <w:r>
        <w:rPr>
          <w:rFonts w:ascii="宋体" w:hAnsi="宋体"/>
          <w:sz w:val="24"/>
        </w:rPr>
        <w:t>中期</w:t>
      </w:r>
      <w:r>
        <w:rPr>
          <w:rFonts w:ascii="宋体" w:hAnsi="宋体" w:hint="eastAsia"/>
          <w:sz w:val="24"/>
        </w:rPr>
        <w:t>报告或者年度报告。</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rsidR="005553D6" w:rsidRDefault="005553D6">
      <w:pPr>
        <w:spacing w:line="360" w:lineRule="auto"/>
        <w:ind w:firstLineChars="200" w:firstLine="480"/>
        <w:contextualSpacing/>
        <w:rPr>
          <w:rFonts w:ascii="宋体" w:hAnsi="宋体"/>
          <w:sz w:val="24"/>
        </w:rPr>
      </w:pPr>
    </w:p>
    <w:p w:rsidR="005553D6" w:rsidRDefault="005553D6">
      <w:pPr>
        <w:spacing w:line="360" w:lineRule="auto"/>
        <w:ind w:firstLineChars="200" w:firstLine="480"/>
        <w:contextualSpacing/>
        <w:rPr>
          <w:rFonts w:ascii="宋体" w:hAnsi="宋体"/>
          <w:sz w:val="24"/>
        </w:rPr>
      </w:pPr>
    </w:p>
    <w:bookmarkEnd w:id="136"/>
    <w:p w:rsidR="005553D6" w:rsidRDefault="005553D6">
      <w:pPr>
        <w:spacing w:line="360" w:lineRule="auto"/>
        <w:ind w:firstLineChars="200" w:firstLine="480"/>
        <w:contextualSpacing/>
        <w:rPr>
          <w:rFonts w:ascii="宋体" w:hAnsi="宋体"/>
          <w:sz w:val="24"/>
        </w:rPr>
        <w:sectPr w:rsidR="005553D6">
          <w:footerReference w:type="default" r:id="rId67"/>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38" w:name="_Toc3276856"/>
      <w:bookmarkStart w:id="139" w:name="_Toc348082037"/>
      <w:bookmarkStart w:id="140" w:name="_Toc384992699"/>
      <w:bookmarkStart w:id="141" w:name="CLAUSE_e32c4de07a234c189729f8cf9261cf56"/>
      <w:r>
        <w:rPr>
          <w:rFonts w:ascii="宋体" w:eastAsia="宋体" w:hAnsi="宋体"/>
        </w:rPr>
        <w:lastRenderedPageBreak/>
        <w:t xml:space="preserve"> </w:t>
      </w:r>
      <w:bookmarkStart w:id="142" w:name="CTS_e32c4de07a234c189729f8cf9261cf56"/>
      <w:bookmarkEnd w:id="142"/>
      <w:r>
        <w:rPr>
          <w:rFonts w:ascii="宋体" w:eastAsia="宋体" w:hAnsi="宋体" w:hint="eastAsia"/>
        </w:rPr>
        <w:t>基金收益分配</w:t>
      </w:r>
      <w:bookmarkEnd w:id="138"/>
      <w:bookmarkEnd w:id="139"/>
      <w:bookmarkEnd w:id="140"/>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rsidR="005553D6" w:rsidRDefault="005553D6">
      <w:pPr>
        <w:spacing w:line="360" w:lineRule="auto"/>
        <w:ind w:firstLineChars="200" w:firstLine="480"/>
        <w:contextualSpacing/>
        <w:rPr>
          <w:rFonts w:ascii="宋体" w:hAnsi="宋体"/>
          <w:sz w:val="24"/>
        </w:rPr>
      </w:pPr>
    </w:p>
    <w:bookmarkEnd w:id="141"/>
    <w:p w:rsidR="005553D6" w:rsidRDefault="005553D6">
      <w:pPr>
        <w:spacing w:line="360" w:lineRule="auto"/>
        <w:ind w:firstLineChars="200" w:firstLine="480"/>
        <w:contextualSpacing/>
        <w:rPr>
          <w:rFonts w:ascii="宋体" w:hAnsi="宋体"/>
          <w:sz w:val="24"/>
        </w:rPr>
        <w:sectPr w:rsidR="005553D6">
          <w:footerReference w:type="default" r:id="rId68"/>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43" w:name="_Toc348082038"/>
      <w:bookmarkStart w:id="144" w:name="_Toc384992700"/>
      <w:bookmarkStart w:id="145" w:name="_Toc3276857"/>
      <w:bookmarkStart w:id="146" w:name="CLAUSE_0db4b9e12cfe4efeacf7c3e563c7f79f"/>
      <w:r>
        <w:rPr>
          <w:rFonts w:ascii="宋体" w:eastAsia="宋体" w:hAnsi="宋体"/>
        </w:rPr>
        <w:lastRenderedPageBreak/>
        <w:t xml:space="preserve"> </w:t>
      </w:r>
      <w:bookmarkStart w:id="147" w:name="CTS_0db4b9e12cfe4efeacf7c3e563c7f79f"/>
      <w:bookmarkEnd w:id="147"/>
      <w:r>
        <w:rPr>
          <w:rFonts w:ascii="宋体" w:eastAsia="宋体" w:hAnsi="宋体" w:hint="eastAsia"/>
        </w:rPr>
        <w:t>基金信息披露</w:t>
      </w:r>
      <w:bookmarkEnd w:id="143"/>
      <w:bookmarkEnd w:id="144"/>
      <w:bookmarkEnd w:id="145"/>
    </w:p>
    <w:p w:rsidR="005553D6" w:rsidRDefault="00FA690A">
      <w:pPr>
        <w:spacing w:line="360" w:lineRule="auto"/>
        <w:ind w:firstLineChars="200" w:firstLine="480"/>
        <w:contextualSpacing/>
        <w:rPr>
          <w:rFonts w:ascii="宋体" w:hAnsi="宋体"/>
          <w:sz w:val="24"/>
        </w:rPr>
      </w:pPr>
      <w:r>
        <w:rPr>
          <w:rFonts w:ascii="宋体" w:hAnsi="宋体" w:hint="eastAsia"/>
          <w:sz w:val="24"/>
        </w:rPr>
        <w:t>（一）保密义务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553D6" w:rsidRDefault="00FA690A">
      <w:pPr>
        <w:spacing w:line="360" w:lineRule="auto"/>
        <w:ind w:firstLineChars="200" w:firstLine="480"/>
        <w:contextualSpacing/>
        <w:rPr>
          <w:rFonts w:ascii="宋体" w:hAnsi="宋体"/>
          <w:sz w:val="24"/>
        </w:rPr>
      </w:pPr>
      <w:r>
        <w:rPr>
          <w:rFonts w:ascii="宋体" w:hAnsi="宋体"/>
          <w:sz w:val="24"/>
        </w:rPr>
        <w:t>1.非因基金管理人和基金托管人的原因导致保密信息被披露、泄露或公开；</w:t>
      </w:r>
    </w:p>
    <w:p w:rsidR="005553D6" w:rsidRDefault="00FA690A">
      <w:pPr>
        <w:spacing w:line="360" w:lineRule="auto"/>
        <w:ind w:firstLineChars="200" w:firstLine="480"/>
        <w:contextualSpacing/>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（二）信息披露的内容</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w:t>
      </w:r>
      <w:r>
        <w:rPr>
          <w:rFonts w:ascii="宋体" w:hAnsi="宋体" w:cs="Arial" w:hint="eastAsia"/>
          <w:sz w:val="24"/>
        </w:rPr>
        <w:t>基金投资股指期货、国债期货、股票期权的信息披露、基金投资资产支持证券的信息披露、基金参与融资业务的信息披露、基金投资证券公司短期公司债券的信息披露、投资流通受限证券信息披露</w:t>
      </w:r>
      <w:r>
        <w:rPr>
          <w:rFonts w:ascii="宋体" w:hAnsi="宋体" w:hint="eastAsia"/>
          <w:sz w:val="24"/>
        </w:rPr>
        <w:t>、</w:t>
      </w:r>
      <w:r>
        <w:rPr>
          <w:rFonts w:ascii="宋体" w:hAnsi="宋体" w:hint="eastAsia"/>
          <w:bCs/>
          <w:sz w:val="24"/>
        </w:rPr>
        <w:t>基金参与港股通标的股票（包括沪港</w:t>
      </w:r>
      <w:proofErr w:type="gramStart"/>
      <w:r>
        <w:rPr>
          <w:rFonts w:ascii="宋体" w:hAnsi="宋体" w:hint="eastAsia"/>
          <w:bCs/>
          <w:sz w:val="24"/>
        </w:rPr>
        <w:t>通股票</w:t>
      </w:r>
      <w:proofErr w:type="gramEnd"/>
      <w:r>
        <w:rPr>
          <w:rFonts w:ascii="宋体" w:hAnsi="宋体" w:hint="eastAsia"/>
          <w:bCs/>
          <w:sz w:val="24"/>
        </w:rPr>
        <w:t>及深港通股票）投资的信息披露、</w:t>
      </w:r>
      <w:r>
        <w:rPr>
          <w:rFonts w:ascii="宋体" w:hAnsi="宋体" w:hint="eastAsia"/>
          <w:sz w:val="24"/>
        </w:rPr>
        <w:t>清算报告及中国证监会规定的其他信息。基金年度报告需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rsidR="005553D6" w:rsidRDefault="00FA690A">
      <w:pPr>
        <w:spacing w:line="360" w:lineRule="auto"/>
        <w:ind w:firstLineChars="200" w:firstLine="480"/>
        <w:contextualSpacing/>
        <w:rPr>
          <w:rFonts w:ascii="宋体" w:hAnsi="宋体"/>
          <w:sz w:val="24"/>
        </w:rPr>
      </w:pPr>
      <w:r>
        <w:rPr>
          <w:rFonts w:ascii="宋体" w:hAnsi="宋体"/>
          <w:sz w:val="24"/>
        </w:rPr>
        <w:t>1.职责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基金管理人和基金托管人应积极配合、互相监督，保证其履行按照法定方式和限时披露的义务。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基金管理人应当在中国证监会规定的时间内，将应予披露的基金信息通过中国证监会规定的媒介披露。根据法律法规应由基金托管人公开披露的信息，基金托管人在规定媒介公开披露。</w:t>
      </w:r>
    </w:p>
    <w:p w:rsidR="005553D6" w:rsidRDefault="00FA690A">
      <w:pPr>
        <w:spacing w:line="360" w:lineRule="auto"/>
        <w:ind w:firstLineChars="200" w:firstLine="480"/>
        <w:contextualSpacing/>
        <w:rPr>
          <w:rFonts w:ascii="宋体" w:hAnsi="宋体"/>
          <w:sz w:val="24"/>
        </w:rPr>
      </w:pPr>
      <w:r>
        <w:rPr>
          <w:rFonts w:ascii="宋体" w:hAnsi="宋体" w:hint="eastAsia"/>
          <w:sz w:val="24"/>
        </w:rPr>
        <w:t>当出现下述情况时，基金管理人和基金托管人可暂停或延迟披露基金相关信息：</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rsidR="005553D6" w:rsidRDefault="00FA690A">
      <w:pPr>
        <w:spacing w:line="360" w:lineRule="auto"/>
        <w:ind w:firstLineChars="200" w:firstLine="480"/>
        <w:contextualSpacing/>
        <w:rPr>
          <w:rFonts w:ascii="宋体" w:hAnsi="宋体" w:cs="Arial"/>
          <w:szCs w:val="21"/>
        </w:rPr>
      </w:pPr>
      <w:r>
        <w:rPr>
          <w:rFonts w:ascii="宋体" w:hAnsi="宋体"/>
          <w:sz w:val="24"/>
        </w:rPr>
        <w:t>(2)基金投资所涉及的证券</w:t>
      </w:r>
      <w:r>
        <w:rPr>
          <w:rFonts w:ascii="宋体" w:hAnsi="宋体" w:hint="eastAsia"/>
          <w:sz w:val="24"/>
        </w:rPr>
        <w:t>、期货交易市场或外汇市场遇法定节假日或因其他原因暂停营业时；</w:t>
      </w:r>
    </w:p>
    <w:p w:rsidR="005553D6" w:rsidRDefault="00FA690A">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sz w:val="24"/>
        </w:rPr>
        <w:t>基金合同约定的暂停估值的情形；</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)法律法规、基金合同或中国证监会规定的情况。</w:t>
      </w:r>
    </w:p>
    <w:p w:rsidR="005553D6" w:rsidRDefault="00FA690A">
      <w:pPr>
        <w:spacing w:line="360" w:lineRule="auto"/>
        <w:ind w:firstLineChars="200" w:firstLine="480"/>
        <w:contextualSpacing/>
        <w:rPr>
          <w:rFonts w:ascii="宋体" w:hAnsi="宋体"/>
          <w:sz w:val="24"/>
        </w:rPr>
      </w:pPr>
      <w:r>
        <w:rPr>
          <w:rFonts w:ascii="宋体" w:hAnsi="宋体"/>
          <w:sz w:val="24"/>
        </w:rPr>
        <w:t>2.程序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5553D6" w:rsidRDefault="00FA690A">
      <w:pPr>
        <w:spacing w:line="360" w:lineRule="auto"/>
        <w:ind w:firstLineChars="200" w:firstLine="480"/>
        <w:contextualSpacing/>
        <w:rPr>
          <w:rFonts w:ascii="宋体" w:hAnsi="宋体"/>
          <w:sz w:val="24"/>
        </w:rPr>
      </w:pPr>
      <w:r>
        <w:rPr>
          <w:rFonts w:ascii="宋体" w:hAnsi="宋体"/>
          <w:sz w:val="24"/>
        </w:rPr>
        <w:t>3.信息文本的存放</w:t>
      </w:r>
    </w:p>
    <w:p w:rsidR="005553D6" w:rsidRDefault="00FA690A">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46"/>
    <w:p w:rsidR="005553D6" w:rsidRDefault="005553D6">
      <w:pPr>
        <w:pStyle w:val="a0"/>
        <w:spacing w:line="360" w:lineRule="auto"/>
        <w:ind w:firstLine="480"/>
        <w:contextualSpacing/>
        <w:rPr>
          <w:rFonts w:ascii="宋体" w:hAnsi="宋体"/>
          <w:sz w:val="24"/>
        </w:rPr>
        <w:sectPr w:rsidR="005553D6">
          <w:footerReference w:type="default" r:id="rId69"/>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48" w:name="_Toc3276858"/>
      <w:bookmarkStart w:id="149" w:name="_Toc348082039"/>
      <w:bookmarkStart w:id="150" w:name="_Toc384992701"/>
      <w:bookmarkStart w:id="151" w:name="CLAUSE_f1999dfefdd042ebbbe1c40830c3d358"/>
      <w:r>
        <w:rPr>
          <w:rFonts w:ascii="宋体" w:eastAsia="宋体" w:hAnsi="宋体"/>
        </w:rPr>
        <w:lastRenderedPageBreak/>
        <w:t xml:space="preserve"> </w:t>
      </w:r>
      <w:bookmarkStart w:id="152" w:name="CTS_f1999dfefdd042ebbbe1c40830c3d358"/>
      <w:bookmarkEnd w:id="152"/>
      <w:r>
        <w:rPr>
          <w:rFonts w:ascii="宋体" w:eastAsia="宋体" w:hAnsi="宋体"/>
        </w:rPr>
        <w:t xml:space="preserve">  </w:t>
      </w:r>
      <w:r>
        <w:rPr>
          <w:rFonts w:ascii="宋体" w:eastAsia="宋体" w:hAnsi="宋体" w:hint="eastAsia"/>
        </w:rPr>
        <w:t>基金费用</w:t>
      </w:r>
      <w:bookmarkEnd w:id="148"/>
      <w:bookmarkEnd w:id="149"/>
      <w:bookmarkEnd w:id="150"/>
    </w:p>
    <w:bookmarkEnd w:id="151"/>
    <w:p w:rsidR="005553D6" w:rsidRDefault="00FA690A">
      <w:pPr>
        <w:spacing w:line="360" w:lineRule="auto"/>
        <w:ind w:firstLineChars="200" w:firstLine="480"/>
        <w:rPr>
          <w:rFonts w:ascii="宋体" w:hAnsi="宋体"/>
          <w:sz w:val="24"/>
        </w:rPr>
      </w:pPr>
      <w:r>
        <w:rPr>
          <w:rFonts w:ascii="宋体" w:hAnsi="宋体" w:hint="eastAsia"/>
          <w:sz w:val="24"/>
        </w:rPr>
        <w:t>（一）基金管理人的管理费</w:t>
      </w:r>
    </w:p>
    <w:p w:rsidR="005553D6" w:rsidRDefault="00FA690A">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w:t>
      </w:r>
      <w:r w:rsidR="00E45B4C">
        <w:rPr>
          <w:rFonts w:ascii="宋体" w:hAnsi="宋体"/>
          <w:bCs/>
          <w:sz w:val="24"/>
        </w:rPr>
        <w:t>2</w:t>
      </w:r>
      <w:r w:rsidR="008E6233">
        <w:rPr>
          <w:rFonts w:ascii="宋体" w:hAnsi="宋体"/>
          <w:bCs/>
          <w:sz w:val="24"/>
        </w:rPr>
        <w:t>0</w:t>
      </w:r>
      <w:r>
        <w:rPr>
          <w:rFonts w:ascii="宋体" w:hAnsi="宋体"/>
          <w:sz w:val="24"/>
        </w:rPr>
        <w:t>%</w:t>
      </w:r>
      <w:r>
        <w:rPr>
          <w:rFonts w:ascii="宋体" w:hAnsi="宋体" w:hint="eastAsia"/>
          <w:sz w:val="24"/>
        </w:rPr>
        <w:t>年费率计提。管理费的计算方法如下：</w:t>
      </w:r>
    </w:p>
    <w:p w:rsidR="005553D6" w:rsidRDefault="00FA690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w:t>
      </w:r>
      <w:r w:rsidR="00E45B4C">
        <w:rPr>
          <w:rFonts w:ascii="宋体" w:hAnsi="宋体"/>
          <w:bCs/>
          <w:sz w:val="24"/>
        </w:rPr>
        <w:t>2</w:t>
      </w:r>
      <w:r w:rsidR="008E6233">
        <w:rPr>
          <w:rFonts w:ascii="宋体" w:hAnsi="宋体"/>
          <w:bCs/>
          <w:sz w:val="24"/>
        </w:rPr>
        <w:t>0</w:t>
      </w:r>
      <w:r>
        <w:rPr>
          <w:rFonts w:ascii="宋体" w:hAnsi="宋体"/>
          <w:sz w:val="24"/>
        </w:rPr>
        <w:t>%÷</w:t>
      </w:r>
      <w:r>
        <w:rPr>
          <w:rFonts w:ascii="宋体" w:hAnsi="宋体" w:hint="eastAsia"/>
          <w:sz w:val="24"/>
        </w:rPr>
        <w:t>当年天数</w:t>
      </w:r>
    </w:p>
    <w:p w:rsidR="005553D6" w:rsidRDefault="00FA690A">
      <w:pPr>
        <w:spacing w:line="360" w:lineRule="auto"/>
        <w:ind w:firstLineChars="200" w:firstLine="480"/>
        <w:rPr>
          <w:rFonts w:ascii="宋体" w:hAnsi="宋体"/>
          <w:bCs/>
          <w:sz w:val="24"/>
        </w:rPr>
      </w:pPr>
      <w:r>
        <w:rPr>
          <w:rFonts w:ascii="宋体" w:hAnsi="宋体"/>
          <w:bCs/>
          <w:sz w:val="24"/>
        </w:rPr>
        <w:t>H为每日应计提的基金管理费</w:t>
      </w:r>
    </w:p>
    <w:p w:rsidR="005553D6" w:rsidRDefault="00FA690A">
      <w:pPr>
        <w:spacing w:line="360" w:lineRule="auto"/>
        <w:ind w:firstLineChars="200" w:firstLine="480"/>
        <w:rPr>
          <w:rFonts w:ascii="宋体" w:hAnsi="宋体"/>
          <w:bCs/>
          <w:sz w:val="24"/>
        </w:rPr>
      </w:pPr>
      <w:r>
        <w:rPr>
          <w:rFonts w:ascii="宋体" w:hAnsi="宋体"/>
          <w:bCs/>
          <w:sz w:val="24"/>
        </w:rPr>
        <w:t>E为前一日的基金资产净值</w:t>
      </w:r>
    </w:p>
    <w:p w:rsidR="005553D6" w:rsidRDefault="00FA690A">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5553D6" w:rsidRDefault="00FA690A">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rsidR="005553D6" w:rsidRDefault="00FA690A">
      <w:pPr>
        <w:spacing w:line="360" w:lineRule="auto"/>
        <w:ind w:firstLineChars="200" w:firstLine="480"/>
        <w:rPr>
          <w:rFonts w:ascii="宋体" w:hAnsi="宋体"/>
          <w:sz w:val="24"/>
        </w:rPr>
      </w:pPr>
      <w:r>
        <w:rPr>
          <w:rFonts w:ascii="宋体" w:hAnsi="宋体"/>
          <w:bCs/>
          <w:sz w:val="24"/>
        </w:rPr>
        <w:t>本基金的托管费按前一日基金资产净值的0.</w:t>
      </w:r>
      <w:r w:rsidR="00E45B4C">
        <w:rPr>
          <w:rFonts w:ascii="宋体" w:hAnsi="宋体"/>
          <w:bCs/>
          <w:sz w:val="24"/>
        </w:rPr>
        <w:t>20</w:t>
      </w:r>
      <w:r>
        <w:rPr>
          <w:rFonts w:ascii="宋体" w:hAnsi="宋体"/>
          <w:sz w:val="24"/>
        </w:rPr>
        <w:t>%</w:t>
      </w:r>
      <w:r>
        <w:rPr>
          <w:rFonts w:ascii="宋体" w:hAnsi="宋体" w:hint="eastAsia"/>
          <w:sz w:val="24"/>
        </w:rPr>
        <w:t>的年费率计提。托管费的计算方法如下：</w:t>
      </w:r>
    </w:p>
    <w:p w:rsidR="005553D6" w:rsidRDefault="00FA690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w:t>
      </w:r>
      <w:r w:rsidR="00E45B4C">
        <w:rPr>
          <w:rFonts w:ascii="宋体" w:hAnsi="宋体"/>
          <w:bCs/>
          <w:sz w:val="24"/>
        </w:rPr>
        <w:t>20</w:t>
      </w:r>
      <w:r>
        <w:rPr>
          <w:rFonts w:ascii="宋体" w:hAnsi="宋体"/>
          <w:sz w:val="24"/>
        </w:rPr>
        <w:t>%÷</w:t>
      </w:r>
      <w:r>
        <w:rPr>
          <w:rFonts w:ascii="宋体" w:hAnsi="宋体" w:hint="eastAsia"/>
          <w:sz w:val="24"/>
        </w:rPr>
        <w:t>当年天数</w:t>
      </w:r>
    </w:p>
    <w:p w:rsidR="005553D6" w:rsidRDefault="00FA690A">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5553D6" w:rsidRDefault="00FA690A">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5553D6" w:rsidRDefault="00FA690A">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休假</w:t>
      </w:r>
      <w:r>
        <w:rPr>
          <w:rFonts w:ascii="宋体" w:hAnsi="宋体" w:hint="eastAsia"/>
          <w:sz w:val="24"/>
        </w:rPr>
        <w:t>等，支付日期顺延。</w:t>
      </w:r>
    </w:p>
    <w:p w:rsidR="005553D6" w:rsidRDefault="00FA690A">
      <w:pPr>
        <w:spacing w:line="360" w:lineRule="auto"/>
        <w:ind w:firstLineChars="200" w:firstLine="480"/>
        <w:rPr>
          <w:rFonts w:ascii="宋体" w:hAnsi="宋体"/>
          <w:bCs/>
          <w:sz w:val="24"/>
        </w:rPr>
      </w:pPr>
      <w:r>
        <w:rPr>
          <w:rFonts w:ascii="宋体" w:hAnsi="宋体" w:hint="eastAsia"/>
          <w:bCs/>
          <w:sz w:val="24"/>
        </w:rPr>
        <w:t>（三）基金销售服务费</w:t>
      </w:r>
    </w:p>
    <w:p w:rsidR="005553D6" w:rsidRDefault="00FA690A">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0.6%。本基金销售服务费将专门用于本基金的销售与基金份额持有人服务，基金管理人将在基金年度报告中对该项费用的列支情况作专项说明。销售服务费计提的计算公式如下：</w:t>
      </w:r>
    </w:p>
    <w:p w:rsidR="005553D6" w:rsidRDefault="00FA690A">
      <w:pPr>
        <w:spacing w:line="360" w:lineRule="auto"/>
        <w:ind w:firstLineChars="200" w:firstLine="480"/>
        <w:rPr>
          <w:rFonts w:ascii="宋体" w:hAnsi="宋体"/>
          <w:bCs/>
          <w:sz w:val="24"/>
        </w:rPr>
      </w:pPr>
      <w:r>
        <w:rPr>
          <w:rFonts w:ascii="宋体" w:hAnsi="宋体" w:hint="eastAsia"/>
          <w:bCs/>
          <w:sz w:val="24"/>
        </w:rPr>
        <w:t>H=E×0.6%÷当年天数</w:t>
      </w:r>
    </w:p>
    <w:p w:rsidR="005553D6" w:rsidRDefault="00FA690A">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5553D6" w:rsidRDefault="00FA690A">
      <w:pPr>
        <w:spacing w:line="360" w:lineRule="auto"/>
        <w:ind w:firstLineChars="200" w:firstLine="480"/>
        <w:rPr>
          <w:rFonts w:ascii="宋体" w:hAnsi="宋体"/>
          <w:bCs/>
          <w:sz w:val="24"/>
        </w:rPr>
      </w:pPr>
      <w:r>
        <w:rPr>
          <w:rFonts w:ascii="宋体" w:hAnsi="宋体" w:hint="eastAsia"/>
          <w:bCs/>
          <w:sz w:val="24"/>
        </w:rPr>
        <w:lastRenderedPageBreak/>
        <w:t>E为C类基金份额前一日的基金资产净值</w:t>
      </w:r>
    </w:p>
    <w:p w:rsidR="005553D6" w:rsidRDefault="00FA690A">
      <w:pPr>
        <w:spacing w:line="360" w:lineRule="auto"/>
        <w:ind w:firstLineChars="200" w:firstLine="480"/>
        <w:contextualSpacing/>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5553D6" w:rsidRDefault="00FA690A">
      <w:pPr>
        <w:spacing w:line="360" w:lineRule="auto"/>
        <w:ind w:firstLineChars="200" w:firstLine="480"/>
        <w:contextualSpacing/>
        <w:rPr>
          <w:rFonts w:ascii="宋体" w:hAnsi="宋体"/>
          <w:color w:val="000000"/>
          <w:sz w:val="24"/>
        </w:rPr>
        <w:sectPr w:rsidR="005553D6">
          <w:footerReference w:type="default" r:id="rId70"/>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53" w:name="_Toc3276859"/>
      <w:bookmarkStart w:id="154" w:name="_Toc348082040"/>
      <w:bookmarkStart w:id="155" w:name="_Toc384992702"/>
      <w:bookmarkStart w:id="156" w:name="CLAUSE_0422aebe02654a45964d03ac7f42cc7b"/>
      <w:r>
        <w:rPr>
          <w:rFonts w:ascii="宋体" w:eastAsia="宋体" w:hAnsi="宋体"/>
        </w:rPr>
        <w:lastRenderedPageBreak/>
        <w:t xml:space="preserve"> </w:t>
      </w:r>
      <w:bookmarkStart w:id="157" w:name="CTS_0422aebe02654a45964d03ac7f42cc7b"/>
      <w:bookmarkEnd w:id="157"/>
      <w:r>
        <w:rPr>
          <w:rFonts w:ascii="宋体" w:eastAsia="宋体" w:hAnsi="宋体"/>
        </w:rPr>
        <w:t xml:space="preserve">   </w:t>
      </w:r>
      <w:r>
        <w:rPr>
          <w:rFonts w:ascii="宋体" w:eastAsia="宋体" w:hAnsi="宋体" w:hint="eastAsia"/>
        </w:rPr>
        <w:t>基金份额持有人名册的保管</w:t>
      </w:r>
      <w:bookmarkEnd w:id="153"/>
      <w:bookmarkEnd w:id="154"/>
      <w:bookmarkEnd w:id="155"/>
    </w:p>
    <w:p w:rsidR="005553D6" w:rsidRDefault="00FA690A">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低于法律法规规定的最低期限</w:t>
      </w:r>
      <w:r>
        <w:rPr>
          <w:rFonts w:ascii="宋体" w:hAnsi="宋体"/>
          <w:sz w:val="24"/>
        </w:rPr>
        <w:t>。如不能妥善保管，则按相关</w:t>
      </w:r>
      <w:r>
        <w:rPr>
          <w:rFonts w:ascii="宋体" w:hAnsi="宋体" w:hint="eastAsia"/>
          <w:sz w:val="24"/>
        </w:rPr>
        <w:t>法律法规承担责任。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bookmarkEnd w:id="156"/>
    <w:p w:rsidR="005553D6" w:rsidRDefault="005553D6">
      <w:pPr>
        <w:spacing w:line="360" w:lineRule="auto"/>
        <w:ind w:firstLineChars="200" w:firstLine="480"/>
        <w:contextualSpacing/>
        <w:rPr>
          <w:rFonts w:ascii="宋体" w:hAnsi="宋体"/>
          <w:sz w:val="24"/>
        </w:rPr>
        <w:sectPr w:rsidR="005553D6">
          <w:footerReference w:type="default" r:id="rId71"/>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58" w:name="_Toc3276860"/>
      <w:bookmarkStart w:id="159" w:name="_Toc348082041"/>
      <w:bookmarkStart w:id="160" w:name="_Toc384992703"/>
      <w:bookmarkStart w:id="161" w:name="CLAUSE_b85fcc6f0af54c569bb6bed1ba0fe2a0"/>
      <w:r>
        <w:rPr>
          <w:rFonts w:ascii="宋体" w:eastAsia="宋体" w:hAnsi="宋体"/>
        </w:rPr>
        <w:lastRenderedPageBreak/>
        <w:t xml:space="preserve"> </w:t>
      </w:r>
      <w:bookmarkStart w:id="162" w:name="CTS_b85fcc6f0af54c569bb6bed1ba0fe2a0"/>
      <w:bookmarkEnd w:id="162"/>
      <w:r>
        <w:rPr>
          <w:rFonts w:ascii="宋体" w:eastAsia="宋体" w:hAnsi="宋体"/>
        </w:rPr>
        <w:t xml:space="preserve">   </w:t>
      </w:r>
      <w:r>
        <w:rPr>
          <w:rFonts w:ascii="宋体" w:eastAsia="宋体" w:hAnsi="宋体" w:hint="eastAsia"/>
        </w:rPr>
        <w:t>基金有关文件档案的保存</w:t>
      </w:r>
      <w:bookmarkEnd w:id="158"/>
      <w:bookmarkEnd w:id="159"/>
      <w:bookmarkEnd w:id="160"/>
    </w:p>
    <w:p w:rsidR="005553D6" w:rsidRDefault="00FA690A">
      <w:pPr>
        <w:spacing w:line="360" w:lineRule="auto"/>
        <w:ind w:firstLineChars="200" w:firstLine="480"/>
        <w:contextualSpacing/>
        <w:rPr>
          <w:rFonts w:ascii="宋体" w:hAnsi="宋体"/>
          <w:sz w:val="24"/>
        </w:rPr>
      </w:pPr>
      <w:r>
        <w:rPr>
          <w:rFonts w:ascii="宋体" w:hAnsi="宋体" w:hint="eastAsia"/>
          <w:sz w:val="24"/>
        </w:rPr>
        <w:t>（一）档案保存</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r>
        <w:rPr>
          <w:rFonts w:ascii="宋体" w:hAnsi="宋体"/>
          <w:sz w:val="24"/>
        </w:rPr>
        <w:t>。</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（二）合同档案的建立</w:t>
      </w:r>
    </w:p>
    <w:p w:rsidR="005553D6" w:rsidRDefault="00FA690A">
      <w:pPr>
        <w:spacing w:line="360" w:lineRule="auto"/>
        <w:ind w:firstLineChars="200" w:firstLine="480"/>
        <w:contextualSpacing/>
        <w:rPr>
          <w:rFonts w:ascii="宋体" w:hAnsi="宋体"/>
          <w:sz w:val="24"/>
        </w:rPr>
      </w:pPr>
      <w:r>
        <w:rPr>
          <w:rFonts w:ascii="宋体" w:hAnsi="宋体"/>
          <w:sz w:val="24"/>
        </w:rPr>
        <w:t>1.基金管理人签署重大合同文本后，应及时将合同文本正本送达基金托管人处。</w:t>
      </w:r>
    </w:p>
    <w:p w:rsidR="005553D6" w:rsidRDefault="00FA690A">
      <w:pPr>
        <w:spacing w:line="360" w:lineRule="auto"/>
        <w:ind w:firstLineChars="200" w:firstLine="480"/>
        <w:contextualSpacing/>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或通过双方认可的其他方式发送至基金托管人。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（三）变更与协助</w:t>
      </w:r>
    </w:p>
    <w:p w:rsidR="005553D6" w:rsidRDefault="00FA690A">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（四）基金管理人和基金托管人应按各自职责完整保存原始凭证、记账凭证、基金账册、交易记录和重要合同等，承担保密义务并保存，保存期限不低于法律法规规定的最低期限。</w:t>
      </w:r>
    </w:p>
    <w:p w:rsidR="005553D6" w:rsidRDefault="005553D6">
      <w:pPr>
        <w:spacing w:line="360" w:lineRule="auto"/>
        <w:ind w:firstLineChars="200" w:firstLine="480"/>
        <w:contextualSpacing/>
        <w:rPr>
          <w:rFonts w:ascii="宋体" w:hAnsi="宋体"/>
          <w:sz w:val="24"/>
        </w:rPr>
      </w:pPr>
    </w:p>
    <w:bookmarkEnd w:id="161"/>
    <w:p w:rsidR="005553D6" w:rsidRDefault="005553D6">
      <w:pPr>
        <w:spacing w:line="360" w:lineRule="auto"/>
        <w:ind w:firstLineChars="200" w:firstLine="480"/>
        <w:contextualSpacing/>
        <w:rPr>
          <w:rFonts w:ascii="宋体" w:hAnsi="宋体"/>
          <w:sz w:val="24"/>
        </w:rPr>
        <w:sectPr w:rsidR="005553D6">
          <w:footerReference w:type="default" r:id="rId72"/>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63" w:name="_Toc348082042"/>
      <w:bookmarkStart w:id="164" w:name="_Toc384992704"/>
      <w:bookmarkStart w:id="165" w:name="_Toc3276861"/>
      <w:bookmarkStart w:id="166" w:name="CLAUSE_1c80864023b14515872c5ea4e90d1d45"/>
      <w:r>
        <w:rPr>
          <w:rFonts w:ascii="宋体" w:eastAsia="宋体" w:hAnsi="宋体"/>
        </w:rPr>
        <w:lastRenderedPageBreak/>
        <w:t xml:space="preserve"> </w:t>
      </w:r>
      <w:bookmarkStart w:id="167" w:name="CTS_1c80864023b14515872c5ea4e90d1d45"/>
      <w:bookmarkEnd w:id="167"/>
      <w:r>
        <w:rPr>
          <w:rFonts w:ascii="宋体" w:eastAsia="宋体" w:hAnsi="宋体"/>
        </w:rPr>
        <w:t xml:space="preserve">   </w:t>
      </w:r>
      <w:r>
        <w:rPr>
          <w:rFonts w:ascii="宋体" w:eastAsia="宋体" w:hAnsi="宋体" w:hint="eastAsia"/>
        </w:rPr>
        <w:t>基金管理人和基金托管人的更换</w:t>
      </w:r>
      <w:bookmarkEnd w:id="163"/>
      <w:bookmarkEnd w:id="164"/>
      <w:bookmarkEnd w:id="165"/>
    </w:p>
    <w:p w:rsidR="005553D6" w:rsidRDefault="00FA690A">
      <w:pPr>
        <w:spacing w:line="360" w:lineRule="auto"/>
        <w:ind w:firstLineChars="200" w:firstLine="480"/>
        <w:contextualSpacing/>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rsidR="005553D6" w:rsidRDefault="00FA690A">
      <w:pPr>
        <w:spacing w:line="360" w:lineRule="auto"/>
        <w:ind w:firstLineChars="200" w:firstLine="480"/>
        <w:contextualSpacing/>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（三）其他事宜见基金合同的相关约定。</w:t>
      </w:r>
    </w:p>
    <w:p w:rsidR="005553D6" w:rsidRDefault="005553D6">
      <w:pPr>
        <w:spacing w:line="360" w:lineRule="auto"/>
        <w:ind w:firstLineChars="200" w:firstLine="480"/>
        <w:contextualSpacing/>
        <w:rPr>
          <w:rFonts w:ascii="宋体" w:hAnsi="宋体"/>
          <w:sz w:val="24"/>
        </w:rPr>
      </w:pPr>
    </w:p>
    <w:bookmarkEnd w:id="166"/>
    <w:p w:rsidR="005553D6" w:rsidRDefault="005553D6">
      <w:pPr>
        <w:spacing w:line="360" w:lineRule="auto"/>
        <w:ind w:firstLineChars="200" w:firstLine="480"/>
        <w:contextualSpacing/>
        <w:rPr>
          <w:rFonts w:ascii="宋体" w:hAnsi="宋体"/>
          <w:sz w:val="24"/>
        </w:rPr>
        <w:sectPr w:rsidR="005553D6">
          <w:footerReference w:type="default" r:id="rId73"/>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68" w:name="_Toc348082043"/>
      <w:bookmarkStart w:id="169" w:name="_Toc384992705"/>
      <w:bookmarkStart w:id="170" w:name="_Toc3276862"/>
      <w:bookmarkStart w:id="171" w:name="CLAUSE_08a667822ab64fa99425ccc1e6235624"/>
      <w:r>
        <w:rPr>
          <w:rFonts w:ascii="宋体" w:eastAsia="宋体" w:hAnsi="宋体"/>
        </w:rPr>
        <w:lastRenderedPageBreak/>
        <w:t xml:space="preserve"> </w:t>
      </w:r>
      <w:bookmarkStart w:id="172" w:name="CTS_08a667822ab64fa99425ccc1e6235624"/>
      <w:bookmarkEnd w:id="172"/>
      <w:r>
        <w:rPr>
          <w:rFonts w:ascii="宋体" w:eastAsia="宋体" w:hAnsi="宋体"/>
        </w:rPr>
        <w:t xml:space="preserve">   </w:t>
      </w:r>
      <w:r>
        <w:rPr>
          <w:rFonts w:ascii="宋体" w:eastAsia="宋体" w:hAnsi="宋体" w:hint="eastAsia"/>
        </w:rPr>
        <w:t>禁止行为</w:t>
      </w:r>
      <w:bookmarkEnd w:id="168"/>
      <w:bookmarkEnd w:id="169"/>
      <w:bookmarkEnd w:id="170"/>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（五）基金管理人、基金托管人对他人泄</w:t>
      </w:r>
      <w:r>
        <w:rPr>
          <w:rFonts w:ascii="宋体" w:hAnsi="宋体"/>
          <w:sz w:val="24"/>
        </w:rPr>
        <w:t>露</w:t>
      </w:r>
      <w:r>
        <w:rPr>
          <w:rFonts w:ascii="宋体" w:hAnsi="宋体" w:hint="eastAsia"/>
          <w:sz w:val="24"/>
        </w:rPr>
        <w:t>基金运作和管理过程中任何尚未按法律法规规定的方式公开披露的信息。</w:t>
      </w:r>
    </w:p>
    <w:p w:rsidR="005553D6" w:rsidRDefault="00FA690A">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（六）基金管理人在没有充足资金的情况下向基金托管人发出投资指令和付款指令，或违规向基金托管人发出指令。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rsidR="005553D6" w:rsidRDefault="00FA690A">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71"/>
    <w:p w:rsidR="005553D6" w:rsidRDefault="005553D6">
      <w:pPr>
        <w:spacing w:line="360" w:lineRule="auto"/>
        <w:ind w:firstLineChars="200" w:firstLine="480"/>
        <w:contextualSpacing/>
        <w:rPr>
          <w:rFonts w:ascii="宋体" w:hAnsi="宋体"/>
          <w:sz w:val="24"/>
        </w:rPr>
        <w:sectPr w:rsidR="005553D6">
          <w:footerReference w:type="default" r:id="rId74"/>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73" w:name="_Toc3276863"/>
      <w:bookmarkStart w:id="174" w:name="_Toc384992706"/>
      <w:bookmarkStart w:id="175" w:name="_Toc348082044"/>
      <w:bookmarkStart w:id="176" w:name="CLAUSE_caf10f8a7dd84769a7415b028c909c41"/>
      <w:r>
        <w:rPr>
          <w:rFonts w:ascii="宋体" w:eastAsia="宋体" w:hAnsi="宋体"/>
        </w:rPr>
        <w:lastRenderedPageBreak/>
        <w:t xml:space="preserve"> </w:t>
      </w:r>
      <w:bookmarkStart w:id="177" w:name="CTS_caf10f8a7dd84769a7415b028c909c41"/>
      <w:bookmarkEnd w:id="177"/>
      <w:r>
        <w:rPr>
          <w:rFonts w:ascii="宋体" w:eastAsia="宋体" w:hAnsi="宋体"/>
        </w:rPr>
        <w:t xml:space="preserve">   </w:t>
      </w:r>
      <w:r>
        <w:rPr>
          <w:rFonts w:ascii="宋体" w:eastAsia="宋体" w:hAnsi="宋体" w:hint="eastAsia"/>
        </w:rPr>
        <w:t>托管协议的变更、终止与基金财产的清算</w:t>
      </w:r>
      <w:bookmarkEnd w:id="173"/>
      <w:bookmarkEnd w:id="174"/>
      <w:bookmarkEnd w:id="175"/>
    </w:p>
    <w:p w:rsidR="005553D6" w:rsidRDefault="00FA690A">
      <w:pPr>
        <w:spacing w:line="360" w:lineRule="auto"/>
        <w:ind w:firstLineChars="200" w:firstLine="480"/>
        <w:contextualSpacing/>
        <w:rPr>
          <w:rFonts w:ascii="宋体" w:hAnsi="宋体"/>
          <w:sz w:val="24"/>
        </w:rPr>
      </w:pPr>
      <w:r>
        <w:rPr>
          <w:rFonts w:ascii="宋体" w:hAnsi="宋体" w:hint="eastAsia"/>
          <w:sz w:val="24"/>
        </w:rPr>
        <w:t>（一）托管协议的变更程序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（二）基金托管协议终止的情形</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《基金合同》终止；</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基金托管人因解散、破产、撤销等事由，不能继续担任基金托管人的职务，而在6个月内无其他适当的托管机构承接其原有权利义务；</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基金管理人因解散、破产、撤销等事由，不能继续担任基金管理人的职务，而在6个月内无其他适当的基金管理公司承接其原有权利义务；</w:t>
      </w:r>
    </w:p>
    <w:p w:rsidR="005553D6" w:rsidRDefault="00FA690A">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w:t>
      </w:r>
      <w:r>
        <w:rPr>
          <w:rFonts w:ascii="宋体" w:hAnsi="宋体"/>
          <w:sz w:val="24"/>
        </w:rPr>
        <w:t>发生法律法规</w:t>
      </w:r>
      <w:r>
        <w:rPr>
          <w:rFonts w:ascii="宋体" w:hAnsi="宋体" w:hint="eastAsia"/>
          <w:sz w:val="24"/>
        </w:rPr>
        <w:t>、中国证监会</w:t>
      </w:r>
      <w:r>
        <w:rPr>
          <w:rFonts w:ascii="宋体" w:hAnsi="宋体"/>
          <w:sz w:val="24"/>
        </w:rPr>
        <w:t>或《基金合同》规定的</w:t>
      </w:r>
      <w:r>
        <w:rPr>
          <w:rFonts w:ascii="宋体" w:hAnsi="宋体" w:hint="eastAsia"/>
          <w:sz w:val="24"/>
        </w:rPr>
        <w:t>其他终止事项。</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（三）基金财产的清算</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基金管理人与基金托管人按照《基金合同》的约定处理基金财产的清算。</w:t>
      </w:r>
    </w:p>
    <w:p w:rsidR="005553D6" w:rsidRDefault="005553D6">
      <w:pPr>
        <w:spacing w:line="360" w:lineRule="auto"/>
        <w:ind w:firstLineChars="200" w:firstLine="480"/>
        <w:contextualSpacing/>
        <w:rPr>
          <w:rFonts w:ascii="宋体" w:hAnsi="宋体"/>
          <w:sz w:val="24"/>
        </w:rPr>
      </w:pPr>
    </w:p>
    <w:bookmarkEnd w:id="176"/>
    <w:p w:rsidR="005553D6" w:rsidRDefault="005553D6">
      <w:pPr>
        <w:spacing w:line="360" w:lineRule="auto"/>
        <w:ind w:firstLineChars="200" w:firstLine="480"/>
        <w:contextualSpacing/>
        <w:rPr>
          <w:rFonts w:ascii="宋体" w:hAnsi="宋体"/>
          <w:sz w:val="24"/>
        </w:rPr>
        <w:sectPr w:rsidR="005553D6">
          <w:footerReference w:type="default" r:id="rId75"/>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rPr>
          <w:rFonts w:ascii="宋体" w:eastAsia="宋体" w:hAnsi="宋体"/>
        </w:rPr>
      </w:pPr>
      <w:bookmarkStart w:id="178" w:name="_Toc3276864"/>
      <w:bookmarkStart w:id="179" w:name="_Toc348082045"/>
      <w:bookmarkStart w:id="180" w:name="_Toc384992707"/>
      <w:bookmarkStart w:id="181" w:name="CLAUSE_a4421962ac9445af887fcc890c50a95e"/>
      <w:r>
        <w:rPr>
          <w:rFonts w:ascii="宋体" w:eastAsia="宋体" w:hAnsi="宋体"/>
        </w:rPr>
        <w:lastRenderedPageBreak/>
        <w:t xml:space="preserve"> </w:t>
      </w:r>
      <w:bookmarkStart w:id="182" w:name="CTS_a4421962ac9445af887fcc890c50a95e"/>
      <w:bookmarkEnd w:id="182"/>
      <w:r>
        <w:rPr>
          <w:rFonts w:ascii="宋体" w:eastAsia="宋体" w:hAnsi="宋体"/>
        </w:rPr>
        <w:t xml:space="preserve">  </w:t>
      </w:r>
      <w:r>
        <w:rPr>
          <w:rFonts w:ascii="宋体" w:eastAsia="宋体" w:hAnsi="宋体" w:hint="eastAsia"/>
        </w:rPr>
        <w:t>违约责任</w:t>
      </w:r>
      <w:bookmarkEnd w:id="178"/>
      <w:bookmarkEnd w:id="179"/>
      <w:bookmarkEnd w:id="180"/>
    </w:p>
    <w:p w:rsidR="005553D6" w:rsidRDefault="00FA690A">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约定，给基金财产或者基金份额持有人造成损害的，应当分别对各自的行为依法承担赔偿责任；因共同行为给基金财产或者基金份额持有人造成损害的，应当</w:t>
      </w:r>
      <w:r>
        <w:rPr>
          <w:rFonts w:ascii="宋体" w:hAnsi="宋体" w:hint="eastAsia"/>
          <w:sz w:val="24"/>
        </w:rPr>
        <w:t>根据各自的过错程度对由此造成的直接损失承担</w:t>
      </w:r>
      <w:r>
        <w:rPr>
          <w:rFonts w:ascii="宋体" w:hAnsi="宋体"/>
          <w:sz w:val="24"/>
        </w:rPr>
        <w:t>连带</w:t>
      </w:r>
      <w:r>
        <w:rPr>
          <w:rFonts w:ascii="宋体" w:hAnsi="宋体" w:hint="eastAsia"/>
          <w:sz w:val="24"/>
        </w:rPr>
        <w:t>赔偿</w:t>
      </w:r>
      <w:r>
        <w:rPr>
          <w:rFonts w:ascii="宋体" w:hAnsi="宋体"/>
          <w:sz w:val="24"/>
        </w:rPr>
        <w:t>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和/或</w:t>
      </w:r>
      <w:r>
        <w:rPr>
          <w:rFonts w:ascii="宋体" w:hAnsi="宋体"/>
          <w:sz w:val="24"/>
        </w:rPr>
        <w:t>基金托管人按照</w:t>
      </w:r>
      <w:r>
        <w:rPr>
          <w:rFonts w:ascii="宋体" w:hAnsi="宋体" w:hint="eastAsia"/>
          <w:sz w:val="24"/>
        </w:rPr>
        <w:t>届时</w:t>
      </w:r>
      <w:r>
        <w:rPr>
          <w:rFonts w:ascii="宋体" w:hAnsi="宋体"/>
          <w:sz w:val="24"/>
        </w:rPr>
        <w:t>有效的法律法规或中国证监会的规定作为或不作为而造成的损失等；</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基金管理人由于按照《基金合同》规定的投资原则而行使或不行使其投资权而造成的损失等；</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rsidR="005553D6" w:rsidRDefault="00FA690A">
      <w:pPr>
        <w:spacing w:line="360" w:lineRule="auto"/>
        <w:ind w:firstLineChars="200" w:firstLine="480"/>
        <w:contextualSpacing/>
        <w:rPr>
          <w:rFonts w:ascii="宋体" w:hAnsi="宋体"/>
          <w:sz w:val="24"/>
        </w:rPr>
        <w:sectPr w:rsidR="005553D6">
          <w:footerReference w:type="default" r:id="rId76"/>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553D6" w:rsidRDefault="005553D6">
      <w:pPr>
        <w:spacing w:line="360" w:lineRule="auto"/>
        <w:ind w:firstLineChars="200" w:firstLine="480"/>
        <w:contextualSpacing/>
        <w:rPr>
          <w:rFonts w:ascii="宋体" w:hAnsi="宋体"/>
          <w:sz w:val="24"/>
        </w:rPr>
      </w:pPr>
    </w:p>
    <w:p w:rsidR="005553D6" w:rsidRDefault="00FA690A">
      <w:pPr>
        <w:pStyle w:val="ac"/>
        <w:numPr>
          <w:ilvl w:val="255"/>
          <w:numId w:val="0"/>
        </w:numPr>
        <w:spacing w:before="0" w:after="0"/>
        <w:ind w:firstLineChars="800" w:firstLine="2570"/>
        <w:jc w:val="both"/>
        <w:rPr>
          <w:rFonts w:ascii="宋体" w:eastAsia="宋体" w:hAnsi="宋体"/>
        </w:rPr>
      </w:pPr>
      <w:r>
        <w:rPr>
          <w:rFonts w:ascii="宋体" w:eastAsia="宋体" w:hAnsi="宋体" w:cs="Arial" w:hint="eastAsia"/>
          <w:szCs w:val="21"/>
        </w:rPr>
        <w:lastRenderedPageBreak/>
        <w:t>第十八部分</w:t>
      </w:r>
      <w:bookmarkStart w:id="183" w:name="_Toc384992708"/>
      <w:bookmarkStart w:id="184" w:name="_Toc348082046"/>
      <w:bookmarkStart w:id="185" w:name="_Toc3276865"/>
      <w:r>
        <w:rPr>
          <w:rFonts w:ascii="宋体" w:eastAsia="宋体" w:hAnsi="宋体"/>
        </w:rPr>
        <w:t xml:space="preserve">   </w:t>
      </w:r>
      <w:r>
        <w:rPr>
          <w:rFonts w:ascii="宋体" w:eastAsia="宋体" w:hAnsi="宋体" w:hint="eastAsia"/>
        </w:rPr>
        <w:t>争议解决方式</w:t>
      </w:r>
      <w:bookmarkEnd w:id="183"/>
      <w:bookmarkEnd w:id="184"/>
      <w:bookmarkEnd w:id="185"/>
    </w:p>
    <w:p w:rsidR="005553D6" w:rsidRDefault="00FA690A">
      <w:pPr>
        <w:spacing w:line="360" w:lineRule="auto"/>
        <w:ind w:firstLineChars="200" w:firstLine="480"/>
        <w:contextualSpacing/>
        <w:rPr>
          <w:rFonts w:ascii="宋体" w:hAnsi="宋体"/>
          <w:sz w:val="24"/>
        </w:rPr>
      </w:pPr>
      <w:r>
        <w:rPr>
          <w:rFonts w:ascii="宋体" w:hAnsi="宋体"/>
          <w:sz w:val="24"/>
        </w:rPr>
        <w:t>双</w:t>
      </w:r>
      <w:r>
        <w:rPr>
          <w:rFonts w:ascii="宋体" w:hAnsi="宋体" w:hint="eastAsia"/>
          <w:sz w:val="24"/>
        </w:rPr>
        <w:t>方当事人同意，因本协议而产生的或与本协议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rsidR="005553D6" w:rsidRDefault="00FA690A">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w:t>
      </w:r>
    </w:p>
    <w:p w:rsidR="005553D6" w:rsidRDefault="005553D6">
      <w:pPr>
        <w:spacing w:line="360" w:lineRule="auto"/>
        <w:ind w:firstLineChars="200" w:firstLine="480"/>
        <w:contextualSpacing/>
        <w:rPr>
          <w:rFonts w:ascii="宋体" w:hAnsi="宋体"/>
          <w:sz w:val="24"/>
        </w:rPr>
      </w:pPr>
    </w:p>
    <w:bookmarkEnd w:id="181"/>
    <w:p w:rsidR="005553D6" w:rsidRDefault="005553D6">
      <w:pPr>
        <w:spacing w:line="360" w:lineRule="auto"/>
        <w:ind w:firstLineChars="200" w:firstLine="480"/>
        <w:contextualSpacing/>
        <w:rPr>
          <w:rFonts w:ascii="宋体" w:hAnsi="宋体"/>
          <w:sz w:val="24"/>
        </w:rPr>
        <w:sectPr w:rsidR="005553D6">
          <w:footerReference w:type="default" r:id="rId77"/>
          <w:type w:val="continuous"/>
          <w:pgSz w:w="11906" w:h="16838"/>
          <w:pgMar w:top="1418" w:right="1701" w:bottom="1418" w:left="1701" w:header="851" w:footer="992" w:gutter="0"/>
          <w:pgNumType w:start="1" w:chapStyle="1"/>
          <w:cols w:space="425"/>
          <w:docGrid w:type="lines" w:linePitch="312"/>
        </w:sectPr>
      </w:pPr>
    </w:p>
    <w:p w:rsidR="005553D6" w:rsidRDefault="00FA690A">
      <w:pPr>
        <w:pStyle w:val="ac"/>
        <w:numPr>
          <w:ilvl w:val="255"/>
          <w:numId w:val="0"/>
        </w:numPr>
        <w:spacing w:before="100" w:beforeAutospacing="1" w:after="100" w:afterAutospacing="1"/>
        <w:ind w:firstLineChars="800" w:firstLine="2570"/>
        <w:jc w:val="both"/>
        <w:rPr>
          <w:rFonts w:ascii="宋体" w:eastAsia="宋体" w:hAnsi="宋体"/>
        </w:rPr>
      </w:pPr>
      <w:bookmarkStart w:id="186" w:name="_Toc384992709"/>
      <w:bookmarkStart w:id="187" w:name="_Toc348082047"/>
      <w:bookmarkStart w:id="188" w:name="_Toc3276866"/>
      <w:bookmarkStart w:id="189" w:name="CLAUSE_0edbdfc79ee74f15b2a5095eb68f0827"/>
      <w:r>
        <w:rPr>
          <w:rFonts w:ascii="宋体" w:eastAsia="宋体" w:hAnsi="宋体" w:hint="eastAsia"/>
        </w:rPr>
        <w:lastRenderedPageBreak/>
        <w:t>第十九部分</w:t>
      </w:r>
      <w:r>
        <w:rPr>
          <w:rFonts w:ascii="宋体" w:eastAsia="宋体" w:hAnsi="宋体"/>
        </w:rPr>
        <w:t xml:space="preserve"> </w:t>
      </w:r>
      <w:bookmarkStart w:id="190" w:name="CTS_0edbdfc79ee74f15b2a5095eb68f0827"/>
      <w:bookmarkEnd w:id="190"/>
      <w:r>
        <w:rPr>
          <w:rFonts w:ascii="宋体" w:eastAsia="宋体" w:hAnsi="宋体"/>
        </w:rPr>
        <w:t xml:space="preserve">   </w:t>
      </w:r>
      <w:r>
        <w:rPr>
          <w:rFonts w:ascii="宋体" w:eastAsia="宋体" w:hAnsi="宋体" w:hint="eastAsia"/>
        </w:rPr>
        <w:t>托管协议的效力</w:t>
      </w:r>
      <w:bookmarkEnd w:id="186"/>
      <w:bookmarkEnd w:id="187"/>
      <w:bookmarkEnd w:id="188"/>
    </w:p>
    <w:p w:rsidR="005553D6" w:rsidRDefault="00FA690A">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w:t>
      </w:r>
      <w:r>
        <w:rPr>
          <w:rFonts w:ascii="宋体" w:hAnsi="宋体"/>
          <w:sz w:val="24"/>
        </w:rPr>
        <w:t>募集注册</w:t>
      </w:r>
      <w:r>
        <w:rPr>
          <w:rFonts w:ascii="宋体" w:hAnsi="宋体" w:hint="eastAsia"/>
          <w:sz w:val="24"/>
        </w:rPr>
        <w:t>时提交的托管协议，应经托管协议当事人双方盖章以及双方法定代表人或授权代表签字或盖章，协议当事人双方根据中国证监会的意见修改并正式签署托管协议。托管协议以中国证监会注册的文本为正式文本。</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（四）本协议一式三份，协议双方各持一份，由基金管理人根据需要上报监管机构一份，每份具有同等法律效力。</w:t>
      </w:r>
    </w:p>
    <w:bookmarkEnd w:id="189"/>
    <w:p w:rsidR="005553D6" w:rsidRDefault="005553D6">
      <w:pPr>
        <w:spacing w:line="360" w:lineRule="auto"/>
        <w:ind w:firstLineChars="200" w:firstLine="480"/>
        <w:contextualSpacing/>
        <w:rPr>
          <w:rFonts w:ascii="宋体" w:hAnsi="宋体"/>
          <w:sz w:val="24"/>
        </w:rPr>
        <w:sectPr w:rsidR="005553D6">
          <w:footerReference w:type="default" r:id="rId78"/>
          <w:pgSz w:w="11906" w:h="16838"/>
          <w:pgMar w:top="1418" w:right="1701" w:bottom="1418" w:left="1701" w:header="851" w:footer="992" w:gutter="0"/>
          <w:pgNumType w:start="1" w:chapStyle="1"/>
          <w:cols w:space="425"/>
          <w:docGrid w:type="lines" w:linePitch="312"/>
        </w:sectPr>
      </w:pPr>
    </w:p>
    <w:p w:rsidR="005553D6" w:rsidRDefault="00FA690A">
      <w:pPr>
        <w:pStyle w:val="ac"/>
        <w:numPr>
          <w:ilvl w:val="255"/>
          <w:numId w:val="0"/>
        </w:numPr>
        <w:spacing w:before="100" w:beforeAutospacing="1" w:after="100" w:afterAutospacing="1"/>
        <w:jc w:val="both"/>
        <w:rPr>
          <w:rFonts w:ascii="宋体" w:eastAsia="宋体" w:hAnsi="宋体"/>
        </w:rPr>
      </w:pPr>
      <w:bookmarkStart w:id="191" w:name="_Toc3276867"/>
      <w:bookmarkStart w:id="192" w:name="_Toc384992710"/>
      <w:bookmarkStart w:id="193" w:name="_Toc348082048"/>
      <w:bookmarkStart w:id="194" w:name="CLAUSE_ef77158db4244c4896d00920fd2b4b7b"/>
      <w:r>
        <w:rPr>
          <w:rFonts w:ascii="宋体" w:eastAsia="宋体" w:hAnsi="宋体"/>
        </w:rPr>
        <w:lastRenderedPageBreak/>
        <w:t xml:space="preserve"> </w:t>
      </w:r>
      <w:bookmarkStart w:id="195" w:name="CTS_ef77158db4244c4896d00920fd2b4b7b"/>
      <w:bookmarkEnd w:id="195"/>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第二十部分 其他事项</w:t>
      </w:r>
      <w:bookmarkEnd w:id="191"/>
      <w:bookmarkEnd w:id="192"/>
      <w:bookmarkEnd w:id="193"/>
    </w:p>
    <w:p w:rsidR="005553D6" w:rsidRDefault="00FA690A">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rsidR="005553D6" w:rsidRDefault="00FA690A">
      <w:pPr>
        <w:spacing w:line="360" w:lineRule="auto"/>
        <w:ind w:firstLineChars="200" w:firstLine="480"/>
        <w:contextualSpacing/>
        <w:rPr>
          <w:rFonts w:ascii="宋体" w:hAnsi="宋体"/>
          <w:sz w:val="24"/>
        </w:rPr>
        <w:sectPr w:rsidR="005553D6">
          <w:footerReference w:type="default" r:id="rId79"/>
          <w:pgSz w:w="11906" w:h="16838"/>
          <w:pgMar w:top="1418" w:right="1701" w:bottom="1418" w:left="1701" w:header="851" w:footer="992" w:gutter="0"/>
          <w:pgNumType w:start="1" w:chapStyle="1"/>
          <w:cols w:space="425"/>
          <w:docGrid w:type="lines" w:linePitch="312"/>
        </w:sectPr>
      </w:pPr>
      <w:r>
        <w:rPr>
          <w:rFonts w:ascii="宋体" w:hAnsi="宋体" w:hint="eastAsia"/>
          <w:sz w:val="24"/>
        </w:rPr>
        <w:t>本协议附件构成本协议不可分割的组成部分。</w:t>
      </w:r>
      <w:bookmarkEnd w:id="194"/>
    </w:p>
    <w:p w:rsidR="005553D6" w:rsidRDefault="00FA690A">
      <w:pPr>
        <w:pStyle w:val="ac"/>
        <w:numPr>
          <w:ilvl w:val="255"/>
          <w:numId w:val="0"/>
        </w:numPr>
        <w:spacing w:before="100" w:beforeAutospacing="1" w:after="100" w:afterAutospacing="1"/>
        <w:jc w:val="both"/>
        <w:rPr>
          <w:rFonts w:ascii="宋体" w:eastAsia="宋体" w:hAnsi="宋体"/>
        </w:rPr>
      </w:pPr>
      <w:bookmarkStart w:id="196" w:name="_Toc3276868"/>
      <w:bookmarkStart w:id="197" w:name="_Toc384992711"/>
      <w:bookmarkStart w:id="198" w:name="_Toc348082049"/>
      <w:bookmarkStart w:id="199" w:name="CLAUSE_21b2d0fce39e458b881a6acf05e113ec"/>
      <w:r>
        <w:rPr>
          <w:rFonts w:ascii="宋体" w:eastAsia="宋体" w:hAnsi="宋体"/>
        </w:rPr>
        <w:lastRenderedPageBreak/>
        <w:t xml:space="preserve"> </w:t>
      </w:r>
      <w:bookmarkStart w:id="200" w:name="CTS_21b2d0fce39e458b881a6acf05e113ec"/>
      <w:bookmarkEnd w:id="200"/>
      <w:r>
        <w:rPr>
          <w:rFonts w:ascii="宋体" w:eastAsia="宋体" w:hAnsi="宋体"/>
        </w:rPr>
        <w:t xml:space="preserve">   </w:t>
      </w:r>
      <w:r>
        <w:rPr>
          <w:rFonts w:ascii="宋体" w:eastAsia="宋体" w:hAnsi="宋体" w:hint="eastAsia"/>
        </w:rPr>
        <w:t xml:space="preserve">         第二十一部分  托管协议的签订</w:t>
      </w:r>
      <w:bookmarkEnd w:id="196"/>
      <w:bookmarkEnd w:id="197"/>
      <w:bookmarkEnd w:id="198"/>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rsidR="005553D6" w:rsidRDefault="005553D6">
      <w:pPr>
        <w:spacing w:line="360" w:lineRule="auto"/>
        <w:contextualSpacing/>
        <w:rPr>
          <w:rFonts w:ascii="宋体" w:hAnsi="宋体"/>
          <w:sz w:val="24"/>
        </w:rPr>
      </w:pPr>
    </w:p>
    <w:bookmarkEnd w:id="10"/>
    <w:bookmarkEnd w:id="11"/>
    <w:bookmarkEnd w:id="12"/>
    <w:bookmarkEnd w:id="199"/>
    <w:p w:rsidR="005553D6" w:rsidRDefault="005553D6">
      <w:pPr>
        <w:spacing w:line="360" w:lineRule="auto"/>
        <w:ind w:firstLineChars="200" w:firstLine="480"/>
        <w:contextualSpacing/>
        <w:rPr>
          <w:rFonts w:ascii="宋体" w:hAnsi="宋体"/>
          <w:sz w:val="24"/>
        </w:rPr>
        <w:sectPr w:rsidR="005553D6">
          <w:footerReference w:type="default" r:id="rId80"/>
          <w:pgSz w:w="11906" w:h="16838"/>
          <w:pgMar w:top="1418" w:right="1701" w:bottom="1418" w:left="1701" w:header="851" w:footer="992" w:gutter="0"/>
          <w:pgNumType w:start="1" w:chapStyle="1"/>
          <w:cols w:space="425"/>
          <w:docGrid w:type="lines" w:linePitch="312"/>
        </w:sectPr>
      </w:pPr>
    </w:p>
    <w:p w:rsidR="005553D6" w:rsidRPr="000264E7" w:rsidRDefault="00FA690A">
      <w:pPr>
        <w:spacing w:line="360" w:lineRule="auto"/>
        <w:contextualSpacing/>
        <w:rPr>
          <w:rFonts w:ascii="宋体" w:hAnsi="宋体"/>
          <w:sz w:val="22"/>
        </w:rPr>
      </w:pPr>
      <w:bookmarkStart w:id="201" w:name="CLAUSE_6eae47de7a574b50b4ae849139c98b19"/>
      <w:r w:rsidRPr="000264E7">
        <w:rPr>
          <w:rFonts w:ascii="宋体" w:hAnsi="宋体"/>
          <w:sz w:val="20"/>
        </w:rPr>
        <w:lastRenderedPageBreak/>
        <w:t xml:space="preserve"> </w:t>
      </w:r>
      <w:bookmarkStart w:id="202" w:name="CTS_6eae47de7a574b50b4ae849139c98b19"/>
      <w:bookmarkEnd w:id="202"/>
      <w:r w:rsidRPr="000264E7">
        <w:rPr>
          <w:rFonts w:ascii="宋体" w:hAnsi="宋体" w:hint="eastAsia"/>
          <w:sz w:val="22"/>
          <w:szCs w:val="21"/>
        </w:rPr>
        <w:t>本页为《东方阿尔法兴科一年持有期混合型证券投资基金托管协议》签署页，无正文）</w:t>
      </w:r>
    </w:p>
    <w:p w:rsidR="005553D6" w:rsidRDefault="005553D6">
      <w:pPr>
        <w:widowControl/>
        <w:jc w:val="left"/>
        <w:rPr>
          <w:rFonts w:ascii="宋体" w:hAnsi="宋体"/>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pPr>
        <w:adjustRightInd w:val="0"/>
        <w:snapToGrid w:val="0"/>
        <w:spacing w:line="360" w:lineRule="auto"/>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（公章或合同专用章）</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月    日</w:t>
      </w:r>
    </w:p>
    <w:p w:rsidR="005553D6" w:rsidRDefault="00FA690A" w:rsidP="000264E7">
      <w:pPr>
        <w:adjustRightInd w:val="0"/>
        <w:snapToGrid w:val="0"/>
        <w:spacing w:line="360" w:lineRule="auto"/>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sz w:val="28"/>
          <w:szCs w:val="28"/>
        </w:rPr>
      </w:pPr>
      <w:r>
        <w:rPr>
          <w:rFonts w:ascii="宋体" w:hAnsi="宋体" w:cs="Arial" w:hint="eastAsia"/>
          <w:b/>
          <w:sz w:val="28"/>
          <w:szCs w:val="28"/>
        </w:rPr>
        <w:t>基金托管人：兴业</w:t>
      </w:r>
      <w:r>
        <w:rPr>
          <w:rFonts w:ascii="宋体" w:hAnsi="宋体" w:cs="Arial" w:hint="eastAsia"/>
          <w:sz w:val="28"/>
          <w:szCs w:val="28"/>
        </w:rPr>
        <w:t>银行股份有限公司</w:t>
      </w:r>
      <w:r>
        <w:rPr>
          <w:rFonts w:ascii="宋体" w:hAnsi="宋体" w:cs="Arial"/>
          <w:sz w:val="28"/>
          <w:szCs w:val="28"/>
        </w:rPr>
        <w:t xml:space="preserve"> </w:t>
      </w:r>
      <w:r>
        <w:rPr>
          <w:rFonts w:ascii="宋体" w:hAnsi="宋体" w:cs="Arial" w:hint="eastAsia"/>
          <w:sz w:val="28"/>
          <w:szCs w:val="28"/>
        </w:rPr>
        <w:t>（公章或合同专用章）</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rsidR="005553D6" w:rsidRDefault="00FA690A" w:rsidP="000264E7">
      <w:pPr>
        <w:adjustRightInd w:val="0"/>
        <w:snapToGrid w:val="0"/>
        <w:spacing w:line="360" w:lineRule="auto"/>
        <w:rPr>
          <w:rFonts w:ascii="宋体" w:hAnsi="宋体"/>
          <w:b/>
        </w:rPr>
      </w:pPr>
      <w:r>
        <w:rPr>
          <w:rFonts w:ascii="宋体" w:hAnsi="宋体" w:cs="Arial"/>
          <w:b/>
          <w:sz w:val="28"/>
          <w:szCs w:val="28"/>
        </w:rPr>
        <w:t>签署地</w:t>
      </w:r>
      <w:r>
        <w:rPr>
          <w:rFonts w:ascii="宋体" w:hAnsi="宋体" w:cs="Arial" w:hint="eastAsia"/>
          <w:b/>
          <w:sz w:val="28"/>
          <w:szCs w:val="28"/>
        </w:rPr>
        <w:t>：</w:t>
      </w:r>
      <w:bookmarkEnd w:id="201"/>
    </w:p>
    <w:sectPr w:rsidR="005553D6">
      <w:footerReference w:type="default" r:id="rId81"/>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94D" w:rsidRDefault="00DA394D">
      <w:r>
        <w:separator/>
      </w:r>
    </w:p>
  </w:endnote>
  <w:endnote w:type="continuationSeparator" w:id="0">
    <w:p w:rsidR="00DA394D" w:rsidRDefault="00DA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F0" w:rsidRDefault="009E74F0">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p w:rsidR="008E6233" w:rsidRDefault="008E623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9E74F0" w:rsidRPr="009E74F0">
      <w:rPr>
        <w:noProof/>
        <w:lang w:val="zh-CN"/>
      </w:rPr>
      <w:t>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2</w:t>
    </w:r>
    <w:r>
      <w:fldChar w:fldCharType="end"/>
    </w:r>
  </w:p>
  <w:p w:rsidR="008E6233" w:rsidRDefault="008E6233">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F0" w:rsidRDefault="009E74F0">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t>1</w:t>
    </w:r>
  </w:p>
  <w:p w:rsidR="008E6233" w:rsidRDefault="008E6233">
    <w:pPr>
      <w:pStyle w:val="a9"/>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t>1</w:t>
    </w:r>
  </w:p>
  <w:p w:rsidR="008E6233" w:rsidRDefault="008E6233">
    <w:pPr>
      <w:pStyle w:val="a9"/>
      <w:ind w:left="42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tabs>
        <w:tab w:val="clear" w:pos="8306"/>
        <w:tab w:val="right" w:pos="4253"/>
      </w:tabs>
      <w:ind w:left="42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E74F0" w:rsidRPr="009E74F0">
      <w:rPr>
        <w:noProof/>
        <w:lang w:val="zh-CN"/>
      </w:rPr>
      <w:t>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ind w:left="3906"/>
    </w:pPr>
  </w:p>
  <w:p w:rsidR="008E6233" w:rsidRDefault="008E623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F0" w:rsidRDefault="009E74F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jc w:val="center"/>
    </w:pPr>
    <w:r>
      <w:fldChar w:fldCharType="begin"/>
    </w:r>
    <w:r>
      <w:instrText>PAGE   \* MERGEFORMAT</w:instrText>
    </w:r>
    <w:r>
      <w:fldChar w:fldCharType="separate"/>
    </w:r>
    <w:r w:rsidR="009E74F0" w:rsidRPr="009E74F0">
      <w:rPr>
        <w:noProof/>
        <w:lang w:val="zh-CN"/>
      </w:rPr>
      <w:t>I</w:t>
    </w:r>
    <w:r>
      <w:fldChar w:fldCharType="end"/>
    </w:r>
  </w:p>
  <w:p w:rsidR="008E6233" w:rsidRDefault="008E6233">
    <w:pPr>
      <w:pStyle w:val="a9"/>
      <w:ind w:left="420"/>
    </w:pPr>
  </w:p>
  <w:p w:rsidR="008E6233" w:rsidRDefault="008E6233">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20" w:firstLine="3996"/>
    </w:pPr>
    <w:r>
      <w:fldChar w:fldCharType="begin"/>
    </w:r>
    <w:r>
      <w:instrText>PAGE   \* MERGEFORMAT</w:instrText>
    </w:r>
    <w:r>
      <w:fldChar w:fldCharType="separate"/>
    </w:r>
    <w:r w:rsidR="009E74F0" w:rsidRPr="009E74F0">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p w:rsidR="008E6233" w:rsidRDefault="008E623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20" w:firstLine="3996"/>
    </w:pPr>
    <w:r>
      <w:fldChar w:fldCharType="begin"/>
    </w:r>
    <w:r>
      <w:instrText>PAGE   \* MERGEFORMAT</w:instrText>
    </w:r>
    <w:r>
      <w:fldChar w:fldCharType="separate"/>
    </w:r>
    <w:r w:rsidR="009E74F0" w:rsidRPr="009E74F0">
      <w:rPr>
        <w:noProof/>
        <w:lang w:val="zh-CN"/>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1</w:t>
    </w:r>
    <w:r>
      <w:fldChar w:fldCharType="end"/>
    </w:r>
  </w:p>
  <w:p w:rsidR="008E6233" w:rsidRDefault="008E6233">
    <w:pPr>
      <w:pStyle w:val="a9"/>
      <w:ind w:left="420"/>
    </w:pPr>
  </w:p>
  <w:p w:rsidR="008E6233" w:rsidRDefault="008E623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8E6233">
    <w:pPr>
      <w:pStyle w:val="a9"/>
      <w:numPr>
        <w:ilvl w:val="0"/>
        <w:numId w:val="1"/>
      </w:numPr>
      <w:ind w:left="0" w:firstLineChars="2200" w:firstLine="3960"/>
    </w:pPr>
    <w:r>
      <w:fldChar w:fldCharType="begin"/>
    </w:r>
    <w:r>
      <w:instrText>PAGE   \* MERGEFORMAT</w:instrText>
    </w:r>
    <w:r>
      <w:fldChar w:fldCharType="separate"/>
    </w:r>
    <w:r w:rsidR="009E74F0" w:rsidRPr="009E74F0">
      <w:rPr>
        <w:noProof/>
        <w:lang w:val="zh-CN"/>
      </w:rPr>
      <w:t>4</w:t>
    </w:r>
    <w:r>
      <w:fldChar w:fldCharType="end"/>
    </w:r>
  </w:p>
  <w:p w:rsidR="008E6233" w:rsidRDefault="008E6233">
    <w:pPr>
      <w:pStyle w:val="a9"/>
      <w:ind w:left="420"/>
    </w:pPr>
  </w:p>
  <w:p w:rsidR="008E6233" w:rsidRDefault="008E62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94D" w:rsidRDefault="00DA394D">
      <w:r>
        <w:separator/>
      </w:r>
    </w:p>
  </w:footnote>
  <w:footnote w:type="continuationSeparator" w:id="0">
    <w:p w:rsidR="00DA394D" w:rsidRDefault="00DA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F0" w:rsidRDefault="009E74F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9E74F0" w:rsidP="00037B96">
    <w:pPr>
      <w:pStyle w:val="aa"/>
      <w:rPr>
        <w:rFonts w:ascii="宋体" w:hAnsi="宋体"/>
      </w:rPr>
    </w:pPr>
    <w:r>
      <w:rPr>
        <w:rFonts w:ascii="宋体" w:hAnsi="宋体" w:cs="宋体" w:hint="eastAsia"/>
      </w:rPr>
      <w:t xml:space="preserve"> </w:t>
    </w:r>
    <w:r>
      <w:rPr>
        <w:rFonts w:ascii="宋体" w:hAnsi="宋体" w:cs="宋体"/>
      </w:rPr>
      <w:t xml:space="preserve">                        </w:t>
    </w:r>
    <w:r w:rsidR="008E6233">
      <w:rPr>
        <w:rFonts w:ascii="宋体" w:hAnsi="宋体" w:cs="宋体" w:hint="eastAsia"/>
      </w:rPr>
      <w:t>东方阿尔法兴科一年持有期混合型</w:t>
    </w:r>
    <w:r w:rsidR="008E6233">
      <w:rPr>
        <w:rFonts w:ascii="宋体" w:hAnsi="宋体" w:hint="eastAsia"/>
      </w:rPr>
      <w:t>证券投资基金托管协议（2</w:t>
    </w:r>
    <w:r w:rsidR="008E6233">
      <w:rPr>
        <w:rFonts w:ascii="宋体" w:hAnsi="宋体"/>
      </w:rPr>
      <w:t>023年</w:t>
    </w:r>
    <w:r w:rsidR="008E6233">
      <w:rPr>
        <w:rFonts w:ascii="宋体" w:hAnsi="宋体" w:hint="eastAsia"/>
      </w:rPr>
      <w:t>8月修订）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F0" w:rsidRDefault="009E74F0">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33" w:rsidRDefault="009E74F0" w:rsidP="00037B96">
    <w:pPr>
      <w:pStyle w:val="aa"/>
      <w:ind w:right="180"/>
      <w:rPr>
        <w:rFonts w:ascii="宋体" w:hAnsi="宋体"/>
      </w:rPr>
    </w:pPr>
    <w:r>
      <w:rPr>
        <w:rFonts w:ascii="宋体" w:hAnsi="宋体" w:cs="宋体" w:hint="eastAsia"/>
      </w:rPr>
      <w:t xml:space="preserve"> </w:t>
    </w:r>
    <w:r>
      <w:rPr>
        <w:rFonts w:ascii="宋体" w:hAnsi="宋体" w:cs="宋体"/>
      </w:rPr>
      <w:t xml:space="preserve">                     </w:t>
    </w:r>
    <w:bookmarkStart w:id="16" w:name="_GoBack"/>
    <w:bookmarkEnd w:id="16"/>
    <w:r w:rsidR="008E6233">
      <w:rPr>
        <w:rFonts w:ascii="宋体" w:hAnsi="宋体" w:cs="宋体" w:hint="eastAsia"/>
      </w:rPr>
      <w:t>东方阿尔法兴科一年持有期混合型</w:t>
    </w:r>
    <w:r w:rsidR="008E6233">
      <w:rPr>
        <w:rFonts w:ascii="宋体" w:hAnsi="宋体" w:hint="eastAsia"/>
      </w:rPr>
      <w:t>证券投资基金托管协议（2</w:t>
    </w:r>
    <w:r w:rsidR="008E6233">
      <w:rPr>
        <w:rFonts w:ascii="宋体" w:hAnsi="宋体"/>
      </w:rPr>
      <w:t>023年</w:t>
    </w:r>
    <w:r w:rsidR="008E6233">
      <w:rPr>
        <w:rFonts w:ascii="宋体" w:hAnsi="宋体" w:hint="eastAsia"/>
      </w:rPr>
      <w:t>8</w:t>
    </w:r>
    <w:r w:rsidR="006E3D91">
      <w:rPr>
        <w:rFonts w:ascii="宋体" w:hAnsi="宋体" w:hint="eastAsia"/>
      </w:rPr>
      <w:t>月修订</w:t>
    </w:r>
    <w:r w:rsidR="008E6233">
      <w:rPr>
        <w:rFonts w:ascii="宋体" w:hAnsi="宋体" w:hint="eastAsia"/>
      </w:rPr>
      <w:t>）</w:t>
    </w:r>
  </w:p>
  <w:p w:rsidR="008E6233" w:rsidRDefault="008E6233">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CCA92EF"/>
    <w:multiLevelType w:val="singleLevel"/>
    <w:tmpl w:val="4CCA92EF"/>
    <w:lvl w:ilvl="0">
      <w:start w:val="4"/>
      <w:numFmt w:val="decimal"/>
      <w:suff w:val="nothing"/>
      <w:lvlText w:val="（%1）"/>
      <w:lvlJc w:val="left"/>
    </w:lvl>
  </w:abstractNum>
  <w:abstractNum w:abstractNumId="3">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0604D3"/>
    <w:multiLevelType w:val="singleLevel"/>
    <w:tmpl w:val="5F0604D3"/>
    <w:lvl w:ilvl="0">
      <w:start w:val="3"/>
      <w:numFmt w:val="decimal"/>
      <w:suff w:val="nothing"/>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64E7"/>
    <w:rsid w:val="00027D10"/>
    <w:rsid w:val="0003094D"/>
    <w:rsid w:val="00031A4E"/>
    <w:rsid w:val="00031D78"/>
    <w:rsid w:val="00031D96"/>
    <w:rsid w:val="00035380"/>
    <w:rsid w:val="00035F02"/>
    <w:rsid w:val="0003716D"/>
    <w:rsid w:val="00037B96"/>
    <w:rsid w:val="00041987"/>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5055"/>
    <w:rsid w:val="00096097"/>
    <w:rsid w:val="00097239"/>
    <w:rsid w:val="000A1593"/>
    <w:rsid w:val="000A1777"/>
    <w:rsid w:val="000A20C8"/>
    <w:rsid w:val="000A5690"/>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2BC"/>
    <w:rsid w:val="000D7E47"/>
    <w:rsid w:val="000E35CB"/>
    <w:rsid w:val="000E596F"/>
    <w:rsid w:val="000E5A57"/>
    <w:rsid w:val="000E6573"/>
    <w:rsid w:val="000E7A28"/>
    <w:rsid w:val="000F0E6F"/>
    <w:rsid w:val="000F2B08"/>
    <w:rsid w:val="000F3622"/>
    <w:rsid w:val="000F3A96"/>
    <w:rsid w:val="00100945"/>
    <w:rsid w:val="00101318"/>
    <w:rsid w:val="00101B58"/>
    <w:rsid w:val="00101B7F"/>
    <w:rsid w:val="00102071"/>
    <w:rsid w:val="001034EB"/>
    <w:rsid w:val="00103E93"/>
    <w:rsid w:val="0010485A"/>
    <w:rsid w:val="00105067"/>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16B7"/>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1747D"/>
    <w:rsid w:val="00220573"/>
    <w:rsid w:val="002215D2"/>
    <w:rsid w:val="002216E7"/>
    <w:rsid w:val="00221872"/>
    <w:rsid w:val="00222341"/>
    <w:rsid w:val="00222498"/>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3BB4"/>
    <w:rsid w:val="002A4894"/>
    <w:rsid w:val="002A790E"/>
    <w:rsid w:val="002A7E73"/>
    <w:rsid w:val="002B11CF"/>
    <w:rsid w:val="002B19DD"/>
    <w:rsid w:val="002B2AD4"/>
    <w:rsid w:val="002B39E6"/>
    <w:rsid w:val="002B3F62"/>
    <w:rsid w:val="002B4AF1"/>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2F7AF4"/>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26F7"/>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FE3"/>
    <w:rsid w:val="003659AF"/>
    <w:rsid w:val="0037101B"/>
    <w:rsid w:val="00371CDD"/>
    <w:rsid w:val="003726C2"/>
    <w:rsid w:val="00377F88"/>
    <w:rsid w:val="00383076"/>
    <w:rsid w:val="00387900"/>
    <w:rsid w:val="003936BA"/>
    <w:rsid w:val="003939F1"/>
    <w:rsid w:val="0039673F"/>
    <w:rsid w:val="003979A1"/>
    <w:rsid w:val="003A1410"/>
    <w:rsid w:val="003A14C3"/>
    <w:rsid w:val="003A30E5"/>
    <w:rsid w:val="003A4492"/>
    <w:rsid w:val="003A4F07"/>
    <w:rsid w:val="003A6B7B"/>
    <w:rsid w:val="003A726C"/>
    <w:rsid w:val="003B1C76"/>
    <w:rsid w:val="003B31B5"/>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4F4"/>
    <w:rsid w:val="00416DA4"/>
    <w:rsid w:val="00423845"/>
    <w:rsid w:val="004255F7"/>
    <w:rsid w:val="00425D01"/>
    <w:rsid w:val="004265DC"/>
    <w:rsid w:val="004275E3"/>
    <w:rsid w:val="00427FD7"/>
    <w:rsid w:val="004300A8"/>
    <w:rsid w:val="00430BC5"/>
    <w:rsid w:val="00430DD8"/>
    <w:rsid w:val="00431AC3"/>
    <w:rsid w:val="00431F66"/>
    <w:rsid w:val="004324F7"/>
    <w:rsid w:val="0043360C"/>
    <w:rsid w:val="00434945"/>
    <w:rsid w:val="004359C6"/>
    <w:rsid w:val="004365D5"/>
    <w:rsid w:val="00437913"/>
    <w:rsid w:val="00440182"/>
    <w:rsid w:val="00440E3A"/>
    <w:rsid w:val="0044103D"/>
    <w:rsid w:val="00442664"/>
    <w:rsid w:val="00442802"/>
    <w:rsid w:val="0044382F"/>
    <w:rsid w:val="00443C07"/>
    <w:rsid w:val="0044539E"/>
    <w:rsid w:val="0044748B"/>
    <w:rsid w:val="00450FE9"/>
    <w:rsid w:val="00451F7B"/>
    <w:rsid w:val="0045247A"/>
    <w:rsid w:val="004535FF"/>
    <w:rsid w:val="00455436"/>
    <w:rsid w:val="00457443"/>
    <w:rsid w:val="004607BB"/>
    <w:rsid w:val="004610F6"/>
    <w:rsid w:val="00461DD4"/>
    <w:rsid w:val="00461F61"/>
    <w:rsid w:val="00464303"/>
    <w:rsid w:val="004655D3"/>
    <w:rsid w:val="00466B19"/>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6921"/>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8B6"/>
    <w:rsid w:val="00524C77"/>
    <w:rsid w:val="00526015"/>
    <w:rsid w:val="00527783"/>
    <w:rsid w:val="00527B02"/>
    <w:rsid w:val="005355E8"/>
    <w:rsid w:val="00541673"/>
    <w:rsid w:val="005451F9"/>
    <w:rsid w:val="005502D9"/>
    <w:rsid w:val="00550F23"/>
    <w:rsid w:val="00552526"/>
    <w:rsid w:val="00553922"/>
    <w:rsid w:val="005553D6"/>
    <w:rsid w:val="00556EE6"/>
    <w:rsid w:val="00562DAF"/>
    <w:rsid w:val="00562DD1"/>
    <w:rsid w:val="005630A4"/>
    <w:rsid w:val="00563CCA"/>
    <w:rsid w:val="00564D50"/>
    <w:rsid w:val="005660EE"/>
    <w:rsid w:val="0056678C"/>
    <w:rsid w:val="00570215"/>
    <w:rsid w:val="00570851"/>
    <w:rsid w:val="00571B4A"/>
    <w:rsid w:val="00580351"/>
    <w:rsid w:val="005809F7"/>
    <w:rsid w:val="00580A4E"/>
    <w:rsid w:val="005822B8"/>
    <w:rsid w:val="00582659"/>
    <w:rsid w:val="00583F43"/>
    <w:rsid w:val="005849A4"/>
    <w:rsid w:val="00586368"/>
    <w:rsid w:val="00586675"/>
    <w:rsid w:val="00586E7B"/>
    <w:rsid w:val="00587C97"/>
    <w:rsid w:val="0059090B"/>
    <w:rsid w:val="00591E65"/>
    <w:rsid w:val="00593932"/>
    <w:rsid w:val="00594A4C"/>
    <w:rsid w:val="005A06D7"/>
    <w:rsid w:val="005A41FF"/>
    <w:rsid w:val="005A7140"/>
    <w:rsid w:val="005A7AB3"/>
    <w:rsid w:val="005B018F"/>
    <w:rsid w:val="005B060E"/>
    <w:rsid w:val="005B1738"/>
    <w:rsid w:val="005B240C"/>
    <w:rsid w:val="005B2D96"/>
    <w:rsid w:val="005B4925"/>
    <w:rsid w:val="005B53C0"/>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15A"/>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56EB1"/>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08D"/>
    <w:rsid w:val="006841EB"/>
    <w:rsid w:val="00685EC8"/>
    <w:rsid w:val="00687CB8"/>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614A"/>
    <w:rsid w:val="006C7BF9"/>
    <w:rsid w:val="006C7C04"/>
    <w:rsid w:val="006D166B"/>
    <w:rsid w:val="006D1968"/>
    <w:rsid w:val="006D2279"/>
    <w:rsid w:val="006D2E21"/>
    <w:rsid w:val="006D4FD1"/>
    <w:rsid w:val="006D5FE6"/>
    <w:rsid w:val="006D62EB"/>
    <w:rsid w:val="006E3D91"/>
    <w:rsid w:val="006E463B"/>
    <w:rsid w:val="006E56FE"/>
    <w:rsid w:val="006E5ECE"/>
    <w:rsid w:val="006E72D9"/>
    <w:rsid w:val="006E73CD"/>
    <w:rsid w:val="006E7E3E"/>
    <w:rsid w:val="006F1996"/>
    <w:rsid w:val="006F2464"/>
    <w:rsid w:val="006F2AD7"/>
    <w:rsid w:val="006F2BDD"/>
    <w:rsid w:val="006F2C40"/>
    <w:rsid w:val="006F3989"/>
    <w:rsid w:val="006F484B"/>
    <w:rsid w:val="00701585"/>
    <w:rsid w:val="007030BF"/>
    <w:rsid w:val="00703FD5"/>
    <w:rsid w:val="0070609D"/>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419E"/>
    <w:rsid w:val="0075647E"/>
    <w:rsid w:val="00756BF1"/>
    <w:rsid w:val="00756E58"/>
    <w:rsid w:val="00757919"/>
    <w:rsid w:val="00757EF2"/>
    <w:rsid w:val="0076074D"/>
    <w:rsid w:val="00763432"/>
    <w:rsid w:val="0076471D"/>
    <w:rsid w:val="00764D77"/>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54BE"/>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9F4"/>
    <w:rsid w:val="007E7A88"/>
    <w:rsid w:val="007F0197"/>
    <w:rsid w:val="007F0C87"/>
    <w:rsid w:val="007F24EB"/>
    <w:rsid w:val="007F64C0"/>
    <w:rsid w:val="0080033D"/>
    <w:rsid w:val="00800682"/>
    <w:rsid w:val="00800858"/>
    <w:rsid w:val="00800861"/>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08F"/>
    <w:rsid w:val="00836508"/>
    <w:rsid w:val="00836E06"/>
    <w:rsid w:val="008414D7"/>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5499"/>
    <w:rsid w:val="0089558B"/>
    <w:rsid w:val="00895C7C"/>
    <w:rsid w:val="00897577"/>
    <w:rsid w:val="008A0ABE"/>
    <w:rsid w:val="008A0D1F"/>
    <w:rsid w:val="008A0EC8"/>
    <w:rsid w:val="008A2276"/>
    <w:rsid w:val="008A290E"/>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B6A4D"/>
    <w:rsid w:val="008C0FCB"/>
    <w:rsid w:val="008C115C"/>
    <w:rsid w:val="008C3381"/>
    <w:rsid w:val="008C3733"/>
    <w:rsid w:val="008C5C9A"/>
    <w:rsid w:val="008D1B5E"/>
    <w:rsid w:val="008D2326"/>
    <w:rsid w:val="008D251D"/>
    <w:rsid w:val="008D3DBB"/>
    <w:rsid w:val="008D3E61"/>
    <w:rsid w:val="008D71DD"/>
    <w:rsid w:val="008D765C"/>
    <w:rsid w:val="008E2864"/>
    <w:rsid w:val="008E6233"/>
    <w:rsid w:val="008E6C96"/>
    <w:rsid w:val="008E74EC"/>
    <w:rsid w:val="008F2631"/>
    <w:rsid w:val="008F2B93"/>
    <w:rsid w:val="008F4D52"/>
    <w:rsid w:val="008F61C4"/>
    <w:rsid w:val="00900BD8"/>
    <w:rsid w:val="009020A1"/>
    <w:rsid w:val="009045B4"/>
    <w:rsid w:val="00907862"/>
    <w:rsid w:val="0090792E"/>
    <w:rsid w:val="00907D99"/>
    <w:rsid w:val="00910249"/>
    <w:rsid w:val="00912228"/>
    <w:rsid w:val="00912665"/>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2E80"/>
    <w:rsid w:val="00935656"/>
    <w:rsid w:val="0093571F"/>
    <w:rsid w:val="00935A5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71C82"/>
    <w:rsid w:val="00971F2C"/>
    <w:rsid w:val="0097369D"/>
    <w:rsid w:val="0097648F"/>
    <w:rsid w:val="00977F16"/>
    <w:rsid w:val="00980FD0"/>
    <w:rsid w:val="00981211"/>
    <w:rsid w:val="00981EF2"/>
    <w:rsid w:val="00982B83"/>
    <w:rsid w:val="00983463"/>
    <w:rsid w:val="009849F3"/>
    <w:rsid w:val="0098566E"/>
    <w:rsid w:val="00985BCB"/>
    <w:rsid w:val="00987B0E"/>
    <w:rsid w:val="0099009F"/>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23D5"/>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B23"/>
    <w:rsid w:val="009E74F0"/>
    <w:rsid w:val="009F0F8E"/>
    <w:rsid w:val="009F1F57"/>
    <w:rsid w:val="009F25A2"/>
    <w:rsid w:val="009F25AC"/>
    <w:rsid w:val="009F3FE1"/>
    <w:rsid w:val="009F44BF"/>
    <w:rsid w:val="009F4BB9"/>
    <w:rsid w:val="009F53A5"/>
    <w:rsid w:val="009F6C51"/>
    <w:rsid w:val="009F6D35"/>
    <w:rsid w:val="009F6DE2"/>
    <w:rsid w:val="009F7828"/>
    <w:rsid w:val="009F7D62"/>
    <w:rsid w:val="00A01902"/>
    <w:rsid w:val="00A01C18"/>
    <w:rsid w:val="00A04270"/>
    <w:rsid w:val="00A0506D"/>
    <w:rsid w:val="00A063D0"/>
    <w:rsid w:val="00A07668"/>
    <w:rsid w:val="00A101E3"/>
    <w:rsid w:val="00A10887"/>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5B7D"/>
    <w:rsid w:val="00A47A31"/>
    <w:rsid w:val="00A47A6A"/>
    <w:rsid w:val="00A50139"/>
    <w:rsid w:val="00A5644B"/>
    <w:rsid w:val="00A603BB"/>
    <w:rsid w:val="00A6202F"/>
    <w:rsid w:val="00A620DD"/>
    <w:rsid w:val="00A64BBA"/>
    <w:rsid w:val="00A67C15"/>
    <w:rsid w:val="00A7031D"/>
    <w:rsid w:val="00A723EA"/>
    <w:rsid w:val="00A73353"/>
    <w:rsid w:val="00A744EE"/>
    <w:rsid w:val="00A81138"/>
    <w:rsid w:val="00A82F76"/>
    <w:rsid w:val="00A83D75"/>
    <w:rsid w:val="00A84443"/>
    <w:rsid w:val="00A84AB9"/>
    <w:rsid w:val="00A86851"/>
    <w:rsid w:val="00A86D15"/>
    <w:rsid w:val="00A86DBF"/>
    <w:rsid w:val="00A87C82"/>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0550"/>
    <w:rsid w:val="00AC20F3"/>
    <w:rsid w:val="00AC23B1"/>
    <w:rsid w:val="00AC32FA"/>
    <w:rsid w:val="00AC3D4F"/>
    <w:rsid w:val="00AC4032"/>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C6E"/>
    <w:rsid w:val="00AE735D"/>
    <w:rsid w:val="00AE7F08"/>
    <w:rsid w:val="00AF17A7"/>
    <w:rsid w:val="00AF2353"/>
    <w:rsid w:val="00AF29BA"/>
    <w:rsid w:val="00AF29CE"/>
    <w:rsid w:val="00AF3911"/>
    <w:rsid w:val="00AF508C"/>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3C04"/>
    <w:rsid w:val="00B859F1"/>
    <w:rsid w:val="00B85DA7"/>
    <w:rsid w:val="00B862CC"/>
    <w:rsid w:val="00B86630"/>
    <w:rsid w:val="00B87A90"/>
    <w:rsid w:val="00B90D94"/>
    <w:rsid w:val="00B924D6"/>
    <w:rsid w:val="00B93E66"/>
    <w:rsid w:val="00B93FC3"/>
    <w:rsid w:val="00B9518F"/>
    <w:rsid w:val="00B95CFC"/>
    <w:rsid w:val="00B96881"/>
    <w:rsid w:val="00B97FF4"/>
    <w:rsid w:val="00BA10C2"/>
    <w:rsid w:val="00BA42D7"/>
    <w:rsid w:val="00BA5181"/>
    <w:rsid w:val="00BA6A0F"/>
    <w:rsid w:val="00BB0623"/>
    <w:rsid w:val="00BB204F"/>
    <w:rsid w:val="00BB5CD5"/>
    <w:rsid w:val="00BB6669"/>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0DB"/>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16DFF"/>
    <w:rsid w:val="00C242E8"/>
    <w:rsid w:val="00C267AD"/>
    <w:rsid w:val="00C312FC"/>
    <w:rsid w:val="00C329D4"/>
    <w:rsid w:val="00C33592"/>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1750"/>
    <w:rsid w:val="00C928F5"/>
    <w:rsid w:val="00C92F34"/>
    <w:rsid w:val="00C9303A"/>
    <w:rsid w:val="00C937F0"/>
    <w:rsid w:val="00C94905"/>
    <w:rsid w:val="00C94AA3"/>
    <w:rsid w:val="00CA13E6"/>
    <w:rsid w:val="00CA1E16"/>
    <w:rsid w:val="00CA2396"/>
    <w:rsid w:val="00CA2560"/>
    <w:rsid w:val="00CA58AA"/>
    <w:rsid w:val="00CA76AF"/>
    <w:rsid w:val="00CB174C"/>
    <w:rsid w:val="00CB2D8D"/>
    <w:rsid w:val="00CB40E0"/>
    <w:rsid w:val="00CB5002"/>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D7940"/>
    <w:rsid w:val="00CE276D"/>
    <w:rsid w:val="00CE28E9"/>
    <w:rsid w:val="00CE606A"/>
    <w:rsid w:val="00CE6D88"/>
    <w:rsid w:val="00CE7CC4"/>
    <w:rsid w:val="00CF070D"/>
    <w:rsid w:val="00CF0A27"/>
    <w:rsid w:val="00CF2FDE"/>
    <w:rsid w:val="00CF5332"/>
    <w:rsid w:val="00CF5676"/>
    <w:rsid w:val="00CF6DD7"/>
    <w:rsid w:val="00CF7A06"/>
    <w:rsid w:val="00CF7C44"/>
    <w:rsid w:val="00D00452"/>
    <w:rsid w:val="00D01BCE"/>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0573"/>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394D"/>
    <w:rsid w:val="00DA4514"/>
    <w:rsid w:val="00DA4D85"/>
    <w:rsid w:val="00DA5F3F"/>
    <w:rsid w:val="00DA614E"/>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06E3"/>
    <w:rsid w:val="00DD20B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6797"/>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2B0"/>
    <w:rsid w:val="00E3280F"/>
    <w:rsid w:val="00E33ADC"/>
    <w:rsid w:val="00E340EF"/>
    <w:rsid w:val="00E34149"/>
    <w:rsid w:val="00E36227"/>
    <w:rsid w:val="00E362A7"/>
    <w:rsid w:val="00E36939"/>
    <w:rsid w:val="00E401CD"/>
    <w:rsid w:val="00E44E2E"/>
    <w:rsid w:val="00E4548E"/>
    <w:rsid w:val="00E45B4C"/>
    <w:rsid w:val="00E465E1"/>
    <w:rsid w:val="00E5123F"/>
    <w:rsid w:val="00E51C8F"/>
    <w:rsid w:val="00E60BC8"/>
    <w:rsid w:val="00E62784"/>
    <w:rsid w:val="00E63B82"/>
    <w:rsid w:val="00E64E60"/>
    <w:rsid w:val="00E678B6"/>
    <w:rsid w:val="00E75929"/>
    <w:rsid w:val="00E75EA1"/>
    <w:rsid w:val="00E760AF"/>
    <w:rsid w:val="00E77DD3"/>
    <w:rsid w:val="00E8033D"/>
    <w:rsid w:val="00E808E8"/>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0D4B"/>
    <w:rsid w:val="00EB106E"/>
    <w:rsid w:val="00EB1B58"/>
    <w:rsid w:val="00EB27B7"/>
    <w:rsid w:val="00EB2A4D"/>
    <w:rsid w:val="00EB2BFD"/>
    <w:rsid w:val="00EB2D9B"/>
    <w:rsid w:val="00EB3012"/>
    <w:rsid w:val="00EB46DD"/>
    <w:rsid w:val="00EB4A2A"/>
    <w:rsid w:val="00EB5A16"/>
    <w:rsid w:val="00EB5DC2"/>
    <w:rsid w:val="00EC0F17"/>
    <w:rsid w:val="00EC38EC"/>
    <w:rsid w:val="00EC3A70"/>
    <w:rsid w:val="00EC41BB"/>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303D"/>
    <w:rsid w:val="00EF3E4E"/>
    <w:rsid w:val="00EF475E"/>
    <w:rsid w:val="00EF6975"/>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041F"/>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3B9A"/>
    <w:rsid w:val="00F94F04"/>
    <w:rsid w:val="00F9534F"/>
    <w:rsid w:val="00F95FF6"/>
    <w:rsid w:val="00FA0E11"/>
    <w:rsid w:val="00FA209C"/>
    <w:rsid w:val="00FA20C5"/>
    <w:rsid w:val="00FA39DF"/>
    <w:rsid w:val="00FA5474"/>
    <w:rsid w:val="00FA54FD"/>
    <w:rsid w:val="00FA6245"/>
    <w:rsid w:val="00FA6503"/>
    <w:rsid w:val="00FA690A"/>
    <w:rsid w:val="00FA7884"/>
    <w:rsid w:val="00FB1BDD"/>
    <w:rsid w:val="00FB2064"/>
    <w:rsid w:val="00FB27EB"/>
    <w:rsid w:val="00FB3F50"/>
    <w:rsid w:val="00FB6816"/>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12185C62"/>
    <w:rsid w:val="141B41DE"/>
    <w:rsid w:val="1F64482E"/>
    <w:rsid w:val="234B7637"/>
    <w:rsid w:val="4C800792"/>
    <w:rsid w:val="52B03965"/>
    <w:rsid w:val="60A7353D"/>
    <w:rsid w:val="6A306E35"/>
    <w:rsid w:val="76946879"/>
    <w:rsid w:val="77FF20CC"/>
    <w:rsid w:val="7BBD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4C12EB-2419-4490-ACD1-31E946A9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 w:type="paragraph" w:customStyle="1" w:styleId="24">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tyles" Target="styles.xml"/><Relationship Id="rId50" Type="http://schemas.openxmlformats.org/officeDocument/2006/relationships/footnotes" Target="footnotes.xml"/><Relationship Id="rId55" Type="http://schemas.openxmlformats.org/officeDocument/2006/relationships/footer" Target="footer2.xml"/><Relationship Id="rId63" Type="http://schemas.openxmlformats.org/officeDocument/2006/relationships/footer" Target="footer8.xml"/><Relationship Id="rId68" Type="http://schemas.openxmlformats.org/officeDocument/2006/relationships/footer" Target="footer13.xml"/><Relationship Id="rId76" Type="http://schemas.openxmlformats.org/officeDocument/2006/relationships/footer" Target="footer21.xml"/><Relationship Id="rId7" Type="http://schemas.openxmlformats.org/officeDocument/2006/relationships/customXml" Target="../customXml/item7.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header" Target="header2.xml"/><Relationship Id="rId58" Type="http://schemas.openxmlformats.org/officeDocument/2006/relationships/header" Target="header4.xml"/><Relationship Id="rId66" Type="http://schemas.openxmlformats.org/officeDocument/2006/relationships/footer" Target="footer11.xml"/><Relationship Id="rId74" Type="http://schemas.openxmlformats.org/officeDocument/2006/relationships/footer" Target="footer19.xml"/><Relationship Id="rId79" Type="http://schemas.openxmlformats.org/officeDocument/2006/relationships/footer" Target="footer24.xml"/><Relationship Id="rId5" Type="http://schemas.openxmlformats.org/officeDocument/2006/relationships/customXml" Target="../customXml/item5.xml"/><Relationship Id="rId61" Type="http://schemas.openxmlformats.org/officeDocument/2006/relationships/footer" Target="footer6.xml"/><Relationship Id="rId82"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1.xml"/><Relationship Id="rId60" Type="http://schemas.openxmlformats.org/officeDocument/2006/relationships/footer" Target="footer5.xml"/><Relationship Id="rId65" Type="http://schemas.openxmlformats.org/officeDocument/2006/relationships/footer" Target="footer10.xml"/><Relationship Id="rId73" Type="http://schemas.openxmlformats.org/officeDocument/2006/relationships/footer" Target="footer18.xml"/><Relationship Id="rId78" Type="http://schemas.openxmlformats.org/officeDocument/2006/relationships/footer" Target="footer23.xml"/><Relationship Id="rId81"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ettings" Target="settings.xml"/><Relationship Id="rId56" Type="http://schemas.openxmlformats.org/officeDocument/2006/relationships/header" Target="header3.xml"/><Relationship Id="rId64" Type="http://schemas.openxmlformats.org/officeDocument/2006/relationships/footer" Target="footer9.xml"/><Relationship Id="rId69" Type="http://schemas.openxmlformats.org/officeDocument/2006/relationships/footer" Target="footer14.xml"/><Relationship Id="rId77" Type="http://schemas.openxmlformats.org/officeDocument/2006/relationships/footer" Target="footer22.xm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footer" Target="footer17.xml"/><Relationship Id="rId80" Type="http://schemas.openxmlformats.org/officeDocument/2006/relationships/footer" Target="footer2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footer" Target="footer4.xml"/><Relationship Id="rId67" Type="http://schemas.openxmlformats.org/officeDocument/2006/relationships/footer" Target="footer1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1.xml"/><Relationship Id="rId62" Type="http://schemas.openxmlformats.org/officeDocument/2006/relationships/footer" Target="footer7.xml"/><Relationship Id="rId70" Type="http://schemas.openxmlformats.org/officeDocument/2006/relationships/footer" Target="footer15.xml"/><Relationship Id="rId75" Type="http://schemas.openxmlformats.org/officeDocument/2006/relationships/footer" Target="footer20.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27AE-28EA-4BB2-AFFF-8801F641FED2}">
  <ds:schemaRefs>
    <ds:schemaRef ds:uri="http://schemas.openxmlformats.org/officeDocument/2006/bibliography"/>
  </ds:schemaRefs>
</ds:datastoreItem>
</file>

<file path=customXml/itemProps10.xml><?xml version="1.0" encoding="utf-8"?>
<ds:datastoreItem xmlns:ds="http://schemas.openxmlformats.org/officeDocument/2006/customXml" ds:itemID="{DB6228F2-6C2D-4264-9AFF-C5DF65CFC1C3}">
  <ds:schemaRefs>
    <ds:schemaRef ds:uri="http://schemas.openxmlformats.org/officeDocument/2006/bibliography"/>
  </ds:schemaRefs>
</ds:datastoreItem>
</file>

<file path=customXml/itemProps11.xml><?xml version="1.0" encoding="utf-8"?>
<ds:datastoreItem xmlns:ds="http://schemas.openxmlformats.org/officeDocument/2006/customXml" ds:itemID="{3FD27766-3EFC-4C1B-8760-8BC2712C9361}">
  <ds:schemaRefs>
    <ds:schemaRef ds:uri="http://schemas.openxmlformats.org/officeDocument/2006/bibliography"/>
  </ds:schemaRefs>
</ds:datastoreItem>
</file>

<file path=customXml/itemProps12.xml><?xml version="1.0" encoding="utf-8"?>
<ds:datastoreItem xmlns:ds="http://schemas.openxmlformats.org/officeDocument/2006/customXml" ds:itemID="{CECFEB33-79C7-46A8-B031-6071301A236D}">
  <ds:schemaRefs>
    <ds:schemaRef ds:uri="http://schemas.openxmlformats.org/officeDocument/2006/bibliography"/>
  </ds:schemaRefs>
</ds:datastoreItem>
</file>

<file path=customXml/itemProps13.xml><?xml version="1.0" encoding="utf-8"?>
<ds:datastoreItem xmlns:ds="http://schemas.openxmlformats.org/officeDocument/2006/customXml" ds:itemID="{FE0A7660-7DAC-456C-9984-CD5574464582}">
  <ds:schemaRefs>
    <ds:schemaRef ds:uri="http://schemas.openxmlformats.org/officeDocument/2006/bibliography"/>
  </ds:schemaRefs>
</ds:datastoreItem>
</file>

<file path=customXml/itemProps14.xml><?xml version="1.0" encoding="utf-8"?>
<ds:datastoreItem xmlns:ds="http://schemas.openxmlformats.org/officeDocument/2006/customXml" ds:itemID="{697C4C28-7FEB-4BED-8361-2E7808B93CF7}">
  <ds:schemaRefs>
    <ds:schemaRef ds:uri="http://schemas.openxmlformats.org/officeDocument/2006/bibliography"/>
  </ds:schemaRefs>
</ds:datastoreItem>
</file>

<file path=customXml/itemProps15.xml><?xml version="1.0" encoding="utf-8"?>
<ds:datastoreItem xmlns:ds="http://schemas.openxmlformats.org/officeDocument/2006/customXml" ds:itemID="{56F9BD85-4688-4E13-BD4E-01898BCBAC06}">
  <ds:schemaRefs>
    <ds:schemaRef ds:uri="http://schemas.openxmlformats.org/officeDocument/2006/bibliography"/>
  </ds:schemaRefs>
</ds:datastoreItem>
</file>

<file path=customXml/itemProps16.xml><?xml version="1.0" encoding="utf-8"?>
<ds:datastoreItem xmlns:ds="http://schemas.openxmlformats.org/officeDocument/2006/customXml" ds:itemID="{D25CBA1F-BBE3-4A84-9C68-1A105FE6AD70}">
  <ds:schemaRefs>
    <ds:schemaRef ds:uri="http://schemas.openxmlformats.org/officeDocument/2006/bibliography"/>
  </ds:schemaRefs>
</ds:datastoreItem>
</file>

<file path=customXml/itemProps17.xml><?xml version="1.0" encoding="utf-8"?>
<ds:datastoreItem xmlns:ds="http://schemas.openxmlformats.org/officeDocument/2006/customXml" ds:itemID="{65D9774B-7C15-431C-9D0D-8FFEC32399DD}">
  <ds:schemaRefs>
    <ds:schemaRef ds:uri="http://schemas.openxmlformats.org/officeDocument/2006/bibliography"/>
  </ds:schemaRefs>
</ds:datastoreItem>
</file>

<file path=customXml/itemProps18.xml><?xml version="1.0" encoding="utf-8"?>
<ds:datastoreItem xmlns:ds="http://schemas.openxmlformats.org/officeDocument/2006/customXml" ds:itemID="{A4298CA2-8782-40B5-8CF9-CE4BBA6EEBF3}">
  <ds:schemaRefs>
    <ds:schemaRef ds:uri="http://schemas.openxmlformats.org/officeDocument/2006/bibliography"/>
  </ds:schemaRefs>
</ds:datastoreItem>
</file>

<file path=customXml/itemProps19.xml><?xml version="1.0" encoding="utf-8"?>
<ds:datastoreItem xmlns:ds="http://schemas.openxmlformats.org/officeDocument/2006/customXml" ds:itemID="{61464C15-D7D5-43DF-86A4-1CD03B1A8F54}">
  <ds:schemaRefs>
    <ds:schemaRef ds:uri="http://schemas.openxmlformats.org/officeDocument/2006/bibliography"/>
  </ds:schemaRefs>
</ds:datastoreItem>
</file>

<file path=customXml/itemProps2.xml><?xml version="1.0" encoding="utf-8"?>
<ds:datastoreItem xmlns:ds="http://schemas.openxmlformats.org/officeDocument/2006/customXml" ds:itemID="{4667FA22-569B-436C-88E0-E4737C0252C8}">
  <ds:schemaRefs>
    <ds:schemaRef ds:uri="http://schemas.openxmlformats.org/officeDocument/2006/bibliography"/>
  </ds:schemaRefs>
</ds:datastoreItem>
</file>

<file path=customXml/itemProps20.xml><?xml version="1.0" encoding="utf-8"?>
<ds:datastoreItem xmlns:ds="http://schemas.openxmlformats.org/officeDocument/2006/customXml" ds:itemID="{016A46E8-74F6-454F-8AF7-FE0B25B38930}">
  <ds:schemaRefs>
    <ds:schemaRef ds:uri="http://schemas.openxmlformats.org/officeDocument/2006/bibliography"/>
  </ds:schemaRefs>
</ds:datastoreItem>
</file>

<file path=customXml/itemProps21.xml><?xml version="1.0" encoding="utf-8"?>
<ds:datastoreItem xmlns:ds="http://schemas.openxmlformats.org/officeDocument/2006/customXml" ds:itemID="{338075F7-8A32-4C9E-B417-DDF3B1846E23}">
  <ds:schemaRefs>
    <ds:schemaRef ds:uri="http://schemas.openxmlformats.org/officeDocument/2006/bibliography"/>
  </ds:schemaRefs>
</ds:datastoreItem>
</file>

<file path=customXml/itemProps22.xml><?xml version="1.0" encoding="utf-8"?>
<ds:datastoreItem xmlns:ds="http://schemas.openxmlformats.org/officeDocument/2006/customXml" ds:itemID="{CCBADB52-ACD4-4970-B4E2-ED022D6311DA}">
  <ds:schemaRefs>
    <ds:schemaRef ds:uri="http://schemas.openxmlformats.org/officeDocument/2006/bibliography"/>
  </ds:schemaRefs>
</ds:datastoreItem>
</file>

<file path=customXml/itemProps23.xml><?xml version="1.0" encoding="utf-8"?>
<ds:datastoreItem xmlns:ds="http://schemas.openxmlformats.org/officeDocument/2006/customXml" ds:itemID="{F35751DA-2C8D-4873-A0BB-2BE6E5F878B8}">
  <ds:schemaRefs>
    <ds:schemaRef ds:uri="http://schemas.openxmlformats.org/officeDocument/2006/bibliography"/>
  </ds:schemaRefs>
</ds:datastoreItem>
</file>

<file path=customXml/itemProps24.xml><?xml version="1.0" encoding="utf-8"?>
<ds:datastoreItem xmlns:ds="http://schemas.openxmlformats.org/officeDocument/2006/customXml" ds:itemID="{218AC839-8D7B-4E27-9E96-4DCCA7AE86D6}">
  <ds:schemaRefs>
    <ds:schemaRef ds:uri="http://schemas.openxmlformats.org/officeDocument/2006/bibliography"/>
  </ds:schemaRefs>
</ds:datastoreItem>
</file>

<file path=customXml/itemProps25.xml><?xml version="1.0" encoding="utf-8"?>
<ds:datastoreItem xmlns:ds="http://schemas.openxmlformats.org/officeDocument/2006/customXml" ds:itemID="{628E4374-60E9-4B2B-9156-2C92EC362740}">
  <ds:schemaRefs>
    <ds:schemaRef ds:uri="http://schemas.openxmlformats.org/officeDocument/2006/bibliography"/>
  </ds:schemaRefs>
</ds:datastoreItem>
</file>

<file path=customXml/itemProps26.xml><?xml version="1.0" encoding="utf-8"?>
<ds:datastoreItem xmlns:ds="http://schemas.openxmlformats.org/officeDocument/2006/customXml" ds:itemID="{A2CF502C-16AE-4AD9-9E53-2C114546C788}">
  <ds:schemaRefs>
    <ds:schemaRef ds:uri="http://schemas.openxmlformats.org/officeDocument/2006/bibliography"/>
  </ds:schemaRefs>
</ds:datastoreItem>
</file>

<file path=customXml/itemProps27.xml><?xml version="1.0" encoding="utf-8"?>
<ds:datastoreItem xmlns:ds="http://schemas.openxmlformats.org/officeDocument/2006/customXml" ds:itemID="{9FB37AE9-4692-4854-A17B-14B77A5387AB}">
  <ds:schemaRefs>
    <ds:schemaRef ds:uri="http://schemas.openxmlformats.org/officeDocument/2006/bibliography"/>
  </ds:schemaRefs>
</ds:datastoreItem>
</file>

<file path=customXml/itemProps28.xml><?xml version="1.0" encoding="utf-8"?>
<ds:datastoreItem xmlns:ds="http://schemas.openxmlformats.org/officeDocument/2006/customXml" ds:itemID="{13E71AC6-84BD-4062-BF59-6C459E8A1A64}">
  <ds:schemaRefs>
    <ds:schemaRef ds:uri="http://schemas.openxmlformats.org/officeDocument/2006/bibliography"/>
  </ds:schemaRefs>
</ds:datastoreItem>
</file>

<file path=customXml/itemProps29.xml><?xml version="1.0" encoding="utf-8"?>
<ds:datastoreItem xmlns:ds="http://schemas.openxmlformats.org/officeDocument/2006/customXml" ds:itemID="{0E4B96B7-7123-4B26-8FE8-A94A6ED60615}">
  <ds:schemaRefs>
    <ds:schemaRef ds:uri="http://schemas.openxmlformats.org/officeDocument/2006/bibliography"/>
  </ds:schemaRefs>
</ds:datastoreItem>
</file>

<file path=customXml/itemProps3.xml><?xml version="1.0" encoding="utf-8"?>
<ds:datastoreItem xmlns:ds="http://schemas.openxmlformats.org/officeDocument/2006/customXml" ds:itemID="{8262B6E5-E05E-4D14-B927-2B81D7D1084B}">
  <ds:schemaRefs>
    <ds:schemaRef ds:uri="http://schemas.openxmlformats.org/officeDocument/2006/bibliography"/>
  </ds:schemaRefs>
</ds:datastoreItem>
</file>

<file path=customXml/itemProps30.xml><?xml version="1.0" encoding="utf-8"?>
<ds:datastoreItem xmlns:ds="http://schemas.openxmlformats.org/officeDocument/2006/customXml" ds:itemID="{5F378CED-E904-4F17-9B07-AA9F579E240B}">
  <ds:schemaRefs>
    <ds:schemaRef ds:uri="http://schemas.openxmlformats.org/officeDocument/2006/bibliography"/>
  </ds:schemaRefs>
</ds:datastoreItem>
</file>

<file path=customXml/itemProps31.xml><?xml version="1.0" encoding="utf-8"?>
<ds:datastoreItem xmlns:ds="http://schemas.openxmlformats.org/officeDocument/2006/customXml" ds:itemID="{F8F7A1B9-72C5-4D63-B0E3-34ED1A121F2E}">
  <ds:schemaRefs>
    <ds:schemaRef ds:uri="http://schemas.openxmlformats.org/officeDocument/2006/bibliography"/>
  </ds:schemaRefs>
</ds:datastoreItem>
</file>

<file path=customXml/itemProps32.xml><?xml version="1.0" encoding="utf-8"?>
<ds:datastoreItem xmlns:ds="http://schemas.openxmlformats.org/officeDocument/2006/customXml" ds:itemID="{3F76ACBD-71AB-41EA-B311-354326418331}">
  <ds:schemaRefs>
    <ds:schemaRef ds:uri="http://schemas.openxmlformats.org/officeDocument/2006/bibliography"/>
  </ds:schemaRefs>
</ds:datastoreItem>
</file>

<file path=customXml/itemProps33.xml><?xml version="1.0" encoding="utf-8"?>
<ds:datastoreItem xmlns:ds="http://schemas.openxmlformats.org/officeDocument/2006/customXml" ds:itemID="{4E9BAFE9-0886-438F-B2DE-BAA6CDC5FEB6}">
  <ds:schemaRefs>
    <ds:schemaRef ds:uri="http://schemas.openxmlformats.org/officeDocument/2006/bibliography"/>
  </ds:schemaRefs>
</ds:datastoreItem>
</file>

<file path=customXml/itemProps34.xml><?xml version="1.0" encoding="utf-8"?>
<ds:datastoreItem xmlns:ds="http://schemas.openxmlformats.org/officeDocument/2006/customXml" ds:itemID="{7F4BB472-8F04-45FE-8F85-A3AF70CFA6EE}">
  <ds:schemaRefs>
    <ds:schemaRef ds:uri="http://schemas.openxmlformats.org/officeDocument/2006/bibliography"/>
  </ds:schemaRefs>
</ds:datastoreItem>
</file>

<file path=customXml/itemProps3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6.xml><?xml version="1.0" encoding="utf-8"?>
<ds:datastoreItem xmlns:ds="http://schemas.openxmlformats.org/officeDocument/2006/customXml" ds:itemID="{B0C16AAF-E19F-444B-A395-71C5AA397B09}">
  <ds:schemaRefs>
    <ds:schemaRef ds:uri="http://schemas.openxmlformats.org/officeDocument/2006/bibliography"/>
  </ds:schemaRefs>
</ds:datastoreItem>
</file>

<file path=customXml/itemProps37.xml><?xml version="1.0" encoding="utf-8"?>
<ds:datastoreItem xmlns:ds="http://schemas.openxmlformats.org/officeDocument/2006/customXml" ds:itemID="{DD71B3E7-51FD-4439-8325-C8657FD0A10A}">
  <ds:schemaRefs>
    <ds:schemaRef ds:uri="http://schemas.openxmlformats.org/officeDocument/2006/bibliography"/>
  </ds:schemaRefs>
</ds:datastoreItem>
</file>

<file path=customXml/itemProps38.xml><?xml version="1.0" encoding="utf-8"?>
<ds:datastoreItem xmlns:ds="http://schemas.openxmlformats.org/officeDocument/2006/customXml" ds:itemID="{76AB4C2C-2C22-4679-8412-86D766486FE6}">
  <ds:schemaRefs>
    <ds:schemaRef ds:uri="http://schemas.openxmlformats.org/officeDocument/2006/bibliography"/>
  </ds:schemaRefs>
</ds:datastoreItem>
</file>

<file path=customXml/itemProps39.xml><?xml version="1.0" encoding="utf-8"?>
<ds:datastoreItem xmlns:ds="http://schemas.openxmlformats.org/officeDocument/2006/customXml" ds:itemID="{2E60058E-D2D7-4BB2-827A-E4D7048A4D4B}">
  <ds:schemaRefs>
    <ds:schemaRef ds:uri="http://schemas.openxmlformats.org/officeDocument/2006/bibliography"/>
  </ds:schemaRefs>
</ds:datastoreItem>
</file>

<file path=customXml/itemProps4.xml><?xml version="1.0" encoding="utf-8"?>
<ds:datastoreItem xmlns:ds="http://schemas.openxmlformats.org/officeDocument/2006/customXml" ds:itemID="{E1ECA0EF-F719-4B86-94E0-057E350F5B4C}">
  <ds:schemaRefs>
    <ds:schemaRef ds:uri="http://schemas.openxmlformats.org/officeDocument/2006/bibliography"/>
  </ds:schemaRefs>
</ds:datastoreItem>
</file>

<file path=customXml/itemProps40.xml><?xml version="1.0" encoding="utf-8"?>
<ds:datastoreItem xmlns:ds="http://schemas.openxmlformats.org/officeDocument/2006/customXml" ds:itemID="{1F0C96BA-EC02-4530-8311-84CE93A63406}">
  <ds:schemaRefs>
    <ds:schemaRef ds:uri="http://schemas.openxmlformats.org/officeDocument/2006/bibliography"/>
  </ds:schemaRefs>
</ds:datastoreItem>
</file>

<file path=customXml/itemProps41.xml><?xml version="1.0" encoding="utf-8"?>
<ds:datastoreItem xmlns:ds="http://schemas.openxmlformats.org/officeDocument/2006/customXml" ds:itemID="{8B9A1C8A-48EF-4AAE-A006-6F578F47C40F}">
  <ds:schemaRefs>
    <ds:schemaRef ds:uri="http://schemas.openxmlformats.org/officeDocument/2006/bibliography"/>
  </ds:schemaRefs>
</ds:datastoreItem>
</file>

<file path=customXml/itemProps42.xml><?xml version="1.0" encoding="utf-8"?>
<ds:datastoreItem xmlns:ds="http://schemas.openxmlformats.org/officeDocument/2006/customXml" ds:itemID="{14C5D964-F08D-4089-A427-B6D592CC4376}">
  <ds:schemaRefs>
    <ds:schemaRef ds:uri="http://schemas.openxmlformats.org/officeDocument/2006/bibliography"/>
  </ds:schemaRefs>
</ds:datastoreItem>
</file>

<file path=customXml/itemProps43.xml><?xml version="1.0" encoding="utf-8"?>
<ds:datastoreItem xmlns:ds="http://schemas.openxmlformats.org/officeDocument/2006/customXml" ds:itemID="{2302E520-3A62-4AB1-92C9-70F163262FEE}">
  <ds:schemaRefs>
    <ds:schemaRef ds:uri="http://schemas.openxmlformats.org/officeDocument/2006/bibliography"/>
  </ds:schemaRefs>
</ds:datastoreItem>
</file>

<file path=customXml/itemProps44.xml><?xml version="1.0" encoding="utf-8"?>
<ds:datastoreItem xmlns:ds="http://schemas.openxmlformats.org/officeDocument/2006/customXml" ds:itemID="{776912AC-C188-4135-9B7A-8723CD7A7A0B}">
  <ds:schemaRefs>
    <ds:schemaRef ds:uri="http://schemas.openxmlformats.org/officeDocument/2006/bibliography"/>
  </ds:schemaRefs>
</ds:datastoreItem>
</file>

<file path=customXml/itemProps45.xml><?xml version="1.0" encoding="utf-8"?>
<ds:datastoreItem xmlns:ds="http://schemas.openxmlformats.org/officeDocument/2006/customXml" ds:itemID="{0242DC02-7EF5-4805-8135-22A79A7BE74F}">
  <ds:schemaRefs>
    <ds:schemaRef ds:uri="http://schemas.openxmlformats.org/officeDocument/2006/bibliography"/>
  </ds:schemaRefs>
</ds:datastoreItem>
</file>

<file path=customXml/itemProps5.xml><?xml version="1.0" encoding="utf-8"?>
<ds:datastoreItem xmlns:ds="http://schemas.openxmlformats.org/officeDocument/2006/customXml" ds:itemID="{FBA5C032-2372-4D82-9D85-9E214DE5A33F}">
  <ds:schemaRefs>
    <ds:schemaRef ds:uri="http://schemas.openxmlformats.org/officeDocument/2006/bibliography"/>
  </ds:schemaRefs>
</ds:datastoreItem>
</file>

<file path=customXml/itemProps6.xml><?xml version="1.0" encoding="utf-8"?>
<ds:datastoreItem xmlns:ds="http://schemas.openxmlformats.org/officeDocument/2006/customXml" ds:itemID="{FE269F05-34C8-412E-8B70-9E782CE4186B}">
  <ds:schemaRefs>
    <ds:schemaRef ds:uri="http://schemas.openxmlformats.org/officeDocument/2006/bibliography"/>
  </ds:schemaRefs>
</ds:datastoreItem>
</file>

<file path=customXml/itemProps7.xml><?xml version="1.0" encoding="utf-8"?>
<ds:datastoreItem xmlns:ds="http://schemas.openxmlformats.org/officeDocument/2006/customXml" ds:itemID="{50F24D2C-4E7A-415B-A105-FD32156CA60F}">
  <ds:schemaRefs>
    <ds:schemaRef ds:uri="http://schemas.openxmlformats.org/officeDocument/2006/bibliography"/>
  </ds:schemaRefs>
</ds:datastoreItem>
</file>

<file path=customXml/itemProps8.xml><?xml version="1.0" encoding="utf-8"?>
<ds:datastoreItem xmlns:ds="http://schemas.openxmlformats.org/officeDocument/2006/customXml" ds:itemID="{1A8CD228-2075-49B4-8651-3C7AFC8DF18D}">
  <ds:schemaRefs>
    <ds:schemaRef ds:uri="http://schemas.openxmlformats.org/officeDocument/2006/bibliography"/>
  </ds:schemaRefs>
</ds:datastoreItem>
</file>

<file path=customXml/itemProps9.xml><?xml version="1.0" encoding="utf-8"?>
<ds:datastoreItem xmlns:ds="http://schemas.openxmlformats.org/officeDocument/2006/customXml" ds:itemID="{5175AA71-D85C-4401-ADF8-B5A7D2F1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48</Pages>
  <Words>4289</Words>
  <Characters>24452</Characters>
  <Application>Microsoft Office Word</Application>
  <DocSecurity>0</DocSecurity>
  <Lines>203</Lines>
  <Paragraphs>57</Paragraphs>
  <ScaleCrop>false</ScaleCrop>
  <Company/>
  <LinksUpToDate>false</LinksUpToDate>
  <CharactersWithSpaces>28684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30</cp:revision>
  <cp:lastPrinted>2021-01-18T06:03:00Z</cp:lastPrinted>
  <dcterms:created xsi:type="dcterms:W3CDTF">2022-01-07T09:54:00Z</dcterms:created>
  <dcterms:modified xsi:type="dcterms:W3CDTF">2023-07-21T05:22:00Z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2052-11.1.0.11294</vt:lpwstr>
  </property>
  <property fmtid="{D5CDD505-2E9C-101B-9397-08002B2CF9AE}" pid="5" name="ICV">
    <vt:lpwstr>27F3273D881341F49BFFF5F3E40E81D4</vt:lpwstr>
  </property>
</Properties>
</file>