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15FFC" w14:textId="77777777" w:rsidR="00E17FEC" w:rsidRDefault="00995857">
      <w:pPr>
        <w:adjustRightInd w:val="0"/>
        <w:snapToGrid w:val="0"/>
        <w:spacing w:line="360" w:lineRule="auto"/>
        <w:rPr>
          <w:rFonts w:ascii="宋体" w:hAnsi="宋体" w:cs="Arial"/>
          <w:szCs w:val="21"/>
        </w:rPr>
      </w:pPr>
      <w:bookmarkStart w:id="0" w:name="CLAUSE_4a8a96dcd6964f1791ff08be1c28aa5c"/>
      <w:r>
        <w:rPr>
          <w:rFonts w:ascii="宋体" w:hAnsi="宋体"/>
        </w:rPr>
        <w:t xml:space="preserve"> </w:t>
      </w:r>
      <w:bookmarkStart w:id="1" w:name="CTS_4a8a96dcd6964f1791ff08be1c28aa5c"/>
      <w:bookmarkStart w:id="2" w:name="CLAUSE_4c693be6e66f4ed0aa54fcb7685cd808"/>
      <w:bookmarkStart w:id="3" w:name="CLAUSE_468ded6493c9462ebc131b865f5d7da2"/>
      <w:bookmarkStart w:id="4" w:name="CLAUSE_91f0a2055331492b8a9c9cc763a09e93"/>
      <w:bookmarkEnd w:id="1"/>
    </w:p>
    <w:p w14:paraId="08FC0351" w14:textId="77777777" w:rsidR="00E17FEC" w:rsidRDefault="00E17FEC">
      <w:pPr>
        <w:spacing w:line="360" w:lineRule="auto"/>
        <w:jc w:val="center"/>
        <w:rPr>
          <w:rFonts w:ascii="宋体" w:hAnsi="宋体" w:cs="Arial"/>
          <w:b/>
          <w:szCs w:val="21"/>
        </w:rPr>
      </w:pPr>
    </w:p>
    <w:p w14:paraId="4717F9D1" w14:textId="77777777" w:rsidR="00E17FEC" w:rsidRDefault="00995857">
      <w:pPr>
        <w:spacing w:line="360" w:lineRule="auto"/>
        <w:jc w:val="center"/>
        <w:rPr>
          <w:rFonts w:ascii="黑体" w:eastAsia="黑体" w:hAnsi="黑体" w:cs="Arial"/>
          <w:b/>
          <w:sz w:val="44"/>
          <w:szCs w:val="44"/>
        </w:rPr>
      </w:pPr>
      <w:r>
        <w:rPr>
          <w:rFonts w:ascii="黑体" w:eastAsia="黑体" w:hAnsi="黑体" w:cs="Arial" w:hint="eastAsia"/>
          <w:b/>
          <w:sz w:val="44"/>
          <w:szCs w:val="44"/>
        </w:rPr>
        <w:t>东方阿尔法基金管理有限公司</w:t>
      </w:r>
    </w:p>
    <w:p w14:paraId="53DF2317" w14:textId="77777777" w:rsidR="0093014E" w:rsidRDefault="00995857">
      <w:pPr>
        <w:spacing w:line="360" w:lineRule="auto"/>
        <w:jc w:val="center"/>
        <w:rPr>
          <w:rFonts w:ascii="黑体" w:eastAsia="黑体" w:hAnsi="黑体" w:cs="Arial"/>
          <w:b/>
          <w:sz w:val="40"/>
          <w:szCs w:val="44"/>
        </w:rPr>
      </w:pPr>
      <w:r>
        <w:rPr>
          <w:rFonts w:ascii="黑体" w:eastAsia="黑体" w:hAnsi="黑体" w:cs="Arial" w:hint="eastAsia"/>
          <w:b/>
          <w:sz w:val="40"/>
          <w:szCs w:val="44"/>
        </w:rPr>
        <w:t>东方阿尔法瑞丰混合型发起式证券投资基金</w:t>
      </w:r>
    </w:p>
    <w:p w14:paraId="7DD79406" w14:textId="32520BAA" w:rsidR="00E17FEC" w:rsidRDefault="0093014E">
      <w:pPr>
        <w:spacing w:line="360" w:lineRule="auto"/>
        <w:jc w:val="center"/>
        <w:rPr>
          <w:rFonts w:ascii="黑体" w:eastAsia="黑体" w:hAnsi="黑体" w:cs="Arial"/>
          <w:b/>
          <w:sz w:val="40"/>
          <w:szCs w:val="44"/>
        </w:rPr>
      </w:pPr>
      <w:r>
        <w:rPr>
          <w:rFonts w:ascii="黑体" w:eastAsia="黑体" w:hAnsi="黑体" w:cs="Arial" w:hint="eastAsia"/>
          <w:b/>
          <w:sz w:val="44"/>
          <w:szCs w:val="44"/>
        </w:rPr>
        <w:t>托管协议</w:t>
      </w:r>
    </w:p>
    <w:p w14:paraId="5256A6DC" w14:textId="77777777" w:rsidR="00E17FEC" w:rsidRDefault="00E17FEC">
      <w:pPr>
        <w:adjustRightInd w:val="0"/>
        <w:snapToGrid w:val="0"/>
        <w:spacing w:line="360" w:lineRule="auto"/>
        <w:jc w:val="center"/>
        <w:rPr>
          <w:rFonts w:ascii="黑体" w:eastAsia="黑体" w:hAnsi="黑体"/>
          <w:b/>
          <w:sz w:val="44"/>
          <w:szCs w:val="44"/>
        </w:rPr>
      </w:pPr>
    </w:p>
    <w:p w14:paraId="614C295A" w14:textId="77777777" w:rsidR="00E17FEC" w:rsidRDefault="00E17FEC">
      <w:pPr>
        <w:adjustRightInd w:val="0"/>
        <w:snapToGrid w:val="0"/>
        <w:spacing w:line="360" w:lineRule="auto"/>
        <w:jc w:val="center"/>
        <w:rPr>
          <w:rFonts w:ascii="宋体" w:hAnsi="宋体"/>
        </w:rPr>
      </w:pPr>
    </w:p>
    <w:p w14:paraId="41DB3CF5" w14:textId="77777777" w:rsidR="00E17FEC" w:rsidRDefault="00E17FEC">
      <w:pPr>
        <w:adjustRightInd w:val="0"/>
        <w:snapToGrid w:val="0"/>
        <w:spacing w:line="360" w:lineRule="auto"/>
        <w:jc w:val="center"/>
        <w:rPr>
          <w:rFonts w:ascii="宋体" w:hAnsi="宋体"/>
        </w:rPr>
      </w:pPr>
    </w:p>
    <w:p w14:paraId="12BE65FD" w14:textId="77777777" w:rsidR="00E17FEC" w:rsidRDefault="00E17FEC">
      <w:pPr>
        <w:adjustRightInd w:val="0"/>
        <w:snapToGrid w:val="0"/>
        <w:spacing w:line="360" w:lineRule="auto"/>
        <w:jc w:val="center"/>
        <w:rPr>
          <w:rFonts w:ascii="宋体" w:hAnsi="宋体"/>
        </w:rPr>
      </w:pPr>
    </w:p>
    <w:p w14:paraId="2D5B4C5D" w14:textId="77777777" w:rsidR="00E17FEC" w:rsidRDefault="00E17FEC">
      <w:pPr>
        <w:adjustRightInd w:val="0"/>
        <w:snapToGrid w:val="0"/>
        <w:spacing w:line="360" w:lineRule="auto"/>
        <w:jc w:val="center"/>
        <w:rPr>
          <w:rFonts w:ascii="宋体" w:hAnsi="宋体"/>
        </w:rPr>
      </w:pPr>
    </w:p>
    <w:p w14:paraId="228D6121" w14:textId="77777777" w:rsidR="00E17FEC" w:rsidRDefault="00E17FEC">
      <w:pPr>
        <w:adjustRightInd w:val="0"/>
        <w:snapToGrid w:val="0"/>
        <w:spacing w:line="360" w:lineRule="auto"/>
        <w:jc w:val="center"/>
        <w:rPr>
          <w:rFonts w:ascii="宋体" w:hAnsi="宋体"/>
        </w:rPr>
      </w:pPr>
    </w:p>
    <w:p w14:paraId="24D4048F" w14:textId="77777777" w:rsidR="00E17FEC" w:rsidRDefault="00E17FEC">
      <w:pPr>
        <w:adjustRightInd w:val="0"/>
        <w:snapToGrid w:val="0"/>
        <w:spacing w:line="360" w:lineRule="auto"/>
        <w:jc w:val="center"/>
        <w:rPr>
          <w:rFonts w:ascii="宋体" w:hAnsi="宋体"/>
        </w:rPr>
      </w:pPr>
    </w:p>
    <w:p w14:paraId="74BFA60E" w14:textId="77777777" w:rsidR="00E17FEC" w:rsidRDefault="00E17FEC">
      <w:pPr>
        <w:adjustRightInd w:val="0"/>
        <w:snapToGrid w:val="0"/>
        <w:spacing w:line="360" w:lineRule="auto"/>
        <w:jc w:val="center"/>
        <w:rPr>
          <w:rFonts w:ascii="宋体" w:hAnsi="宋体"/>
        </w:rPr>
      </w:pPr>
    </w:p>
    <w:p w14:paraId="77526B8E" w14:textId="77777777" w:rsidR="00E17FEC" w:rsidRDefault="00E17FEC">
      <w:pPr>
        <w:adjustRightInd w:val="0"/>
        <w:snapToGrid w:val="0"/>
        <w:spacing w:line="360" w:lineRule="auto"/>
        <w:jc w:val="center"/>
        <w:rPr>
          <w:rFonts w:ascii="宋体" w:hAnsi="宋体"/>
        </w:rPr>
      </w:pPr>
    </w:p>
    <w:p w14:paraId="2FF52C2F" w14:textId="77777777" w:rsidR="00E17FEC" w:rsidRDefault="00E17FEC">
      <w:pPr>
        <w:adjustRightInd w:val="0"/>
        <w:snapToGrid w:val="0"/>
        <w:spacing w:line="360" w:lineRule="auto"/>
        <w:jc w:val="center"/>
        <w:rPr>
          <w:rFonts w:ascii="宋体" w:hAnsi="宋体"/>
        </w:rPr>
      </w:pPr>
    </w:p>
    <w:p w14:paraId="6BACDBD1" w14:textId="77777777" w:rsidR="00E17FEC" w:rsidRDefault="00E17FEC">
      <w:pPr>
        <w:adjustRightInd w:val="0"/>
        <w:snapToGrid w:val="0"/>
        <w:spacing w:line="360" w:lineRule="auto"/>
        <w:jc w:val="center"/>
        <w:rPr>
          <w:rFonts w:ascii="宋体" w:hAnsi="宋体"/>
        </w:rPr>
      </w:pPr>
    </w:p>
    <w:p w14:paraId="6179CB79" w14:textId="77777777" w:rsidR="00E17FEC" w:rsidRDefault="00E17FEC">
      <w:pPr>
        <w:adjustRightInd w:val="0"/>
        <w:snapToGrid w:val="0"/>
        <w:spacing w:line="360" w:lineRule="auto"/>
        <w:jc w:val="center"/>
        <w:rPr>
          <w:rFonts w:ascii="宋体" w:hAnsi="宋体"/>
        </w:rPr>
      </w:pPr>
    </w:p>
    <w:p w14:paraId="187FC630" w14:textId="77777777" w:rsidR="00E17FEC" w:rsidRDefault="00E17FEC">
      <w:pPr>
        <w:adjustRightInd w:val="0"/>
        <w:snapToGrid w:val="0"/>
        <w:spacing w:line="360" w:lineRule="auto"/>
        <w:jc w:val="center"/>
        <w:rPr>
          <w:rFonts w:ascii="宋体" w:hAnsi="宋体"/>
        </w:rPr>
      </w:pPr>
    </w:p>
    <w:p w14:paraId="78E2E21F" w14:textId="77777777" w:rsidR="00E17FEC" w:rsidRDefault="00E17FEC">
      <w:pPr>
        <w:adjustRightInd w:val="0"/>
        <w:snapToGrid w:val="0"/>
        <w:spacing w:line="360" w:lineRule="auto"/>
        <w:rPr>
          <w:rFonts w:ascii="宋体" w:hAnsi="宋体"/>
        </w:rPr>
      </w:pPr>
    </w:p>
    <w:p w14:paraId="3309B26D" w14:textId="77777777" w:rsidR="00E17FEC" w:rsidRDefault="00E17FEC">
      <w:pPr>
        <w:adjustRightInd w:val="0"/>
        <w:snapToGrid w:val="0"/>
        <w:spacing w:line="360" w:lineRule="auto"/>
        <w:jc w:val="center"/>
        <w:rPr>
          <w:rFonts w:ascii="宋体" w:hAnsi="宋体"/>
        </w:rPr>
      </w:pPr>
    </w:p>
    <w:p w14:paraId="160EE07C" w14:textId="77777777" w:rsidR="00E17FEC" w:rsidRDefault="00E17FEC">
      <w:pPr>
        <w:adjustRightInd w:val="0"/>
        <w:snapToGrid w:val="0"/>
        <w:spacing w:line="360" w:lineRule="auto"/>
        <w:jc w:val="center"/>
        <w:rPr>
          <w:rFonts w:ascii="宋体" w:hAnsi="宋体"/>
        </w:rPr>
      </w:pPr>
    </w:p>
    <w:p w14:paraId="53C6A334" w14:textId="77777777" w:rsidR="00E17FEC" w:rsidRDefault="00995857">
      <w:pPr>
        <w:adjustRightInd w:val="0"/>
        <w:snapToGrid w:val="0"/>
        <w:spacing w:line="360" w:lineRule="auto"/>
        <w:ind w:firstLineChars="600" w:firstLine="1687"/>
        <w:rPr>
          <w:rFonts w:ascii="宋体" w:hAnsi="宋体"/>
          <w:sz w:val="28"/>
        </w:rPr>
      </w:pPr>
      <w:r>
        <w:rPr>
          <w:rFonts w:ascii="宋体" w:hAnsi="宋体" w:hint="eastAsia"/>
          <w:b/>
          <w:sz w:val="28"/>
        </w:rPr>
        <w:t>基金管理人：</w:t>
      </w:r>
      <w:r>
        <w:rPr>
          <w:rFonts w:ascii="宋体" w:hAnsi="宋体" w:cs="Arial" w:hint="eastAsia"/>
          <w:bCs/>
          <w:sz w:val="28"/>
          <w:szCs w:val="28"/>
        </w:rPr>
        <w:t>东方阿尔法</w:t>
      </w:r>
      <w:r>
        <w:rPr>
          <w:rFonts w:ascii="宋体" w:hAnsi="宋体" w:hint="eastAsia"/>
          <w:sz w:val="28"/>
        </w:rPr>
        <w:t>基金管理有限公司</w:t>
      </w:r>
    </w:p>
    <w:p w14:paraId="066FD78A" w14:textId="77777777" w:rsidR="00E17FEC" w:rsidRDefault="00995857">
      <w:pPr>
        <w:adjustRightInd w:val="0"/>
        <w:snapToGrid w:val="0"/>
        <w:spacing w:line="360" w:lineRule="auto"/>
        <w:ind w:firstLineChars="600" w:firstLine="1687"/>
        <w:rPr>
          <w:rFonts w:ascii="宋体" w:hAnsi="宋体"/>
          <w:sz w:val="28"/>
        </w:rPr>
      </w:pPr>
      <w:r>
        <w:rPr>
          <w:rFonts w:ascii="宋体" w:hAnsi="宋体" w:hint="eastAsia"/>
          <w:b/>
          <w:sz w:val="28"/>
        </w:rPr>
        <w:t>基金托管人：</w:t>
      </w:r>
      <w:r>
        <w:rPr>
          <w:rFonts w:ascii="宋体" w:hAnsi="宋体" w:hint="eastAsia"/>
          <w:sz w:val="28"/>
        </w:rPr>
        <w:t>中国农业银行股份有限公司</w:t>
      </w:r>
    </w:p>
    <w:p w14:paraId="22082753" w14:textId="77777777" w:rsidR="00D96132" w:rsidRDefault="00D96132">
      <w:pPr>
        <w:adjustRightInd w:val="0"/>
        <w:snapToGrid w:val="0"/>
        <w:spacing w:line="360" w:lineRule="auto"/>
        <w:ind w:firstLineChars="600" w:firstLine="1680"/>
        <w:rPr>
          <w:rFonts w:ascii="宋体" w:hAnsi="宋体"/>
          <w:sz w:val="28"/>
        </w:rPr>
      </w:pPr>
    </w:p>
    <w:p w14:paraId="2DD959A5" w14:textId="085BF263" w:rsidR="00D96132" w:rsidRPr="00D96132" w:rsidRDefault="00D96132" w:rsidP="00806A42">
      <w:pPr>
        <w:adjustRightInd w:val="0"/>
        <w:snapToGrid w:val="0"/>
        <w:spacing w:line="360" w:lineRule="auto"/>
        <w:ind w:firstLineChars="1100" w:firstLine="3080"/>
        <w:rPr>
          <w:rFonts w:ascii="宋体" w:hAnsi="宋体"/>
          <w:sz w:val="28"/>
        </w:rPr>
      </w:pPr>
      <w:r>
        <w:rPr>
          <w:rFonts w:ascii="宋体" w:hAnsi="宋体"/>
          <w:sz w:val="28"/>
        </w:rPr>
        <w:t>二零二三年八月修订</w:t>
      </w:r>
    </w:p>
    <w:p w14:paraId="0BAC6DDA" w14:textId="77777777" w:rsidR="00E17FEC" w:rsidRDefault="00E17FEC">
      <w:pPr>
        <w:adjustRightInd w:val="0"/>
        <w:snapToGrid w:val="0"/>
        <w:spacing w:line="360" w:lineRule="auto"/>
        <w:jc w:val="center"/>
        <w:rPr>
          <w:rFonts w:ascii="宋体" w:hAnsi="宋体"/>
          <w:sz w:val="28"/>
        </w:rPr>
      </w:pPr>
    </w:p>
    <w:p w14:paraId="70FEF7D1" w14:textId="77777777" w:rsidR="00E17FEC" w:rsidRDefault="00995857">
      <w:pPr>
        <w:adjustRightInd w:val="0"/>
        <w:snapToGrid w:val="0"/>
        <w:spacing w:line="360" w:lineRule="auto"/>
        <w:rPr>
          <w:rFonts w:ascii="宋体" w:hAnsi="宋体" w:cs="Arial"/>
          <w:bCs/>
          <w:szCs w:val="21"/>
        </w:rPr>
        <w:sectPr w:rsidR="00E17FEC">
          <w:headerReference w:type="default" r:id="rId51"/>
          <w:type w:val="continuous"/>
          <w:pgSz w:w="11906" w:h="16838"/>
          <w:pgMar w:top="1418" w:right="1701" w:bottom="1418" w:left="1701" w:header="851" w:footer="992" w:gutter="0"/>
          <w:cols w:space="425"/>
          <w:docGrid w:type="lines" w:linePitch="312"/>
        </w:sectPr>
      </w:pPr>
      <w:bookmarkStart w:id="5" w:name="CTS_bbd036a1a28c47a6a84d9b8ff7038d71"/>
      <w:bookmarkStart w:id="6" w:name="CTS_727662275f9a4aec82ab8b8233c36637"/>
      <w:bookmarkStart w:id="7" w:name="CTS_bd58dd527ca2412b839164a45ea933d0"/>
      <w:bookmarkStart w:id="8" w:name="CTS_c8abddb0eaae477ea000f52c393303c4"/>
      <w:bookmarkStart w:id="9" w:name="CLAUSE_64c90b257f834672b082f6ac2cf896d3"/>
      <w:bookmarkStart w:id="10" w:name="CLAUSE_bbd036a1a28c47a6a84d9b8ff7038d71"/>
      <w:bookmarkStart w:id="11" w:name="CLAUSE_bd58dd527ca2412b839164a45ea933d0"/>
      <w:bookmarkStart w:id="12" w:name="CLAUSE_727662275f9a4aec82ab8b8233c36637"/>
      <w:bookmarkEnd w:id="0"/>
      <w:bookmarkEnd w:id="2"/>
      <w:bookmarkEnd w:id="3"/>
      <w:bookmarkEnd w:id="4"/>
      <w:bookmarkEnd w:id="5"/>
      <w:bookmarkEnd w:id="6"/>
      <w:bookmarkEnd w:id="7"/>
      <w:bookmarkEnd w:id="8"/>
      <w:r>
        <w:rPr>
          <w:rFonts w:ascii="宋体" w:hAnsi="宋体"/>
        </w:rPr>
        <w:t xml:space="preserve"> </w:t>
      </w:r>
      <w:bookmarkStart w:id="13" w:name="CTS_64c90b257f834672b082f6ac2cf896d3"/>
      <w:bookmarkEnd w:id="9"/>
      <w:bookmarkEnd w:id="13"/>
    </w:p>
    <w:p w14:paraId="007612E7" w14:textId="77777777" w:rsidR="00E17FEC" w:rsidRDefault="00995857">
      <w:pPr>
        <w:adjustRightInd w:val="0"/>
        <w:snapToGrid w:val="0"/>
        <w:spacing w:line="360" w:lineRule="auto"/>
        <w:rPr>
          <w:rFonts w:ascii="宋体" w:hAnsi="宋体" w:cs="Arial"/>
          <w:bCs/>
          <w:szCs w:val="21"/>
        </w:rPr>
      </w:pPr>
      <w:bookmarkStart w:id="14" w:name="CLAUSE_9d4d248183564d13a0cbc7dcce6e82c7"/>
      <w:r>
        <w:rPr>
          <w:rFonts w:ascii="宋体" w:hAnsi="宋体"/>
        </w:rPr>
        <w:lastRenderedPageBreak/>
        <w:t xml:space="preserve"> </w:t>
      </w:r>
      <w:bookmarkStart w:id="15" w:name="CTS_9d4d248183564d13a0cbc7dcce6e82c7"/>
      <w:bookmarkEnd w:id="15"/>
    </w:p>
    <w:p w14:paraId="4CBFD2B4" w14:textId="77777777" w:rsidR="00E17FEC" w:rsidRDefault="00995857">
      <w:pPr>
        <w:spacing w:line="360" w:lineRule="auto"/>
        <w:jc w:val="center"/>
        <w:rPr>
          <w:rFonts w:ascii="宋体" w:hAnsi="宋体"/>
          <w:b/>
          <w:sz w:val="32"/>
          <w:szCs w:val="32"/>
        </w:rPr>
      </w:pPr>
      <w:r>
        <w:rPr>
          <w:rFonts w:ascii="宋体" w:hAnsi="宋体" w:hint="eastAsia"/>
          <w:b/>
          <w:sz w:val="32"/>
          <w:szCs w:val="32"/>
        </w:rPr>
        <w:t>目录</w:t>
      </w:r>
    </w:p>
    <w:p w14:paraId="7603125D" w14:textId="77777777" w:rsidR="00E17FEC" w:rsidRDefault="00995857">
      <w:pPr>
        <w:pStyle w:val="10"/>
        <w:tabs>
          <w:tab w:val="left" w:pos="1500"/>
          <w:tab w:val="right" w:leader="dot" w:pos="8494"/>
        </w:tabs>
        <w:spacing w:line="360" w:lineRule="auto"/>
        <w:rPr>
          <w:rFonts w:ascii="宋体" w:hAnsi="宋体"/>
          <w:sz w:val="24"/>
        </w:rPr>
      </w:pPr>
      <w:r>
        <w:rPr>
          <w:rFonts w:ascii="宋体" w:hAnsi="宋体"/>
          <w:sz w:val="24"/>
        </w:rPr>
        <w:fldChar w:fldCharType="begin"/>
      </w:r>
      <w:r>
        <w:rPr>
          <w:rFonts w:ascii="宋体" w:hAnsi="宋体"/>
          <w:sz w:val="24"/>
        </w:rPr>
        <w:instrText xml:space="preserve"> TOC \o "1-2" \h \z </w:instrText>
      </w:r>
      <w:r>
        <w:rPr>
          <w:rFonts w:ascii="宋体" w:hAnsi="宋体"/>
          <w:sz w:val="24"/>
        </w:rPr>
        <w:fldChar w:fldCharType="separate"/>
      </w:r>
      <w:hyperlink w:anchor="_Toc3276848" w:history="1">
        <w:r>
          <w:rPr>
            <w:rStyle w:val="af1"/>
            <w:rFonts w:ascii="宋体" w:hAnsi="宋体" w:hint="eastAsia"/>
            <w:sz w:val="24"/>
          </w:rPr>
          <w:t>第一部分</w:t>
        </w:r>
        <w:r>
          <w:rPr>
            <w:rFonts w:ascii="宋体" w:hAnsi="宋体"/>
            <w:sz w:val="24"/>
          </w:rPr>
          <w:tab/>
        </w:r>
        <w:r>
          <w:rPr>
            <w:rStyle w:val="af1"/>
            <w:rFonts w:ascii="宋体" w:hAnsi="宋体" w:hint="eastAsia"/>
            <w:sz w:val="24"/>
          </w:rPr>
          <w:t>基金托管协议当事人</w:t>
        </w:r>
        <w:r>
          <w:rPr>
            <w:rFonts w:ascii="宋体" w:hAnsi="宋体"/>
            <w:sz w:val="24"/>
          </w:rPr>
          <w:tab/>
          <w:t>1-</w:t>
        </w:r>
        <w:r>
          <w:rPr>
            <w:rFonts w:ascii="宋体" w:hAnsi="宋体" w:hint="eastAsia"/>
            <w:sz w:val="24"/>
          </w:rPr>
          <w:t>（</w:t>
        </w:r>
        <w:r>
          <w:rPr>
            <w:rFonts w:ascii="宋体" w:hAnsi="宋体"/>
            <w:sz w:val="24"/>
          </w:rPr>
          <w:t>1）</w:t>
        </w:r>
      </w:hyperlink>
    </w:p>
    <w:p w14:paraId="6EE47052" w14:textId="77777777" w:rsidR="00E17FEC" w:rsidRDefault="00E97A67">
      <w:pPr>
        <w:pStyle w:val="10"/>
        <w:tabs>
          <w:tab w:val="left" w:pos="1500"/>
          <w:tab w:val="right" w:leader="dot" w:pos="8494"/>
        </w:tabs>
        <w:spacing w:line="360" w:lineRule="auto"/>
        <w:rPr>
          <w:rFonts w:ascii="宋体" w:hAnsi="宋体"/>
          <w:sz w:val="24"/>
        </w:rPr>
      </w:pPr>
      <w:hyperlink w:anchor="_Toc3276849" w:history="1">
        <w:r w:rsidR="00995857">
          <w:rPr>
            <w:rStyle w:val="af1"/>
            <w:rFonts w:ascii="宋体" w:hAnsi="宋体" w:hint="eastAsia"/>
            <w:sz w:val="24"/>
          </w:rPr>
          <w:t>第二部分</w:t>
        </w:r>
        <w:r w:rsidR="00995857">
          <w:rPr>
            <w:rFonts w:ascii="宋体" w:hAnsi="宋体"/>
            <w:sz w:val="24"/>
          </w:rPr>
          <w:tab/>
        </w:r>
        <w:r w:rsidR="00995857">
          <w:rPr>
            <w:rStyle w:val="af1"/>
            <w:rFonts w:ascii="宋体" w:hAnsi="宋体" w:hint="eastAsia"/>
            <w:sz w:val="24"/>
          </w:rPr>
          <w:t>基金托管协议的依据、目的和原则</w:t>
        </w:r>
        <w:r w:rsidR="00995857">
          <w:rPr>
            <w:rFonts w:ascii="宋体" w:hAnsi="宋体"/>
            <w:sz w:val="24"/>
          </w:rPr>
          <w:tab/>
          <w:t>2-</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_Toc3276849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hint="eastAsia"/>
          <w:sz w:val="24"/>
        </w:rPr>
        <w:t>）</w:t>
      </w:r>
    </w:p>
    <w:p w14:paraId="4CB5E16A" w14:textId="77777777" w:rsidR="00E17FEC" w:rsidRDefault="00E97A67">
      <w:pPr>
        <w:pStyle w:val="10"/>
        <w:tabs>
          <w:tab w:val="left" w:pos="1500"/>
          <w:tab w:val="right" w:leader="dot" w:pos="8494"/>
        </w:tabs>
        <w:spacing w:line="360" w:lineRule="auto"/>
        <w:rPr>
          <w:rFonts w:ascii="宋体" w:hAnsi="宋体"/>
          <w:sz w:val="24"/>
        </w:rPr>
      </w:pPr>
      <w:hyperlink w:anchor="_Toc3276850" w:history="1">
        <w:r w:rsidR="00995857">
          <w:rPr>
            <w:rStyle w:val="af1"/>
            <w:rFonts w:ascii="宋体" w:hAnsi="宋体" w:hint="eastAsia"/>
            <w:sz w:val="24"/>
          </w:rPr>
          <w:t>第三部分</w:t>
        </w:r>
        <w:r w:rsidR="00995857">
          <w:rPr>
            <w:rFonts w:ascii="宋体" w:hAnsi="宋体"/>
            <w:sz w:val="24"/>
          </w:rPr>
          <w:tab/>
        </w:r>
        <w:r w:rsidR="00995857">
          <w:rPr>
            <w:rStyle w:val="af1"/>
            <w:rFonts w:ascii="宋体" w:hAnsi="宋体" w:hint="eastAsia"/>
            <w:sz w:val="24"/>
          </w:rPr>
          <w:t>基金托管人对基金管理人的业务监督和核查</w:t>
        </w:r>
        <w:r w:rsidR="00995857">
          <w:rPr>
            <w:rFonts w:ascii="宋体" w:hAnsi="宋体"/>
            <w:sz w:val="24"/>
          </w:rPr>
          <w:tab/>
          <w:t>3-</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_Toc3276850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sz w:val="24"/>
        </w:rPr>
        <w:t>-11</w:t>
      </w:r>
      <w:r w:rsidR="00995857">
        <w:rPr>
          <w:rFonts w:ascii="宋体" w:hAnsi="宋体" w:hint="eastAsia"/>
          <w:sz w:val="24"/>
        </w:rPr>
        <w:t>）</w:t>
      </w:r>
    </w:p>
    <w:p w14:paraId="78958170" w14:textId="77777777" w:rsidR="00E17FEC" w:rsidRDefault="00E97A67">
      <w:pPr>
        <w:pStyle w:val="10"/>
        <w:tabs>
          <w:tab w:val="left" w:pos="1500"/>
          <w:tab w:val="right" w:leader="dot" w:pos="8494"/>
        </w:tabs>
        <w:spacing w:line="360" w:lineRule="auto"/>
        <w:rPr>
          <w:rFonts w:ascii="宋体" w:hAnsi="宋体"/>
          <w:sz w:val="24"/>
        </w:rPr>
      </w:pPr>
      <w:hyperlink w:anchor="_Toc3276851" w:history="1">
        <w:r w:rsidR="00995857">
          <w:rPr>
            <w:rStyle w:val="af1"/>
            <w:rFonts w:ascii="宋体" w:hAnsi="宋体" w:hint="eastAsia"/>
            <w:sz w:val="24"/>
          </w:rPr>
          <w:t>第四部分</w:t>
        </w:r>
        <w:r w:rsidR="00995857">
          <w:rPr>
            <w:rFonts w:ascii="宋体" w:hAnsi="宋体"/>
            <w:sz w:val="24"/>
          </w:rPr>
          <w:tab/>
        </w:r>
        <w:r w:rsidR="00995857">
          <w:rPr>
            <w:rStyle w:val="af1"/>
            <w:rFonts w:ascii="宋体" w:hAnsi="宋体" w:hint="eastAsia"/>
            <w:sz w:val="24"/>
          </w:rPr>
          <w:t>基金管理人对基金托管人的业务核查</w:t>
        </w:r>
        <w:r w:rsidR="00995857">
          <w:rPr>
            <w:rFonts w:ascii="宋体" w:hAnsi="宋体"/>
            <w:sz w:val="24"/>
          </w:rPr>
          <w:tab/>
          <w:t>4-</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_Toc3276851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hint="eastAsia"/>
          <w:sz w:val="24"/>
        </w:rPr>
        <w:t>）</w:t>
      </w:r>
    </w:p>
    <w:p w14:paraId="1A938F0A" w14:textId="77777777" w:rsidR="00E17FEC" w:rsidRDefault="00E97A67">
      <w:pPr>
        <w:pStyle w:val="10"/>
        <w:tabs>
          <w:tab w:val="left" w:pos="1500"/>
          <w:tab w:val="right" w:leader="dot" w:pos="8494"/>
        </w:tabs>
        <w:spacing w:line="360" w:lineRule="auto"/>
        <w:rPr>
          <w:rFonts w:ascii="宋体" w:hAnsi="宋体"/>
          <w:sz w:val="24"/>
        </w:rPr>
      </w:pPr>
      <w:hyperlink w:anchor="_Toc3276852" w:history="1">
        <w:r w:rsidR="00995857">
          <w:rPr>
            <w:rStyle w:val="af1"/>
            <w:rFonts w:ascii="宋体" w:hAnsi="宋体" w:hint="eastAsia"/>
            <w:sz w:val="24"/>
          </w:rPr>
          <w:t>第五部分</w:t>
        </w:r>
        <w:r w:rsidR="00995857">
          <w:rPr>
            <w:rFonts w:ascii="宋体" w:hAnsi="宋体"/>
            <w:sz w:val="24"/>
          </w:rPr>
          <w:tab/>
        </w:r>
        <w:r w:rsidR="00995857">
          <w:rPr>
            <w:rStyle w:val="af1"/>
            <w:rFonts w:ascii="宋体" w:hAnsi="宋体" w:hint="eastAsia"/>
            <w:sz w:val="24"/>
          </w:rPr>
          <w:t>基金财产的保管</w:t>
        </w:r>
        <w:r w:rsidR="00995857">
          <w:rPr>
            <w:rFonts w:ascii="宋体" w:hAnsi="宋体"/>
            <w:sz w:val="24"/>
          </w:rPr>
          <w:tab/>
          <w:t>5-</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_Toc3276852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sz w:val="24"/>
        </w:rPr>
        <w:t>-4</w:t>
      </w:r>
      <w:r w:rsidR="00995857">
        <w:rPr>
          <w:rFonts w:ascii="宋体" w:hAnsi="宋体" w:hint="eastAsia"/>
          <w:sz w:val="24"/>
        </w:rPr>
        <w:t>）</w:t>
      </w:r>
    </w:p>
    <w:p w14:paraId="29E33519" w14:textId="77777777" w:rsidR="00E17FEC" w:rsidRDefault="00E97A67">
      <w:pPr>
        <w:pStyle w:val="10"/>
        <w:tabs>
          <w:tab w:val="left" w:pos="1500"/>
          <w:tab w:val="right" w:leader="dot" w:pos="8494"/>
        </w:tabs>
        <w:spacing w:line="360" w:lineRule="auto"/>
        <w:rPr>
          <w:rFonts w:ascii="宋体" w:hAnsi="宋体"/>
          <w:sz w:val="24"/>
        </w:rPr>
      </w:pPr>
      <w:hyperlink w:anchor="_Toc3276853" w:history="1">
        <w:r w:rsidR="00995857">
          <w:rPr>
            <w:rStyle w:val="af1"/>
            <w:rFonts w:ascii="宋体" w:hAnsi="宋体" w:hint="eastAsia"/>
            <w:sz w:val="24"/>
          </w:rPr>
          <w:t>第六部分</w:t>
        </w:r>
        <w:r w:rsidR="00995857">
          <w:rPr>
            <w:rFonts w:ascii="宋体" w:hAnsi="宋体"/>
            <w:sz w:val="24"/>
          </w:rPr>
          <w:tab/>
        </w:r>
        <w:r w:rsidR="00995857">
          <w:rPr>
            <w:rStyle w:val="af1"/>
            <w:rFonts w:ascii="宋体" w:hAnsi="宋体" w:hint="eastAsia"/>
            <w:sz w:val="24"/>
          </w:rPr>
          <w:t>指令的发送、确认及执行</w:t>
        </w:r>
        <w:r w:rsidR="00995857">
          <w:rPr>
            <w:rFonts w:ascii="宋体" w:hAnsi="宋体"/>
            <w:sz w:val="24"/>
          </w:rPr>
          <w:tab/>
          <w:t>6-</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_Toc3276853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sz w:val="24"/>
        </w:rPr>
        <w:t>-5</w:t>
      </w:r>
      <w:r w:rsidR="00995857">
        <w:rPr>
          <w:rFonts w:ascii="宋体" w:hAnsi="宋体" w:hint="eastAsia"/>
          <w:sz w:val="24"/>
        </w:rPr>
        <w:t>）</w:t>
      </w:r>
    </w:p>
    <w:p w14:paraId="0C78B7FB" w14:textId="77777777" w:rsidR="00E17FEC" w:rsidRDefault="00E97A67">
      <w:pPr>
        <w:pStyle w:val="10"/>
        <w:tabs>
          <w:tab w:val="left" w:pos="1500"/>
          <w:tab w:val="right" w:leader="dot" w:pos="8494"/>
        </w:tabs>
        <w:spacing w:line="360" w:lineRule="auto"/>
        <w:rPr>
          <w:rFonts w:ascii="宋体" w:hAnsi="宋体"/>
          <w:sz w:val="24"/>
        </w:rPr>
      </w:pPr>
      <w:hyperlink w:anchor="_Toc3276854" w:history="1">
        <w:r w:rsidR="00995857">
          <w:rPr>
            <w:rStyle w:val="af1"/>
            <w:rFonts w:ascii="宋体" w:hAnsi="宋体" w:hint="eastAsia"/>
            <w:sz w:val="24"/>
          </w:rPr>
          <w:t>第七部分</w:t>
        </w:r>
        <w:r w:rsidR="00995857">
          <w:rPr>
            <w:rFonts w:ascii="宋体" w:hAnsi="宋体"/>
            <w:sz w:val="24"/>
          </w:rPr>
          <w:tab/>
        </w:r>
        <w:r w:rsidR="00995857">
          <w:rPr>
            <w:rStyle w:val="af1"/>
            <w:rFonts w:ascii="宋体" w:hAnsi="宋体" w:hint="eastAsia"/>
            <w:sz w:val="24"/>
          </w:rPr>
          <w:t>交易及清算交收安排</w:t>
        </w:r>
        <w:r w:rsidR="00995857">
          <w:rPr>
            <w:rFonts w:ascii="宋体" w:hAnsi="宋体"/>
            <w:sz w:val="24"/>
          </w:rPr>
          <w:tab/>
          <w:t>7-</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_Toc3276854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sz w:val="24"/>
        </w:rPr>
        <w:t>-4</w:t>
      </w:r>
      <w:r w:rsidR="00995857">
        <w:rPr>
          <w:rFonts w:ascii="宋体" w:hAnsi="宋体" w:hint="eastAsia"/>
          <w:sz w:val="24"/>
        </w:rPr>
        <w:t>）</w:t>
      </w:r>
    </w:p>
    <w:p w14:paraId="0E36DEFF" w14:textId="77777777" w:rsidR="00E17FEC" w:rsidRDefault="00E97A67">
      <w:pPr>
        <w:pStyle w:val="10"/>
        <w:tabs>
          <w:tab w:val="left" w:pos="1500"/>
          <w:tab w:val="right" w:leader="dot" w:pos="8494"/>
        </w:tabs>
        <w:spacing w:line="360" w:lineRule="auto"/>
        <w:rPr>
          <w:rFonts w:ascii="宋体" w:hAnsi="宋体"/>
          <w:sz w:val="24"/>
        </w:rPr>
      </w:pPr>
      <w:hyperlink w:anchor="_Toc3276855" w:history="1">
        <w:r w:rsidR="00995857">
          <w:rPr>
            <w:rStyle w:val="af1"/>
            <w:rFonts w:ascii="宋体" w:hAnsi="宋体" w:hint="eastAsia"/>
            <w:sz w:val="24"/>
          </w:rPr>
          <w:t>第八部分</w:t>
        </w:r>
        <w:r w:rsidR="00995857">
          <w:rPr>
            <w:rFonts w:ascii="宋体" w:hAnsi="宋体"/>
            <w:sz w:val="24"/>
          </w:rPr>
          <w:tab/>
        </w:r>
        <w:r w:rsidR="00995857">
          <w:rPr>
            <w:rStyle w:val="af1"/>
            <w:rFonts w:ascii="宋体" w:hAnsi="宋体" w:hint="eastAsia"/>
            <w:sz w:val="24"/>
          </w:rPr>
          <w:t>基金资产净值计算、估值和会计核算</w:t>
        </w:r>
        <w:r w:rsidR="00995857">
          <w:rPr>
            <w:rFonts w:ascii="宋体" w:hAnsi="宋体"/>
            <w:sz w:val="24"/>
          </w:rPr>
          <w:tab/>
          <w:t>8-</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_Toc3276855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sz w:val="24"/>
        </w:rPr>
        <w:t>-2</w:t>
      </w:r>
      <w:r w:rsidR="00995857">
        <w:rPr>
          <w:rFonts w:ascii="宋体" w:hAnsi="宋体" w:hint="eastAsia"/>
          <w:sz w:val="24"/>
        </w:rPr>
        <w:t>）</w:t>
      </w:r>
    </w:p>
    <w:p w14:paraId="6A1582B3" w14:textId="77777777" w:rsidR="00E17FEC" w:rsidRDefault="00E97A67">
      <w:pPr>
        <w:pStyle w:val="10"/>
        <w:tabs>
          <w:tab w:val="left" w:pos="1500"/>
          <w:tab w:val="right" w:leader="dot" w:pos="8494"/>
        </w:tabs>
        <w:spacing w:line="360" w:lineRule="auto"/>
        <w:rPr>
          <w:rFonts w:ascii="宋体" w:hAnsi="宋体"/>
          <w:sz w:val="24"/>
        </w:rPr>
      </w:pPr>
      <w:hyperlink w:anchor="_Toc3276856" w:history="1">
        <w:r w:rsidR="00995857">
          <w:rPr>
            <w:rStyle w:val="af1"/>
            <w:rFonts w:ascii="宋体" w:hAnsi="宋体" w:hint="eastAsia"/>
            <w:sz w:val="24"/>
          </w:rPr>
          <w:t>第九部分</w:t>
        </w:r>
        <w:r w:rsidR="00995857">
          <w:rPr>
            <w:rFonts w:ascii="宋体" w:hAnsi="宋体"/>
            <w:sz w:val="24"/>
          </w:rPr>
          <w:tab/>
        </w:r>
        <w:r w:rsidR="00995857">
          <w:rPr>
            <w:rStyle w:val="af1"/>
            <w:rFonts w:ascii="宋体" w:hAnsi="宋体" w:hint="eastAsia"/>
            <w:sz w:val="24"/>
          </w:rPr>
          <w:t>基金收益分配</w:t>
        </w:r>
        <w:r w:rsidR="00995857">
          <w:rPr>
            <w:rFonts w:ascii="宋体" w:hAnsi="宋体"/>
            <w:sz w:val="24"/>
          </w:rPr>
          <w:tab/>
          <w:t>9-</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_Toc3276856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hint="eastAsia"/>
          <w:sz w:val="24"/>
        </w:rPr>
        <w:t>）</w:t>
      </w:r>
    </w:p>
    <w:p w14:paraId="5643F15B" w14:textId="77777777" w:rsidR="00E17FEC" w:rsidRDefault="00E97A67">
      <w:pPr>
        <w:pStyle w:val="10"/>
        <w:tabs>
          <w:tab w:val="left" w:pos="1500"/>
          <w:tab w:val="right" w:leader="dot" w:pos="8494"/>
        </w:tabs>
        <w:spacing w:line="360" w:lineRule="auto"/>
        <w:rPr>
          <w:rFonts w:ascii="宋体" w:hAnsi="宋体"/>
          <w:sz w:val="24"/>
        </w:rPr>
      </w:pPr>
      <w:hyperlink w:anchor="_Toc3276857" w:history="1">
        <w:r w:rsidR="00995857">
          <w:rPr>
            <w:rStyle w:val="af1"/>
            <w:rFonts w:ascii="宋体" w:hAnsi="宋体" w:hint="eastAsia"/>
            <w:sz w:val="24"/>
          </w:rPr>
          <w:t>第十部分</w:t>
        </w:r>
        <w:r w:rsidR="00995857">
          <w:rPr>
            <w:rFonts w:ascii="宋体" w:hAnsi="宋体"/>
            <w:sz w:val="24"/>
          </w:rPr>
          <w:tab/>
        </w:r>
        <w:r w:rsidR="00995857">
          <w:rPr>
            <w:rStyle w:val="af1"/>
            <w:rFonts w:ascii="宋体" w:hAnsi="宋体" w:hint="eastAsia"/>
            <w:sz w:val="24"/>
          </w:rPr>
          <w:t>基金信息披露</w:t>
        </w:r>
        <w:r w:rsidR="00995857">
          <w:rPr>
            <w:rFonts w:ascii="宋体" w:hAnsi="宋体"/>
            <w:sz w:val="24"/>
          </w:rPr>
          <w:tab/>
          <w:t>10-</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_Toc3276857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sz w:val="24"/>
        </w:rPr>
        <w:t>-3</w:t>
      </w:r>
      <w:r w:rsidR="00995857">
        <w:rPr>
          <w:rFonts w:ascii="宋体" w:hAnsi="宋体" w:hint="eastAsia"/>
          <w:sz w:val="24"/>
        </w:rPr>
        <w:t>）</w:t>
      </w:r>
    </w:p>
    <w:p w14:paraId="078F1238" w14:textId="77777777" w:rsidR="00E17FEC" w:rsidRDefault="00E97A67">
      <w:pPr>
        <w:pStyle w:val="10"/>
        <w:tabs>
          <w:tab w:val="left" w:pos="1475"/>
          <w:tab w:val="right" w:leader="dot" w:pos="8494"/>
        </w:tabs>
        <w:spacing w:line="360" w:lineRule="auto"/>
        <w:rPr>
          <w:rFonts w:ascii="宋体" w:hAnsi="宋体"/>
          <w:sz w:val="24"/>
        </w:rPr>
      </w:pPr>
      <w:hyperlink w:anchor="_Toc3276858" w:history="1">
        <w:r w:rsidR="00995857">
          <w:rPr>
            <w:rStyle w:val="af1"/>
            <w:rFonts w:ascii="宋体" w:hAnsi="宋体" w:hint="eastAsia"/>
            <w:sz w:val="24"/>
          </w:rPr>
          <w:t>第十一部分</w:t>
        </w:r>
        <w:r w:rsidR="00995857">
          <w:rPr>
            <w:rFonts w:ascii="宋体" w:hAnsi="宋体"/>
            <w:sz w:val="24"/>
          </w:rPr>
          <w:tab/>
        </w:r>
        <w:r w:rsidR="00995857">
          <w:rPr>
            <w:rStyle w:val="af1"/>
            <w:rFonts w:ascii="宋体" w:hAnsi="宋体" w:hint="eastAsia"/>
            <w:sz w:val="24"/>
          </w:rPr>
          <w:t>基金费用</w:t>
        </w:r>
        <w:r w:rsidR="00995857">
          <w:rPr>
            <w:rFonts w:ascii="宋体" w:hAnsi="宋体"/>
            <w:sz w:val="24"/>
          </w:rPr>
          <w:tab/>
          <w:t>11-</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_Toc3276858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hint="eastAsia"/>
          <w:sz w:val="24"/>
        </w:rPr>
        <w:t>）</w:t>
      </w:r>
    </w:p>
    <w:p w14:paraId="16BA9FE0" w14:textId="77777777" w:rsidR="00E17FEC" w:rsidRDefault="00E97A67">
      <w:pPr>
        <w:pStyle w:val="10"/>
        <w:tabs>
          <w:tab w:val="left" w:pos="1475"/>
          <w:tab w:val="right" w:leader="dot" w:pos="8494"/>
        </w:tabs>
        <w:spacing w:line="360" w:lineRule="auto"/>
        <w:rPr>
          <w:rFonts w:ascii="宋体" w:hAnsi="宋体"/>
          <w:sz w:val="24"/>
        </w:rPr>
      </w:pPr>
      <w:hyperlink w:anchor="_Toc3276859" w:history="1">
        <w:r w:rsidR="00995857">
          <w:rPr>
            <w:rStyle w:val="af1"/>
            <w:rFonts w:ascii="宋体" w:hAnsi="宋体" w:hint="eastAsia"/>
            <w:sz w:val="24"/>
          </w:rPr>
          <w:t>第十二部分</w:t>
        </w:r>
        <w:r w:rsidR="00995857">
          <w:rPr>
            <w:rFonts w:ascii="宋体" w:hAnsi="宋体"/>
            <w:sz w:val="24"/>
          </w:rPr>
          <w:tab/>
        </w:r>
        <w:r w:rsidR="00995857">
          <w:rPr>
            <w:rStyle w:val="af1"/>
            <w:rFonts w:ascii="宋体" w:hAnsi="宋体" w:hint="eastAsia"/>
            <w:sz w:val="24"/>
          </w:rPr>
          <w:t>基金份额持有人名册的保管</w:t>
        </w:r>
        <w:r w:rsidR="00995857">
          <w:rPr>
            <w:rFonts w:ascii="宋体" w:hAnsi="宋体"/>
            <w:sz w:val="24"/>
          </w:rPr>
          <w:tab/>
          <w:t>12-</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_Toc3276859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hint="eastAsia"/>
          <w:sz w:val="24"/>
        </w:rPr>
        <w:t>）</w:t>
      </w:r>
    </w:p>
    <w:p w14:paraId="10940A54" w14:textId="77777777" w:rsidR="00E17FEC" w:rsidRDefault="00E97A67">
      <w:pPr>
        <w:pStyle w:val="10"/>
        <w:tabs>
          <w:tab w:val="left" w:pos="1475"/>
          <w:tab w:val="right" w:leader="dot" w:pos="8494"/>
        </w:tabs>
        <w:spacing w:line="360" w:lineRule="auto"/>
        <w:rPr>
          <w:rFonts w:ascii="宋体" w:hAnsi="宋体"/>
          <w:sz w:val="24"/>
        </w:rPr>
      </w:pPr>
      <w:hyperlink w:anchor="_Toc3276860" w:history="1">
        <w:r w:rsidR="00995857">
          <w:rPr>
            <w:rStyle w:val="af1"/>
            <w:rFonts w:ascii="宋体" w:hAnsi="宋体" w:hint="eastAsia"/>
            <w:sz w:val="24"/>
          </w:rPr>
          <w:t>第十三部分</w:t>
        </w:r>
        <w:r w:rsidR="00995857">
          <w:rPr>
            <w:rFonts w:ascii="宋体" w:hAnsi="宋体"/>
            <w:sz w:val="24"/>
          </w:rPr>
          <w:tab/>
        </w:r>
        <w:r w:rsidR="00995857">
          <w:rPr>
            <w:rStyle w:val="af1"/>
            <w:rFonts w:ascii="宋体" w:hAnsi="宋体" w:hint="eastAsia"/>
            <w:sz w:val="24"/>
          </w:rPr>
          <w:t>基金有关文件档案的保存</w:t>
        </w:r>
        <w:r w:rsidR="00995857">
          <w:rPr>
            <w:rFonts w:ascii="宋体" w:hAnsi="宋体"/>
            <w:sz w:val="24"/>
          </w:rPr>
          <w:tab/>
          <w:t>13-</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_Toc3276860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hint="eastAsia"/>
          <w:sz w:val="24"/>
        </w:rPr>
        <w:t>）</w:t>
      </w:r>
    </w:p>
    <w:p w14:paraId="1A5CE39A" w14:textId="77777777" w:rsidR="00E17FEC" w:rsidRDefault="00E97A67">
      <w:pPr>
        <w:pStyle w:val="10"/>
        <w:tabs>
          <w:tab w:val="left" w:pos="1475"/>
          <w:tab w:val="right" w:leader="dot" w:pos="8494"/>
        </w:tabs>
        <w:spacing w:line="360" w:lineRule="auto"/>
        <w:rPr>
          <w:rFonts w:ascii="宋体" w:hAnsi="宋体"/>
          <w:sz w:val="24"/>
        </w:rPr>
      </w:pPr>
      <w:hyperlink w:anchor="_Toc3276861" w:history="1">
        <w:r w:rsidR="00995857">
          <w:rPr>
            <w:rStyle w:val="af1"/>
            <w:rFonts w:ascii="宋体" w:hAnsi="宋体" w:hint="eastAsia"/>
            <w:sz w:val="24"/>
          </w:rPr>
          <w:t>第十四部分</w:t>
        </w:r>
        <w:r w:rsidR="00995857">
          <w:rPr>
            <w:rFonts w:ascii="宋体" w:hAnsi="宋体"/>
            <w:sz w:val="24"/>
          </w:rPr>
          <w:tab/>
        </w:r>
        <w:r w:rsidR="00995857">
          <w:rPr>
            <w:rStyle w:val="af1"/>
            <w:rFonts w:ascii="宋体" w:hAnsi="宋体" w:hint="eastAsia"/>
            <w:sz w:val="24"/>
          </w:rPr>
          <w:t>基金管理人和基金托管人的更换</w:t>
        </w:r>
        <w:r w:rsidR="00995857">
          <w:rPr>
            <w:rFonts w:ascii="宋体" w:hAnsi="宋体"/>
            <w:sz w:val="24"/>
          </w:rPr>
          <w:tab/>
          <w:t>14-</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_Toc3276861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hint="eastAsia"/>
          <w:sz w:val="24"/>
        </w:rPr>
        <w:t>）</w:t>
      </w:r>
    </w:p>
    <w:p w14:paraId="78944F6D" w14:textId="77777777" w:rsidR="00E17FEC" w:rsidRDefault="00E97A67">
      <w:pPr>
        <w:pStyle w:val="10"/>
        <w:tabs>
          <w:tab w:val="left" w:pos="1475"/>
          <w:tab w:val="right" w:leader="dot" w:pos="8494"/>
        </w:tabs>
        <w:spacing w:line="360" w:lineRule="auto"/>
        <w:rPr>
          <w:rFonts w:ascii="宋体" w:hAnsi="宋体"/>
          <w:sz w:val="24"/>
        </w:rPr>
      </w:pPr>
      <w:hyperlink w:anchor="_Toc3276862" w:history="1">
        <w:r w:rsidR="00995857">
          <w:rPr>
            <w:rStyle w:val="af1"/>
            <w:rFonts w:ascii="宋体" w:hAnsi="宋体" w:hint="eastAsia"/>
            <w:sz w:val="24"/>
          </w:rPr>
          <w:t>第十五部分</w:t>
        </w:r>
        <w:r w:rsidR="00995857">
          <w:rPr>
            <w:rFonts w:ascii="宋体" w:hAnsi="宋体"/>
            <w:sz w:val="24"/>
          </w:rPr>
          <w:tab/>
        </w:r>
        <w:r w:rsidR="00995857">
          <w:rPr>
            <w:rStyle w:val="af1"/>
            <w:rFonts w:ascii="宋体" w:hAnsi="宋体" w:hint="eastAsia"/>
            <w:sz w:val="24"/>
          </w:rPr>
          <w:t>禁止行为</w:t>
        </w:r>
        <w:r w:rsidR="00995857">
          <w:rPr>
            <w:rFonts w:ascii="宋体" w:hAnsi="宋体"/>
            <w:sz w:val="24"/>
          </w:rPr>
          <w:tab/>
          <w:t>15-</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_Toc3276862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hint="eastAsia"/>
          <w:sz w:val="24"/>
        </w:rPr>
        <w:t>）</w:t>
      </w:r>
    </w:p>
    <w:p w14:paraId="6CB8098C" w14:textId="77777777" w:rsidR="00E17FEC" w:rsidRDefault="00E97A67">
      <w:pPr>
        <w:pStyle w:val="10"/>
        <w:tabs>
          <w:tab w:val="left" w:pos="1475"/>
          <w:tab w:val="right" w:leader="dot" w:pos="8494"/>
        </w:tabs>
        <w:spacing w:line="360" w:lineRule="auto"/>
        <w:rPr>
          <w:rFonts w:ascii="宋体" w:hAnsi="宋体"/>
          <w:sz w:val="24"/>
        </w:rPr>
      </w:pPr>
      <w:hyperlink w:anchor="_Toc3276863" w:history="1">
        <w:r w:rsidR="00995857">
          <w:rPr>
            <w:rStyle w:val="af1"/>
            <w:rFonts w:ascii="宋体" w:hAnsi="宋体" w:hint="eastAsia"/>
            <w:sz w:val="24"/>
          </w:rPr>
          <w:t>第十六部分</w:t>
        </w:r>
        <w:r w:rsidR="00995857">
          <w:rPr>
            <w:rFonts w:ascii="宋体" w:hAnsi="宋体"/>
            <w:sz w:val="24"/>
          </w:rPr>
          <w:tab/>
        </w:r>
        <w:r w:rsidR="00995857">
          <w:rPr>
            <w:rStyle w:val="af1"/>
            <w:rFonts w:ascii="宋体" w:hAnsi="宋体" w:hint="eastAsia"/>
            <w:sz w:val="24"/>
          </w:rPr>
          <w:t>托管协议的变更、终止与基金财产的清算</w:t>
        </w:r>
        <w:r w:rsidR="00995857">
          <w:rPr>
            <w:rFonts w:ascii="宋体" w:hAnsi="宋体"/>
            <w:sz w:val="24"/>
          </w:rPr>
          <w:tab/>
          <w:t>16-</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_Toc3276863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hint="eastAsia"/>
          <w:sz w:val="24"/>
        </w:rPr>
        <w:t>）</w:t>
      </w:r>
    </w:p>
    <w:p w14:paraId="6B5330ED" w14:textId="77777777" w:rsidR="00E17FEC" w:rsidRDefault="00E97A67">
      <w:pPr>
        <w:pStyle w:val="10"/>
        <w:tabs>
          <w:tab w:val="left" w:pos="1475"/>
          <w:tab w:val="right" w:leader="dot" w:pos="8494"/>
        </w:tabs>
        <w:spacing w:line="360" w:lineRule="auto"/>
        <w:rPr>
          <w:rFonts w:ascii="宋体" w:hAnsi="宋体"/>
          <w:sz w:val="24"/>
        </w:rPr>
      </w:pPr>
      <w:hyperlink w:anchor="_Toc3276864" w:history="1">
        <w:r w:rsidR="00995857">
          <w:rPr>
            <w:rStyle w:val="af1"/>
            <w:rFonts w:ascii="宋体" w:hAnsi="宋体" w:hint="eastAsia"/>
            <w:sz w:val="24"/>
          </w:rPr>
          <w:t>第十七部分</w:t>
        </w:r>
        <w:r w:rsidR="00995857">
          <w:rPr>
            <w:rFonts w:ascii="宋体" w:hAnsi="宋体"/>
            <w:sz w:val="24"/>
          </w:rPr>
          <w:tab/>
        </w:r>
        <w:r w:rsidR="00995857">
          <w:rPr>
            <w:rStyle w:val="af1"/>
            <w:rFonts w:ascii="宋体" w:hAnsi="宋体" w:hint="eastAsia"/>
            <w:sz w:val="24"/>
          </w:rPr>
          <w:t>违约责任</w:t>
        </w:r>
        <w:r w:rsidR="00995857">
          <w:rPr>
            <w:rFonts w:ascii="宋体" w:hAnsi="宋体"/>
            <w:sz w:val="24"/>
          </w:rPr>
          <w:tab/>
          <w:t>17-</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_Toc3276864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hint="eastAsia"/>
          <w:sz w:val="24"/>
        </w:rPr>
        <w:t>）</w:t>
      </w:r>
    </w:p>
    <w:p w14:paraId="7188D1AE" w14:textId="77777777" w:rsidR="00E17FEC" w:rsidRDefault="00E97A67">
      <w:pPr>
        <w:pStyle w:val="10"/>
        <w:tabs>
          <w:tab w:val="left" w:pos="1475"/>
          <w:tab w:val="right" w:leader="dot" w:pos="8494"/>
        </w:tabs>
        <w:spacing w:line="360" w:lineRule="auto"/>
        <w:rPr>
          <w:rFonts w:ascii="宋体" w:hAnsi="宋体"/>
          <w:sz w:val="24"/>
        </w:rPr>
      </w:pPr>
      <w:hyperlink w:anchor="_Toc3276865" w:history="1">
        <w:r w:rsidR="00995857">
          <w:rPr>
            <w:rStyle w:val="af1"/>
            <w:rFonts w:ascii="宋体" w:hAnsi="宋体" w:hint="eastAsia"/>
            <w:sz w:val="24"/>
          </w:rPr>
          <w:t>第十八部分</w:t>
        </w:r>
        <w:r w:rsidR="00995857">
          <w:rPr>
            <w:rFonts w:ascii="宋体" w:hAnsi="宋体"/>
            <w:sz w:val="24"/>
          </w:rPr>
          <w:tab/>
        </w:r>
        <w:r w:rsidR="00995857">
          <w:rPr>
            <w:rStyle w:val="af1"/>
            <w:rFonts w:ascii="宋体" w:hAnsi="宋体" w:hint="eastAsia"/>
            <w:sz w:val="24"/>
          </w:rPr>
          <w:t>争议解决方式</w:t>
        </w:r>
        <w:r w:rsidR="00995857">
          <w:rPr>
            <w:rFonts w:ascii="宋体" w:hAnsi="宋体"/>
            <w:sz w:val="24"/>
          </w:rPr>
          <w:tab/>
          <w:t>18-</w:t>
        </w:r>
        <w:r w:rsidR="00995857">
          <w:rPr>
            <w:rFonts w:ascii="宋体" w:hAnsi="宋体" w:hint="eastAsia"/>
            <w:sz w:val="24"/>
          </w:rPr>
          <w:t>（</w:t>
        </w:r>
      </w:hyperlink>
      <w:r w:rsidR="00995857">
        <w:rPr>
          <w:rFonts w:ascii="宋体" w:hAnsi="宋体"/>
          <w:sz w:val="24"/>
        </w:rPr>
        <w:t>1</w:t>
      </w:r>
      <w:r w:rsidR="00995857">
        <w:rPr>
          <w:rFonts w:ascii="宋体" w:hAnsi="宋体" w:hint="eastAsia"/>
          <w:sz w:val="24"/>
        </w:rPr>
        <w:t>）</w:t>
      </w:r>
    </w:p>
    <w:p w14:paraId="28E0FB78" w14:textId="77777777" w:rsidR="00E17FEC" w:rsidRDefault="00E97A67">
      <w:pPr>
        <w:pStyle w:val="10"/>
        <w:tabs>
          <w:tab w:val="left" w:pos="1475"/>
          <w:tab w:val="right" w:leader="dot" w:pos="8494"/>
        </w:tabs>
        <w:spacing w:line="360" w:lineRule="auto"/>
        <w:rPr>
          <w:rFonts w:ascii="宋体" w:hAnsi="宋体"/>
          <w:sz w:val="24"/>
        </w:rPr>
      </w:pPr>
      <w:hyperlink w:anchor="_Toc3276866" w:history="1">
        <w:r w:rsidR="00995857">
          <w:rPr>
            <w:rStyle w:val="af1"/>
            <w:rFonts w:ascii="宋体" w:hAnsi="宋体" w:hint="eastAsia"/>
            <w:sz w:val="24"/>
          </w:rPr>
          <w:t>第十九部分</w:t>
        </w:r>
        <w:r w:rsidR="00995857">
          <w:rPr>
            <w:rFonts w:ascii="宋体" w:hAnsi="宋体"/>
            <w:sz w:val="24"/>
          </w:rPr>
          <w:tab/>
        </w:r>
        <w:r w:rsidR="00995857">
          <w:rPr>
            <w:rStyle w:val="af1"/>
            <w:rFonts w:ascii="宋体" w:hAnsi="宋体" w:hint="eastAsia"/>
            <w:sz w:val="24"/>
          </w:rPr>
          <w:t>托管协议的效力</w:t>
        </w:r>
        <w:r w:rsidR="00995857">
          <w:rPr>
            <w:rFonts w:ascii="宋体" w:hAnsi="宋体"/>
            <w:sz w:val="24"/>
          </w:rPr>
          <w:tab/>
          <w:t>19-</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_Toc3276866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hint="eastAsia"/>
          <w:sz w:val="24"/>
        </w:rPr>
        <w:t>）</w:t>
      </w:r>
    </w:p>
    <w:p w14:paraId="5A1BFCCA" w14:textId="77777777" w:rsidR="00E17FEC" w:rsidRDefault="00E97A67">
      <w:pPr>
        <w:pStyle w:val="10"/>
        <w:tabs>
          <w:tab w:val="left" w:pos="1475"/>
          <w:tab w:val="right" w:leader="dot" w:pos="8494"/>
        </w:tabs>
        <w:spacing w:line="360" w:lineRule="auto"/>
        <w:rPr>
          <w:rFonts w:ascii="宋体" w:hAnsi="宋体"/>
          <w:sz w:val="24"/>
        </w:rPr>
      </w:pPr>
      <w:hyperlink w:anchor="_Toc3276867" w:history="1">
        <w:r w:rsidR="00995857">
          <w:rPr>
            <w:rStyle w:val="af1"/>
            <w:rFonts w:ascii="宋体" w:hAnsi="宋体" w:hint="eastAsia"/>
            <w:sz w:val="24"/>
          </w:rPr>
          <w:t>第二十部分</w:t>
        </w:r>
        <w:r w:rsidR="00995857">
          <w:rPr>
            <w:rFonts w:ascii="宋体" w:hAnsi="宋体"/>
            <w:sz w:val="24"/>
          </w:rPr>
          <w:tab/>
        </w:r>
        <w:r w:rsidR="00995857">
          <w:rPr>
            <w:rStyle w:val="af1"/>
            <w:rFonts w:ascii="宋体" w:hAnsi="宋体" w:hint="eastAsia"/>
            <w:sz w:val="24"/>
          </w:rPr>
          <w:t>其他事项</w:t>
        </w:r>
        <w:r w:rsidR="00995857">
          <w:rPr>
            <w:rFonts w:ascii="宋体" w:hAnsi="宋体"/>
            <w:sz w:val="24"/>
          </w:rPr>
          <w:tab/>
          <w:t>20-</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_Toc3276867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hint="eastAsia"/>
          <w:sz w:val="24"/>
        </w:rPr>
        <w:t>）</w:t>
      </w:r>
    </w:p>
    <w:p w14:paraId="7EBDB52F" w14:textId="77777777" w:rsidR="00E17FEC" w:rsidRDefault="00E97A67">
      <w:pPr>
        <w:pStyle w:val="10"/>
        <w:tabs>
          <w:tab w:val="left" w:pos="1475"/>
          <w:tab w:val="right" w:leader="dot" w:pos="8494"/>
        </w:tabs>
        <w:spacing w:line="360" w:lineRule="auto"/>
        <w:rPr>
          <w:rFonts w:ascii="宋体" w:hAnsi="宋体"/>
          <w:sz w:val="24"/>
        </w:rPr>
      </w:pPr>
      <w:hyperlink w:anchor="_Toc3276868" w:history="1">
        <w:r w:rsidR="00995857">
          <w:rPr>
            <w:rStyle w:val="af1"/>
            <w:rFonts w:ascii="宋体" w:hAnsi="宋体" w:hint="eastAsia"/>
            <w:sz w:val="24"/>
          </w:rPr>
          <w:t>第二十一部分</w:t>
        </w:r>
        <w:r w:rsidR="00995857">
          <w:rPr>
            <w:rFonts w:ascii="宋体" w:hAnsi="宋体"/>
            <w:sz w:val="24"/>
          </w:rPr>
          <w:tab/>
        </w:r>
        <w:r w:rsidR="00995857">
          <w:rPr>
            <w:rStyle w:val="af1"/>
            <w:rFonts w:ascii="宋体" w:hAnsi="宋体" w:hint="eastAsia"/>
            <w:sz w:val="24"/>
          </w:rPr>
          <w:t>托管协议的签订</w:t>
        </w:r>
        <w:r w:rsidR="00995857">
          <w:rPr>
            <w:rFonts w:ascii="宋体" w:hAnsi="宋体"/>
            <w:sz w:val="24"/>
          </w:rPr>
          <w:tab/>
          <w:t>21-</w:t>
        </w:r>
        <w:r w:rsidR="00995857">
          <w:rPr>
            <w:rFonts w:ascii="宋体" w:hAnsi="宋体" w:hint="eastAsia"/>
            <w:sz w:val="24"/>
          </w:rPr>
          <w:t>（</w:t>
        </w:r>
        <w:r w:rsidR="00995857">
          <w:rPr>
            <w:rFonts w:ascii="宋体" w:hAnsi="宋体"/>
            <w:sz w:val="24"/>
          </w:rPr>
          <w:fldChar w:fldCharType="begin"/>
        </w:r>
        <w:r w:rsidR="00995857">
          <w:rPr>
            <w:rFonts w:ascii="宋体" w:hAnsi="宋体"/>
            <w:sz w:val="24"/>
          </w:rPr>
          <w:instrText xml:space="preserve"> PAGEREF _Toc3276868 \h </w:instrText>
        </w:r>
        <w:r w:rsidR="00995857">
          <w:rPr>
            <w:rFonts w:ascii="宋体" w:hAnsi="宋体"/>
            <w:sz w:val="24"/>
          </w:rPr>
        </w:r>
        <w:r w:rsidR="00995857">
          <w:rPr>
            <w:rFonts w:ascii="宋体" w:hAnsi="宋体"/>
            <w:sz w:val="24"/>
          </w:rPr>
          <w:fldChar w:fldCharType="separate"/>
        </w:r>
        <w:r w:rsidR="00995857">
          <w:rPr>
            <w:rFonts w:ascii="宋体" w:hAnsi="宋体"/>
            <w:sz w:val="24"/>
          </w:rPr>
          <w:t>1</w:t>
        </w:r>
        <w:r w:rsidR="00995857">
          <w:rPr>
            <w:rFonts w:ascii="宋体" w:hAnsi="宋体"/>
            <w:sz w:val="24"/>
          </w:rPr>
          <w:fldChar w:fldCharType="end"/>
        </w:r>
      </w:hyperlink>
      <w:r w:rsidR="00995857">
        <w:rPr>
          <w:rFonts w:ascii="宋体" w:hAnsi="宋体" w:hint="eastAsia"/>
          <w:sz w:val="24"/>
        </w:rPr>
        <w:t>）</w:t>
      </w:r>
    </w:p>
    <w:p w14:paraId="4EDCCA2E" w14:textId="77777777" w:rsidR="00E17FEC" w:rsidRDefault="00995857">
      <w:pPr>
        <w:spacing w:line="360" w:lineRule="auto"/>
        <w:rPr>
          <w:rFonts w:ascii="宋体" w:hAnsi="宋体"/>
          <w:sz w:val="24"/>
        </w:rPr>
      </w:pPr>
      <w:r>
        <w:rPr>
          <w:rFonts w:ascii="宋体" w:hAnsi="宋体"/>
          <w:sz w:val="24"/>
        </w:rPr>
        <w:fldChar w:fldCharType="end"/>
      </w:r>
    </w:p>
    <w:p w14:paraId="0745152A" w14:textId="77777777" w:rsidR="00E17FEC" w:rsidRDefault="00995857">
      <w:pPr>
        <w:spacing w:line="360" w:lineRule="auto"/>
        <w:ind w:firstLineChars="200" w:firstLine="420"/>
        <w:contextualSpacing/>
        <w:rPr>
          <w:rFonts w:ascii="宋体" w:hAnsi="宋体"/>
          <w:kern w:val="0"/>
          <w:sz w:val="24"/>
        </w:rPr>
      </w:pPr>
      <w:r>
        <w:rPr>
          <w:rFonts w:ascii="宋体" w:hAnsi="宋体"/>
        </w:rPr>
        <w:br w:type="page"/>
      </w:r>
      <w:r>
        <w:rPr>
          <w:rFonts w:ascii="宋体" w:hAnsi="宋体" w:hint="eastAsia"/>
          <w:kern w:val="0"/>
          <w:sz w:val="24"/>
        </w:rPr>
        <w:lastRenderedPageBreak/>
        <w:t>鉴于</w:t>
      </w:r>
      <w:r>
        <w:rPr>
          <w:rFonts w:ascii="宋体" w:hAnsi="宋体" w:cs="Arial" w:hint="eastAsia"/>
          <w:sz w:val="24"/>
        </w:rPr>
        <w:t>东方阿尔法基金</w:t>
      </w:r>
      <w:r>
        <w:rPr>
          <w:rFonts w:ascii="宋体" w:hAnsi="宋体" w:hint="eastAsia"/>
          <w:sz w:val="24"/>
        </w:rPr>
        <w:t>管理有限公司</w:t>
      </w:r>
      <w:r>
        <w:rPr>
          <w:rFonts w:ascii="宋体" w:hAnsi="宋体" w:hint="eastAsia"/>
          <w:kern w:val="0"/>
          <w:sz w:val="24"/>
        </w:rPr>
        <w:t>系一家依照中国法律合法成立并有效存续的有限责任公司，按照相关法律法规的规定具备担任基金管理人的资格和能力，拟募集发行</w:t>
      </w:r>
      <w:r>
        <w:rPr>
          <w:rFonts w:ascii="宋体" w:hAnsi="宋体" w:cs="宋体" w:hint="eastAsia"/>
          <w:sz w:val="24"/>
        </w:rPr>
        <w:t>东方阿尔法瑞丰混合型发起式证券投资基金</w:t>
      </w:r>
      <w:r>
        <w:rPr>
          <w:rFonts w:ascii="宋体" w:hAnsi="宋体" w:hint="eastAsia"/>
          <w:kern w:val="0"/>
          <w:sz w:val="24"/>
        </w:rPr>
        <w:t>；</w:t>
      </w:r>
    </w:p>
    <w:p w14:paraId="0049A68E" w14:textId="77777777" w:rsidR="00E17FEC" w:rsidRDefault="00995857">
      <w:pPr>
        <w:widowControl/>
        <w:spacing w:line="360" w:lineRule="auto"/>
        <w:ind w:firstLineChars="200" w:firstLine="480"/>
        <w:contextualSpacing/>
        <w:rPr>
          <w:rFonts w:ascii="宋体" w:hAnsi="宋体"/>
          <w:kern w:val="0"/>
          <w:sz w:val="24"/>
        </w:rPr>
      </w:pPr>
      <w:r>
        <w:rPr>
          <w:rFonts w:ascii="宋体" w:hAnsi="宋体" w:hint="eastAsia"/>
          <w:kern w:val="0"/>
          <w:sz w:val="24"/>
        </w:rPr>
        <w:t>鉴于中国农业银行股份有限公司系一家依照中国法律合法成立并有效存续的银行，按照相关法律法规的规定具备担任基金托管人的资格和能力；</w:t>
      </w:r>
    </w:p>
    <w:p w14:paraId="24875534" w14:textId="77777777" w:rsidR="00E17FEC" w:rsidRDefault="00995857">
      <w:pPr>
        <w:widowControl/>
        <w:spacing w:line="360" w:lineRule="auto"/>
        <w:ind w:firstLineChars="200" w:firstLine="480"/>
        <w:contextualSpacing/>
        <w:rPr>
          <w:rFonts w:ascii="宋体" w:hAnsi="宋体"/>
          <w:kern w:val="0"/>
          <w:sz w:val="24"/>
        </w:rPr>
      </w:pPr>
      <w:r>
        <w:rPr>
          <w:rFonts w:ascii="宋体" w:hAnsi="宋体" w:hint="eastAsia"/>
          <w:kern w:val="0"/>
          <w:sz w:val="24"/>
        </w:rPr>
        <w:t>鉴于</w:t>
      </w:r>
      <w:r>
        <w:rPr>
          <w:rFonts w:ascii="宋体" w:hAnsi="宋体" w:cs="Arial" w:hint="eastAsia"/>
          <w:sz w:val="24"/>
        </w:rPr>
        <w:t>东方阿尔法基金</w:t>
      </w:r>
      <w:r>
        <w:rPr>
          <w:rFonts w:ascii="宋体" w:hAnsi="宋体" w:hint="eastAsia"/>
          <w:sz w:val="24"/>
        </w:rPr>
        <w:t>管理有限公司</w:t>
      </w:r>
      <w:r>
        <w:rPr>
          <w:rFonts w:ascii="宋体" w:hAnsi="宋体" w:hint="eastAsia"/>
          <w:kern w:val="0"/>
          <w:sz w:val="24"/>
        </w:rPr>
        <w:t>拟担任</w:t>
      </w:r>
      <w:r>
        <w:rPr>
          <w:rFonts w:ascii="宋体" w:hAnsi="宋体" w:cs="宋体" w:hint="eastAsia"/>
          <w:sz w:val="24"/>
        </w:rPr>
        <w:t>东方阿尔法瑞丰混合型发起式证券投资基金</w:t>
      </w:r>
      <w:r>
        <w:rPr>
          <w:rFonts w:ascii="宋体" w:hAnsi="宋体" w:hint="eastAsia"/>
          <w:kern w:val="0"/>
          <w:sz w:val="24"/>
        </w:rPr>
        <w:t>的基金管理人，中国农业银行股份有限公司拟担任</w:t>
      </w:r>
      <w:r>
        <w:rPr>
          <w:rFonts w:ascii="宋体" w:hAnsi="宋体" w:cs="宋体" w:hint="eastAsia"/>
          <w:sz w:val="24"/>
        </w:rPr>
        <w:t>东方阿尔法瑞丰混合型发起式证券投资基金</w:t>
      </w:r>
      <w:r>
        <w:rPr>
          <w:rFonts w:ascii="宋体" w:hAnsi="宋体" w:hint="eastAsia"/>
          <w:kern w:val="0"/>
          <w:sz w:val="24"/>
        </w:rPr>
        <w:t>的基金托管人；</w:t>
      </w:r>
    </w:p>
    <w:p w14:paraId="76DC6788" w14:textId="77777777" w:rsidR="00E17FEC" w:rsidRDefault="00995857">
      <w:pPr>
        <w:widowControl/>
        <w:spacing w:line="360" w:lineRule="auto"/>
        <w:ind w:firstLineChars="200" w:firstLine="480"/>
        <w:contextualSpacing/>
        <w:rPr>
          <w:rFonts w:ascii="宋体" w:hAnsi="宋体"/>
          <w:kern w:val="0"/>
          <w:sz w:val="24"/>
        </w:rPr>
      </w:pPr>
      <w:r>
        <w:rPr>
          <w:rFonts w:ascii="宋体" w:hAnsi="宋体" w:hint="eastAsia"/>
          <w:kern w:val="0"/>
          <w:sz w:val="24"/>
        </w:rPr>
        <w:t>为明确</w:t>
      </w:r>
      <w:r>
        <w:rPr>
          <w:rFonts w:ascii="宋体" w:hAnsi="宋体" w:cs="宋体" w:hint="eastAsia"/>
          <w:sz w:val="24"/>
        </w:rPr>
        <w:t>东方阿尔法瑞丰混合型发起式证券投资基金</w:t>
      </w:r>
      <w:r>
        <w:rPr>
          <w:rFonts w:ascii="宋体" w:hAnsi="宋体" w:hint="eastAsia"/>
          <w:kern w:val="0"/>
          <w:sz w:val="24"/>
        </w:rPr>
        <w:t>的基金管理人和基金托管人之间的权利义务关系，特制订本托管协议；</w:t>
      </w:r>
    </w:p>
    <w:p w14:paraId="007CCB1D" w14:textId="77777777" w:rsidR="00E17FEC" w:rsidRDefault="00995857">
      <w:pPr>
        <w:widowControl/>
        <w:spacing w:line="360" w:lineRule="auto"/>
        <w:ind w:firstLineChars="200" w:firstLine="480"/>
        <w:contextualSpacing/>
        <w:rPr>
          <w:rFonts w:ascii="宋体" w:hAnsi="宋体"/>
          <w:kern w:val="0"/>
          <w:sz w:val="24"/>
          <w:lang w:val="en-GB"/>
        </w:rPr>
      </w:pPr>
      <w:r>
        <w:rPr>
          <w:rFonts w:ascii="宋体" w:hAnsi="宋体" w:hint="eastAsia"/>
          <w:kern w:val="0"/>
          <w:sz w:val="24"/>
          <w:lang w:val="en-GB"/>
        </w:rPr>
        <w:t>除非另有约定，《</w:t>
      </w:r>
      <w:r>
        <w:rPr>
          <w:rFonts w:ascii="宋体" w:hAnsi="宋体" w:cs="宋体" w:hint="eastAsia"/>
          <w:sz w:val="24"/>
        </w:rPr>
        <w:t>东方阿尔法瑞丰混合型发起式证券投资基金</w:t>
      </w:r>
      <w:r>
        <w:rPr>
          <w:rFonts w:ascii="宋体" w:hAnsi="宋体" w:cs="Arial" w:hint="eastAsia"/>
          <w:kern w:val="0"/>
          <w:sz w:val="24"/>
          <w:lang w:val="en-GB"/>
        </w:rPr>
        <w:t>基金合同》</w:t>
      </w:r>
      <w:r>
        <w:rPr>
          <w:rFonts w:ascii="宋体" w:hAnsi="宋体"/>
          <w:kern w:val="0"/>
          <w:sz w:val="24"/>
          <w:lang w:val="en-GB"/>
        </w:rPr>
        <w:t>(以下简称“基金合同”)中定义的术语在用于本托管协议时应具有相同的含义</w:t>
      </w:r>
      <w:r>
        <w:rPr>
          <w:rFonts w:ascii="宋体" w:hAnsi="宋体" w:hint="eastAsia"/>
          <w:kern w:val="0"/>
          <w:sz w:val="24"/>
          <w:lang w:val="en-GB"/>
        </w:rPr>
        <w:t>，若有抵触应以基金合同为准。</w:t>
      </w:r>
    </w:p>
    <w:p w14:paraId="4E88D101" w14:textId="77777777" w:rsidR="00E17FEC" w:rsidRDefault="00995857">
      <w:pPr>
        <w:widowControl/>
        <w:spacing w:line="360" w:lineRule="auto"/>
        <w:ind w:firstLineChars="200" w:firstLine="480"/>
        <w:contextualSpacing/>
        <w:rPr>
          <w:rFonts w:ascii="宋体" w:hAnsi="宋体"/>
          <w:kern w:val="0"/>
          <w:sz w:val="24"/>
          <w:lang w:val="en-GB"/>
        </w:rPr>
      </w:pPr>
      <w:r>
        <w:rPr>
          <w:rFonts w:ascii="宋体" w:hAnsi="宋体" w:hint="eastAsia"/>
          <w:kern w:val="0"/>
          <w:sz w:val="24"/>
          <w:lang w:val="en-GB"/>
        </w:rPr>
        <w:t>若本基金实施</w:t>
      </w:r>
      <w:proofErr w:type="gramStart"/>
      <w:r>
        <w:rPr>
          <w:rFonts w:ascii="宋体" w:hAnsi="宋体" w:hint="eastAsia"/>
          <w:kern w:val="0"/>
          <w:sz w:val="24"/>
          <w:lang w:val="en-GB"/>
        </w:rPr>
        <w:t>侧袋机制</w:t>
      </w:r>
      <w:proofErr w:type="gramEnd"/>
      <w:r>
        <w:rPr>
          <w:rFonts w:ascii="宋体" w:hAnsi="宋体" w:hint="eastAsia"/>
          <w:kern w:val="0"/>
          <w:sz w:val="24"/>
          <w:lang w:val="en-GB"/>
        </w:rPr>
        <w:t>的，</w:t>
      </w:r>
      <w:proofErr w:type="gramStart"/>
      <w:r>
        <w:rPr>
          <w:rFonts w:ascii="宋体" w:hAnsi="宋体" w:hint="eastAsia"/>
          <w:kern w:val="0"/>
          <w:sz w:val="24"/>
          <w:lang w:val="en-GB"/>
        </w:rPr>
        <w:t>侧袋机制</w:t>
      </w:r>
      <w:proofErr w:type="gramEnd"/>
      <w:r>
        <w:rPr>
          <w:rFonts w:ascii="宋体" w:hAnsi="宋体" w:hint="eastAsia"/>
          <w:kern w:val="0"/>
          <w:sz w:val="24"/>
          <w:lang w:val="en-GB"/>
        </w:rPr>
        <w:t>实施期间的相关安排按照基金合同的规定执行。</w:t>
      </w:r>
    </w:p>
    <w:p w14:paraId="71C6F96A" w14:textId="77777777" w:rsidR="00E17FEC" w:rsidRDefault="00E17FEC">
      <w:pPr>
        <w:widowControl/>
        <w:spacing w:line="360" w:lineRule="auto"/>
        <w:contextualSpacing/>
        <w:rPr>
          <w:rFonts w:ascii="宋体" w:hAnsi="宋体"/>
          <w:sz w:val="24"/>
          <w:lang w:val="en-GB"/>
        </w:rPr>
      </w:pPr>
    </w:p>
    <w:bookmarkEnd w:id="14"/>
    <w:p w14:paraId="795B4BF1" w14:textId="77777777" w:rsidR="00E17FEC" w:rsidRDefault="00E17FEC">
      <w:pPr>
        <w:widowControl/>
        <w:spacing w:line="360" w:lineRule="auto"/>
        <w:contextualSpacing/>
        <w:rPr>
          <w:rFonts w:ascii="宋体" w:hAnsi="宋体"/>
          <w:sz w:val="24"/>
          <w:lang w:val="en-GB"/>
        </w:rPr>
        <w:sectPr w:rsidR="00E17FEC">
          <w:headerReference w:type="default" r:id="rId52"/>
          <w:footerReference w:type="default" r:id="rId53"/>
          <w:pgSz w:w="11906" w:h="16838"/>
          <w:pgMar w:top="1418" w:right="1701" w:bottom="1418" w:left="1701" w:header="851" w:footer="992" w:gutter="0"/>
          <w:pgNumType w:fmt="upperRoman" w:start="1" w:chapStyle="1"/>
          <w:cols w:space="425"/>
          <w:docGrid w:type="lines" w:linePitch="312"/>
        </w:sectPr>
      </w:pPr>
    </w:p>
    <w:p w14:paraId="3E7D673E"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6" w:name="_Toc384992691"/>
      <w:bookmarkStart w:id="17" w:name="_Toc348082029"/>
      <w:bookmarkStart w:id="18" w:name="_Toc3276848"/>
      <w:bookmarkStart w:id="19" w:name="CLAUSE_1527db310d3c4e36ac5a0c8d6a0d9166"/>
      <w:bookmarkStart w:id="20" w:name="_Toc348082031"/>
      <w:r>
        <w:rPr>
          <w:rFonts w:ascii="宋体" w:eastAsia="宋体" w:hAnsi="宋体"/>
        </w:rPr>
        <w:lastRenderedPageBreak/>
        <w:t xml:space="preserve"> </w:t>
      </w:r>
      <w:bookmarkStart w:id="21" w:name="CTS_1527db310d3c4e36ac5a0c8d6a0d9166"/>
      <w:bookmarkEnd w:id="21"/>
      <w:r>
        <w:rPr>
          <w:rFonts w:ascii="宋体" w:eastAsia="宋体" w:hAnsi="宋体" w:hint="eastAsia"/>
        </w:rPr>
        <w:t>基金托管协议当事人</w:t>
      </w:r>
      <w:bookmarkEnd w:id="16"/>
      <w:bookmarkEnd w:id="17"/>
      <w:bookmarkEnd w:id="18"/>
    </w:p>
    <w:p w14:paraId="6BEE97C1" w14:textId="77777777" w:rsidR="00E17FEC" w:rsidRDefault="00995857">
      <w:pPr>
        <w:spacing w:line="360" w:lineRule="auto"/>
        <w:ind w:firstLineChars="200" w:firstLine="482"/>
        <w:contextualSpacing/>
        <w:rPr>
          <w:rFonts w:ascii="宋体" w:hAnsi="宋体"/>
          <w:b/>
          <w:sz w:val="24"/>
        </w:rPr>
      </w:pPr>
      <w:r>
        <w:rPr>
          <w:rFonts w:ascii="宋体" w:hAnsi="宋体" w:hint="eastAsia"/>
          <w:b/>
          <w:sz w:val="24"/>
        </w:rPr>
        <w:t>（一）基金管理人（也可称资产管理人）</w:t>
      </w:r>
    </w:p>
    <w:p w14:paraId="3B40A5F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名称：东方阿尔法基金管理有限公司</w:t>
      </w:r>
      <w:r>
        <w:rPr>
          <w:rFonts w:ascii="宋体" w:hAnsi="宋体"/>
          <w:sz w:val="24"/>
        </w:rPr>
        <w:t>(简称：</w:t>
      </w:r>
      <w:r>
        <w:rPr>
          <w:rFonts w:ascii="宋体" w:hAnsi="宋体" w:hint="eastAsia"/>
          <w:sz w:val="24"/>
        </w:rPr>
        <w:t>东方阿尔法基金</w:t>
      </w:r>
      <w:r>
        <w:rPr>
          <w:rFonts w:ascii="宋体" w:hAnsi="宋体"/>
          <w:sz w:val="24"/>
        </w:rPr>
        <w:t>)</w:t>
      </w:r>
    </w:p>
    <w:p w14:paraId="3A2C19C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住所：</w:t>
      </w:r>
      <w:r>
        <w:rPr>
          <w:rFonts w:ascii="宋体" w:hAnsi="宋体" w:cs="宋体" w:hint="eastAsia"/>
          <w:sz w:val="24"/>
        </w:rPr>
        <w:t>深圳市福田区莲花街道紫荆社区深南大道</w:t>
      </w:r>
      <w:r>
        <w:rPr>
          <w:rFonts w:ascii="宋体" w:hAnsi="宋体" w:cs="宋体"/>
          <w:sz w:val="24"/>
        </w:rPr>
        <w:t>6008号深圳特区报业大厦23楼BC</w:t>
      </w:r>
    </w:p>
    <w:p w14:paraId="48E686D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办公地址：</w:t>
      </w:r>
      <w:r>
        <w:rPr>
          <w:rFonts w:ascii="宋体" w:hAnsi="宋体" w:hint="eastAsia"/>
          <w:bCs/>
          <w:color w:val="000000"/>
          <w:sz w:val="24"/>
        </w:rPr>
        <w:t>深圳市福田区莲花街道紫荆社区深南大道</w:t>
      </w:r>
      <w:r>
        <w:rPr>
          <w:rFonts w:ascii="宋体" w:hAnsi="宋体"/>
          <w:bCs/>
          <w:color w:val="000000"/>
          <w:sz w:val="24"/>
        </w:rPr>
        <w:t>6008号深圳特区报业大厦23楼BC</w:t>
      </w:r>
    </w:p>
    <w:p w14:paraId="4ED0D1B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邮政编码：</w:t>
      </w:r>
      <w:r>
        <w:rPr>
          <w:rFonts w:ascii="宋体" w:hAnsi="宋体"/>
          <w:sz w:val="24"/>
        </w:rPr>
        <w:t>518034</w:t>
      </w:r>
    </w:p>
    <w:p w14:paraId="3C0AE00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法定代表人：</w:t>
      </w:r>
      <w:r>
        <w:rPr>
          <w:rFonts w:ascii="宋体" w:hAnsi="宋体"/>
          <w:sz w:val="24"/>
        </w:rPr>
        <w:t xml:space="preserve"> </w:t>
      </w:r>
      <w:r>
        <w:rPr>
          <w:rFonts w:ascii="宋体" w:hAnsi="宋体" w:hint="eastAsia"/>
          <w:sz w:val="24"/>
        </w:rPr>
        <w:t>刘明</w:t>
      </w:r>
    </w:p>
    <w:p w14:paraId="0841585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成立时间：</w:t>
      </w:r>
      <w:r>
        <w:rPr>
          <w:rFonts w:ascii="宋体" w:hAnsi="宋体"/>
          <w:sz w:val="24"/>
        </w:rPr>
        <w:t xml:space="preserve"> </w:t>
      </w:r>
      <w:r>
        <w:rPr>
          <w:rFonts w:ascii="宋体" w:hAnsi="宋体"/>
          <w:color w:val="000000"/>
          <w:sz w:val="24"/>
        </w:rPr>
        <w:t>2017年7月4日</w:t>
      </w:r>
    </w:p>
    <w:p w14:paraId="4DE7D03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批准设立机关：中国证券监督管理委员会</w:t>
      </w:r>
    </w:p>
    <w:p w14:paraId="512C6F9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批准设立文号：</w:t>
      </w:r>
      <w:r>
        <w:rPr>
          <w:rFonts w:ascii="宋体" w:hAnsi="宋体"/>
          <w:sz w:val="24"/>
        </w:rPr>
        <w:t xml:space="preserve"> </w:t>
      </w:r>
      <w:r>
        <w:rPr>
          <w:rFonts w:ascii="宋体" w:hAnsi="宋体" w:hint="eastAsia"/>
          <w:bCs/>
          <w:sz w:val="24"/>
        </w:rPr>
        <w:t>证监许可〔</w:t>
      </w:r>
      <w:r>
        <w:rPr>
          <w:rFonts w:ascii="宋体" w:hAnsi="宋体"/>
          <w:bCs/>
          <w:sz w:val="24"/>
        </w:rPr>
        <w:t>2017</w:t>
      </w:r>
      <w:r>
        <w:rPr>
          <w:rFonts w:ascii="宋体" w:hAnsi="宋体" w:hint="eastAsia"/>
          <w:bCs/>
          <w:sz w:val="24"/>
        </w:rPr>
        <w:t>〕</w:t>
      </w:r>
      <w:r>
        <w:rPr>
          <w:rFonts w:ascii="宋体" w:hAnsi="宋体"/>
          <w:bCs/>
          <w:sz w:val="24"/>
        </w:rPr>
        <w:t>1031</w:t>
      </w:r>
      <w:r>
        <w:rPr>
          <w:rFonts w:ascii="宋体" w:hAnsi="宋体" w:hint="eastAsia"/>
          <w:bCs/>
          <w:sz w:val="24"/>
        </w:rPr>
        <w:t>号</w:t>
      </w:r>
    </w:p>
    <w:p w14:paraId="30C15C2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组织形式：</w:t>
      </w:r>
      <w:r>
        <w:rPr>
          <w:rFonts w:ascii="宋体" w:hAnsi="宋体"/>
          <w:sz w:val="24"/>
        </w:rPr>
        <w:t xml:space="preserve"> </w:t>
      </w:r>
      <w:r>
        <w:rPr>
          <w:rFonts w:ascii="宋体" w:hAnsi="宋体" w:hint="eastAsia"/>
          <w:sz w:val="24"/>
        </w:rPr>
        <w:t>有限责任公司</w:t>
      </w:r>
    </w:p>
    <w:p w14:paraId="04FA1B4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注册资本：</w:t>
      </w:r>
      <w:r>
        <w:rPr>
          <w:rFonts w:ascii="宋体" w:hAnsi="宋体"/>
          <w:sz w:val="24"/>
        </w:rPr>
        <w:t xml:space="preserve"> </w:t>
      </w:r>
      <w:r>
        <w:rPr>
          <w:rFonts w:ascii="宋体" w:hAnsi="宋体"/>
          <w:color w:val="000000"/>
          <w:sz w:val="24"/>
        </w:rPr>
        <w:t>1亿元人民币</w:t>
      </w:r>
    </w:p>
    <w:p w14:paraId="09F4CF4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存续期间：持续经营</w:t>
      </w:r>
    </w:p>
    <w:p w14:paraId="0FC0ACE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经营范围：公开募集证券投资基金管理；基金销售；特定客户资产管理。</w:t>
      </w:r>
    </w:p>
    <w:p w14:paraId="6DB54EFD" w14:textId="77777777" w:rsidR="00E17FEC" w:rsidRDefault="00E17FEC">
      <w:pPr>
        <w:spacing w:line="360" w:lineRule="auto"/>
        <w:ind w:firstLineChars="200" w:firstLine="480"/>
        <w:contextualSpacing/>
        <w:rPr>
          <w:rFonts w:ascii="宋体" w:hAnsi="宋体"/>
          <w:sz w:val="24"/>
        </w:rPr>
      </w:pPr>
    </w:p>
    <w:p w14:paraId="5FA42789" w14:textId="77777777" w:rsidR="00E17FEC" w:rsidRDefault="00995857">
      <w:pPr>
        <w:spacing w:line="360" w:lineRule="auto"/>
        <w:ind w:firstLineChars="200" w:firstLine="482"/>
        <w:contextualSpacing/>
        <w:rPr>
          <w:rFonts w:ascii="宋体" w:hAnsi="宋体"/>
          <w:b/>
          <w:sz w:val="24"/>
        </w:rPr>
      </w:pPr>
      <w:r>
        <w:rPr>
          <w:rFonts w:ascii="宋体" w:hAnsi="宋体" w:hint="eastAsia"/>
          <w:b/>
          <w:sz w:val="24"/>
        </w:rPr>
        <w:t>（二）基金托管人（也可称资产托管人）</w:t>
      </w:r>
    </w:p>
    <w:p w14:paraId="378D94B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名称：中国农业银行股份有限公司</w:t>
      </w:r>
    </w:p>
    <w:p w14:paraId="4D8E8060"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住所：北京市东城区建国门内大街69号</w:t>
      </w:r>
    </w:p>
    <w:p w14:paraId="6EDFCB8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办公地址：北京市西城区复兴门内大街28号</w:t>
      </w:r>
      <w:proofErr w:type="gramStart"/>
      <w:r>
        <w:rPr>
          <w:rFonts w:ascii="宋体" w:hAnsi="宋体" w:hint="eastAsia"/>
          <w:sz w:val="24"/>
        </w:rPr>
        <w:t>凯</w:t>
      </w:r>
      <w:proofErr w:type="gramEnd"/>
      <w:r>
        <w:rPr>
          <w:rFonts w:ascii="宋体" w:hAnsi="宋体" w:hint="eastAsia"/>
          <w:sz w:val="24"/>
        </w:rPr>
        <w:t>晨世贸中心东座</w:t>
      </w:r>
    </w:p>
    <w:p w14:paraId="1A90B08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邮政编码：100031</w:t>
      </w:r>
    </w:p>
    <w:p w14:paraId="3BD1B9E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法定代表人：谷澍</w:t>
      </w:r>
    </w:p>
    <w:p w14:paraId="77D5EB5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成立时间：2009年1月15日</w:t>
      </w:r>
    </w:p>
    <w:p w14:paraId="64B1942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基金托管资格批文及文号：中国证监会证监基字[1998]23号</w:t>
      </w:r>
    </w:p>
    <w:p w14:paraId="0B8DCDF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组织形式：股份有限公司</w:t>
      </w:r>
    </w:p>
    <w:p w14:paraId="5A23A49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注册资本：34,998,303.4万元人民币</w:t>
      </w:r>
    </w:p>
    <w:p w14:paraId="246D4A1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存续期间：持续经营</w:t>
      </w:r>
      <w:r>
        <w:rPr>
          <w:rFonts w:ascii="宋体" w:hAnsi="宋体" w:cs="Arial"/>
          <w:sz w:val="24"/>
        </w:rPr>
        <w:tab/>
      </w:r>
    </w:p>
    <w:bookmarkEnd w:id="19"/>
    <w:p w14:paraId="0FBFE7B1" w14:textId="77777777" w:rsidR="00E17FEC" w:rsidRDefault="00E17FEC">
      <w:pPr>
        <w:rPr>
          <w:rFonts w:ascii="宋体" w:hAnsi="宋体" w:cs="Arial"/>
          <w:sz w:val="24"/>
        </w:rPr>
        <w:sectPr w:rsidR="00E17FEC">
          <w:footerReference w:type="default" r:id="rId54"/>
          <w:pgSz w:w="11906" w:h="16838"/>
          <w:pgMar w:top="1418" w:right="1701" w:bottom="1418" w:left="1701" w:header="851" w:footer="992" w:gutter="0"/>
          <w:pgNumType w:start="1" w:chapStyle="1"/>
          <w:cols w:space="425"/>
          <w:docGrid w:type="lines" w:linePitch="312"/>
        </w:sectPr>
      </w:pPr>
    </w:p>
    <w:p w14:paraId="50281F88"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22" w:name="_Toc348082030"/>
      <w:bookmarkStart w:id="23" w:name="_Toc3276849"/>
      <w:bookmarkStart w:id="24" w:name="_Toc384992692"/>
      <w:bookmarkStart w:id="25" w:name="CLAUSE_c01a710d4d75417eb23976271466949d"/>
      <w:r>
        <w:rPr>
          <w:rFonts w:ascii="宋体" w:eastAsia="宋体" w:hAnsi="宋体"/>
        </w:rPr>
        <w:lastRenderedPageBreak/>
        <w:t xml:space="preserve"> </w:t>
      </w:r>
      <w:bookmarkStart w:id="26" w:name="CTS_c01a710d4d75417eb23976271466949d"/>
      <w:bookmarkEnd w:id="26"/>
      <w:r>
        <w:rPr>
          <w:rFonts w:ascii="宋体" w:eastAsia="宋体" w:hAnsi="宋体" w:hint="eastAsia"/>
        </w:rPr>
        <w:t>基金托管协议的依据、目的和原则</w:t>
      </w:r>
      <w:bookmarkEnd w:id="22"/>
      <w:bookmarkEnd w:id="23"/>
      <w:bookmarkEnd w:id="24"/>
    </w:p>
    <w:p w14:paraId="2E4E810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（一）订立托管协议的依据</w:t>
      </w:r>
    </w:p>
    <w:p w14:paraId="14B863C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本协议依据《中华人民共和国证券投资基金法》</w:t>
      </w:r>
      <w:r>
        <w:rPr>
          <w:rFonts w:ascii="宋体" w:hAnsi="宋体"/>
          <w:sz w:val="24"/>
        </w:rPr>
        <w:t>(以下简称“《基金法》”)、《公开募集证券投资基金运作管理办法》（以下简称“《运作办法》</w:t>
      </w:r>
      <w:r>
        <w:rPr>
          <w:rFonts w:ascii="宋体" w:hAnsi="宋体" w:hint="eastAsia"/>
          <w:sz w:val="24"/>
        </w:rPr>
        <w:t>”）、《公开募集开放式证券投资基金流动性风险管理规定》、《公开募集证券投资基金信息披露管理办法》（以下简称“《信息披露办法》”）等有关法律法规、基金合同及其他有关规定制订。</w:t>
      </w:r>
    </w:p>
    <w:p w14:paraId="00D87D4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（二）订立托管协议的目的</w:t>
      </w:r>
    </w:p>
    <w:p w14:paraId="0C4B825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7D3D9C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（三）订立托管协议的原则</w:t>
      </w:r>
    </w:p>
    <w:p w14:paraId="2556D05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基金管理人和基金托管人本着平等自愿、诚实信用、充分保护基金份额持有人合法权益的原则，经协商一致，签订本协议。</w:t>
      </w:r>
    </w:p>
    <w:p w14:paraId="0E848E4D" w14:textId="77777777" w:rsidR="00E17FEC" w:rsidRDefault="00E17FEC">
      <w:pPr>
        <w:spacing w:line="360" w:lineRule="auto"/>
        <w:ind w:firstLineChars="200" w:firstLine="480"/>
        <w:contextualSpacing/>
        <w:rPr>
          <w:rFonts w:ascii="宋体" w:hAnsi="宋体" w:cs="Arial"/>
          <w:sz w:val="24"/>
        </w:rPr>
      </w:pPr>
    </w:p>
    <w:p w14:paraId="0E53E5E2" w14:textId="77777777" w:rsidR="00E17FEC" w:rsidRDefault="00E17FEC">
      <w:pPr>
        <w:spacing w:line="360" w:lineRule="auto"/>
        <w:ind w:firstLineChars="200" w:firstLine="480"/>
        <w:contextualSpacing/>
        <w:rPr>
          <w:rFonts w:ascii="宋体" w:hAnsi="宋体" w:cs="Arial"/>
          <w:sz w:val="24"/>
        </w:rPr>
      </w:pPr>
    </w:p>
    <w:p w14:paraId="43A6D4A3" w14:textId="77777777" w:rsidR="00E17FEC" w:rsidRDefault="00E17FEC">
      <w:pPr>
        <w:spacing w:line="360" w:lineRule="auto"/>
        <w:ind w:firstLineChars="200" w:firstLine="480"/>
        <w:contextualSpacing/>
        <w:rPr>
          <w:rFonts w:ascii="宋体" w:hAnsi="宋体" w:cs="Arial"/>
          <w:sz w:val="24"/>
        </w:rPr>
      </w:pPr>
    </w:p>
    <w:p w14:paraId="72383A44" w14:textId="77777777" w:rsidR="00E17FEC" w:rsidRDefault="00E17FEC">
      <w:pPr>
        <w:spacing w:line="360" w:lineRule="auto"/>
        <w:ind w:firstLineChars="200" w:firstLine="480"/>
        <w:contextualSpacing/>
        <w:rPr>
          <w:rFonts w:ascii="宋体" w:hAnsi="宋体" w:cs="Arial"/>
          <w:sz w:val="24"/>
        </w:rPr>
      </w:pPr>
    </w:p>
    <w:p w14:paraId="722046B9" w14:textId="77777777" w:rsidR="00E17FEC" w:rsidRDefault="00E17FEC">
      <w:pPr>
        <w:spacing w:line="360" w:lineRule="auto"/>
        <w:ind w:firstLineChars="200" w:firstLine="480"/>
        <w:contextualSpacing/>
        <w:rPr>
          <w:rFonts w:ascii="宋体" w:hAnsi="宋体" w:cs="Arial"/>
          <w:sz w:val="24"/>
        </w:rPr>
      </w:pPr>
    </w:p>
    <w:p w14:paraId="5B462982" w14:textId="77777777" w:rsidR="00E17FEC" w:rsidRDefault="00E17FEC">
      <w:pPr>
        <w:spacing w:line="360" w:lineRule="auto"/>
        <w:ind w:firstLineChars="200" w:firstLine="480"/>
        <w:contextualSpacing/>
        <w:rPr>
          <w:rFonts w:ascii="宋体" w:hAnsi="宋体" w:cs="Arial"/>
          <w:sz w:val="24"/>
        </w:rPr>
      </w:pPr>
    </w:p>
    <w:p w14:paraId="2DB33546" w14:textId="77777777" w:rsidR="00E17FEC" w:rsidRDefault="00E17FEC">
      <w:pPr>
        <w:spacing w:line="360" w:lineRule="auto"/>
        <w:ind w:firstLineChars="200" w:firstLine="480"/>
        <w:contextualSpacing/>
        <w:rPr>
          <w:rFonts w:ascii="宋体" w:hAnsi="宋体" w:cs="Arial"/>
          <w:sz w:val="24"/>
        </w:rPr>
      </w:pPr>
    </w:p>
    <w:p w14:paraId="4F0F7820" w14:textId="77777777" w:rsidR="00E17FEC" w:rsidRDefault="00E17FEC">
      <w:pPr>
        <w:spacing w:line="360" w:lineRule="auto"/>
        <w:ind w:firstLineChars="200" w:firstLine="480"/>
        <w:contextualSpacing/>
        <w:rPr>
          <w:rFonts w:ascii="宋体" w:hAnsi="宋体" w:cs="Arial"/>
          <w:sz w:val="24"/>
        </w:rPr>
      </w:pPr>
    </w:p>
    <w:p w14:paraId="1F803839" w14:textId="77777777" w:rsidR="00E17FEC" w:rsidRDefault="00E17FEC">
      <w:pPr>
        <w:spacing w:line="360" w:lineRule="auto"/>
        <w:ind w:firstLineChars="200" w:firstLine="480"/>
        <w:contextualSpacing/>
        <w:rPr>
          <w:rFonts w:ascii="宋体" w:hAnsi="宋体" w:cs="Arial"/>
          <w:sz w:val="24"/>
        </w:rPr>
      </w:pPr>
    </w:p>
    <w:p w14:paraId="14F998F5" w14:textId="77777777" w:rsidR="00E17FEC" w:rsidRDefault="00E17FEC">
      <w:pPr>
        <w:spacing w:line="360" w:lineRule="auto"/>
        <w:ind w:firstLineChars="200" w:firstLine="480"/>
        <w:contextualSpacing/>
        <w:rPr>
          <w:rFonts w:ascii="宋体" w:hAnsi="宋体" w:cs="Arial"/>
          <w:sz w:val="24"/>
        </w:rPr>
      </w:pPr>
    </w:p>
    <w:bookmarkEnd w:id="25"/>
    <w:p w14:paraId="466DB5F6" w14:textId="77777777" w:rsidR="00E17FEC" w:rsidRDefault="00E17FEC">
      <w:pPr>
        <w:spacing w:line="360" w:lineRule="auto"/>
        <w:ind w:firstLineChars="200" w:firstLine="480"/>
        <w:contextualSpacing/>
        <w:rPr>
          <w:rFonts w:ascii="宋体" w:hAnsi="宋体" w:cs="Arial"/>
          <w:sz w:val="24"/>
        </w:rPr>
        <w:sectPr w:rsidR="00E17FEC">
          <w:footerReference w:type="default" r:id="rId55"/>
          <w:pgSz w:w="11906" w:h="16838"/>
          <w:pgMar w:top="1418" w:right="1701" w:bottom="1418" w:left="1701" w:header="851" w:footer="992" w:gutter="0"/>
          <w:pgNumType w:start="1" w:chapStyle="1"/>
          <w:cols w:space="425"/>
          <w:docGrid w:type="lines" w:linePitch="312"/>
        </w:sectPr>
      </w:pPr>
    </w:p>
    <w:p w14:paraId="79EA78BA"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27" w:name="_Toc3276850"/>
      <w:bookmarkStart w:id="28" w:name="_Toc384992693"/>
      <w:bookmarkStart w:id="29" w:name="CLAUSE_f8008f4d8f2d49cd863c646d6a8cc7c2"/>
      <w:r>
        <w:rPr>
          <w:rFonts w:ascii="宋体" w:eastAsia="宋体" w:hAnsi="宋体"/>
        </w:rPr>
        <w:lastRenderedPageBreak/>
        <w:t xml:space="preserve"> </w:t>
      </w:r>
      <w:bookmarkStart w:id="30" w:name="CTS_f8008f4d8f2d49cd863c646d6a8cc7c2"/>
      <w:bookmarkEnd w:id="30"/>
      <w:r>
        <w:rPr>
          <w:rFonts w:ascii="宋体" w:eastAsia="宋体" w:hAnsi="宋体" w:hint="eastAsia"/>
        </w:rPr>
        <w:t>基金托管人对基金管理人的业务监督和核查</w:t>
      </w:r>
      <w:bookmarkEnd w:id="20"/>
      <w:bookmarkEnd w:id="27"/>
      <w:bookmarkEnd w:id="28"/>
    </w:p>
    <w:p w14:paraId="33267A0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（一）基金托管人根据有关法律法规的规定以及《基金合同》的约定，对基金投资范围、投资比例、投资限制、关联方交易等进行监督。</w:t>
      </w:r>
    </w:p>
    <w:p w14:paraId="6623F4CB" w14:textId="77777777" w:rsidR="00E17FEC" w:rsidRDefault="00995857">
      <w:pPr>
        <w:spacing w:line="360" w:lineRule="auto"/>
        <w:ind w:firstLineChars="200" w:firstLine="480"/>
        <w:contextualSpacing/>
        <w:rPr>
          <w:rFonts w:ascii="宋体" w:hAnsi="宋体" w:cs="Arial"/>
          <w:sz w:val="24"/>
        </w:rPr>
      </w:pPr>
      <w:r>
        <w:rPr>
          <w:rFonts w:ascii="宋体" w:hAnsi="宋体"/>
          <w:sz w:val="24"/>
        </w:rPr>
        <w:t>1.</w:t>
      </w:r>
      <w:r>
        <w:rPr>
          <w:rFonts w:ascii="宋体" w:hAnsi="宋体" w:hint="eastAsia"/>
          <w:sz w:val="24"/>
        </w:rPr>
        <w:t>本基金的投资范围为：</w:t>
      </w:r>
      <w:r>
        <w:rPr>
          <w:rFonts w:ascii="宋体" w:hAnsi="宋体" w:cs="Arial" w:hint="eastAsia"/>
          <w:sz w:val="24"/>
        </w:rPr>
        <w:t>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公开发行的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14:paraId="0C730DEE" w14:textId="77777777" w:rsidR="00E17FEC" w:rsidRDefault="00995857">
      <w:pPr>
        <w:spacing w:line="360" w:lineRule="auto"/>
        <w:ind w:firstLineChars="200" w:firstLine="480"/>
        <w:contextualSpacing/>
        <w:rPr>
          <w:rFonts w:ascii="宋体" w:hAnsi="宋体" w:cs="Arial"/>
          <w:sz w:val="24"/>
        </w:rPr>
      </w:pPr>
      <w:r>
        <w:rPr>
          <w:rFonts w:ascii="宋体" w:hAnsi="宋体" w:cs="Arial" w:hint="eastAsia"/>
          <w:sz w:val="24"/>
        </w:rPr>
        <w:t>如法律法规或监管机构以后允许基金投资其他品种，基金管理人在履行适当程序后，可以将其纳入投资范围。</w:t>
      </w:r>
    </w:p>
    <w:p w14:paraId="34EA1271" w14:textId="77777777" w:rsidR="00E17FEC" w:rsidRDefault="00995857">
      <w:pPr>
        <w:spacing w:line="360" w:lineRule="auto"/>
        <w:ind w:firstLineChars="200" w:firstLine="480"/>
        <w:contextualSpacing/>
        <w:rPr>
          <w:rFonts w:ascii="宋体" w:hAnsi="宋体"/>
          <w:sz w:val="24"/>
        </w:rPr>
      </w:pPr>
      <w:r>
        <w:rPr>
          <w:rFonts w:ascii="宋体" w:hAnsi="宋体"/>
          <w:sz w:val="24"/>
        </w:rPr>
        <w:t>2.本基金各类品种的投资比例、投资限制为：</w:t>
      </w:r>
      <w:bookmarkStart w:id="31" w:name="_Hlk32665172"/>
    </w:p>
    <w:bookmarkEnd w:id="31"/>
    <w:p w14:paraId="12D24E9F"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（1）本基金投资组合中股票资产投资比例为基金资产的60%-95%，其中对港股通标的股票（包括沪港通股票及深港通股票）的投资比例不超过股票资产的50%；</w:t>
      </w:r>
    </w:p>
    <w:p w14:paraId="291EEDE0"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2）每个交易日日终在扣除股指期货、国债期货和股票期权合约需缴纳的交易保证金后，保持不低于基金资产净值5％的现金或者到期日在一年以内的政府债券，其中现金不包括结算备付金、存出保证金、应收申购款等；</w:t>
      </w:r>
    </w:p>
    <w:p w14:paraId="22986220"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（3）本基金持有一家公司发行的证券其市值（若同时持有一家公司发行的A股和H股，则为A股与H股合计市值）不超过基金资产净值的10％；</w:t>
      </w:r>
    </w:p>
    <w:p w14:paraId="4AF91E7F"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（4）本基金管理人管理的、且由本基金托管人托管的全部基金持有一家公司发行的证券（A股与H股合计），不超过该证券的10％；</w:t>
      </w:r>
    </w:p>
    <w:p w14:paraId="5213C2CE"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（5）本基金投资于同一原始权益人的各类资产支持证券的比例，不得超过基金资产净值的10％；</w:t>
      </w:r>
    </w:p>
    <w:p w14:paraId="5B253C6A"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（6）本基金持有的全部资产支持证券，其市值不得超过基金资产净值的20％；</w:t>
      </w:r>
    </w:p>
    <w:p w14:paraId="3E8B97B5"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lastRenderedPageBreak/>
        <w:t>（7）本基金持有的同一(指同一信用级别)资产支持证券的比例，不得超过该资产支持证券规模的10％；</w:t>
      </w:r>
    </w:p>
    <w:p w14:paraId="0C47D57F"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（8）本基金管理人管理的、且由本基金托管人托管的全部基金投资于同一原始权益人的各类资产支持证券，不得超过其各类资产支持证券合计规模的10％；</w:t>
      </w:r>
    </w:p>
    <w:p w14:paraId="3AD61B57"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（9）本基金应投资于信用级别评级为BBB以上(含BBB)的资产支持证券。基金持有资产支持证券期间，如果其信用等级下降、不再符合投资标准，应在评级报告发布之日起3个月内予以全部卖出；</w:t>
      </w:r>
    </w:p>
    <w:p w14:paraId="42E3A6E8"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（10）基金财产参与股票发行申购，本基金所申报的金额不超过本基金的总资产，本基金所申报的股票数量不超过拟发行股票公司本次发行股票的总量；</w:t>
      </w:r>
    </w:p>
    <w:p w14:paraId="3286E501"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（11）本基金进入全国银行间同业市场进行债券回购的资金余额不得超过基金资产净值的40%，进入全国银行间同业市场进行债券回购的最长期限为1年，债券回购到期后不得展期；</w:t>
      </w:r>
    </w:p>
    <w:p w14:paraId="7C0C1F37"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12）本基金管理人管理的、且由本基金托管人托管的全部开放式基金(包括开放式基金以及处于开放期的定期开放基金)持有一家上市公司发行的可流通股票（A股与H股合并计算），不得超过该上市公司可流通股票的15%；本基金管理人管理的、且由本基金托管人托管的全部投资组合持有一家上市公司发行的可流通股票（A股与H股合并计算），不得超过该上市公司可流通股票的30%；</w:t>
      </w:r>
    </w:p>
    <w:p w14:paraId="78168899"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13）本基金主动投资于流动性受限资产的市值（A股与H股合并计算）合计不得超过该基金资产净值的15%；因证券市场波动、上市公司股票停牌、基金规模变动等基金管理人之外的因素致使基金不符合该比例限制的，基金管理人不得主动新增流动性受限资产的投资；</w:t>
      </w:r>
    </w:p>
    <w:p w14:paraId="13834D18"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（14）本基金与私募类证券资管产品及中国证监会认定的其他主体为交易对手开展逆回购交易的，可接受质押品的资质要求应当与基金合同约定的投资范围保持一致；</w:t>
      </w:r>
    </w:p>
    <w:p w14:paraId="2F3160C5"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（15）本基金资产总值不超过基金资产净值的140%；</w:t>
      </w:r>
    </w:p>
    <w:p w14:paraId="145A313F"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（16）本基金参与股指期货、国债期货交易，需遵守下列规定：</w:t>
      </w:r>
    </w:p>
    <w:p w14:paraId="632002E5"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1)本基金在任何交易日日终，持有的买入股指期货合约价值，不得超过基金资产净值的10%；</w:t>
      </w:r>
    </w:p>
    <w:p w14:paraId="5E1BF031"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2)本基金在任何交易日日终，持有的买入国债期货合约价值，不得超过基金资产净值的15%；</w:t>
      </w:r>
    </w:p>
    <w:p w14:paraId="70DA824E"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lastRenderedPageBreak/>
        <w:t>3)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09C5E9DE"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4)本基金在任何交易日日终，持有的卖出股指期货合约价值不得超过基金持有的股票总市值的20%；</w:t>
      </w:r>
    </w:p>
    <w:p w14:paraId="08A9A31F"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5)本基金在任何交易日日终，持有的卖出国债期货合约价值不得超过基金持有的债券总市值的30%；</w:t>
      </w:r>
    </w:p>
    <w:p w14:paraId="6EE39BF3"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6)本基金在任何交易日内交易（不包括平仓）的股指期货合约的成交金额不得超过上一交易日基金资产净值的20%；</w:t>
      </w:r>
    </w:p>
    <w:p w14:paraId="2CE2A241"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7)本基金在任何交易日内交易（不包括平仓）的国债期货合约的成交金额不得超过上一交易日基金资产净值的30%；</w:t>
      </w:r>
    </w:p>
    <w:p w14:paraId="0D775D86"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8)本基金所持有的股票市值和买入、卖出股指期货合约价值，合计（轧差计算）应当符合基金合同关于股票投资比例的有关规定；</w:t>
      </w:r>
    </w:p>
    <w:p w14:paraId="374BA337"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9)基金所持有的债券（不含到期日在一年以内的政府债券）市值和买入、卖出国债期货合约价值，合计（轧差计算）应当符合基金合同关于债券投资比例的有关约定；</w:t>
      </w:r>
    </w:p>
    <w:p w14:paraId="6BC13E09"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（17）本基金参与股票期权交易的，需遵守下列投资比例限制：</w:t>
      </w:r>
    </w:p>
    <w:p w14:paraId="6F75BCED"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1)本基金因未平仓的股票期权合约支付和收取的权利金总额不得超过基金资产净值的 10%；</w:t>
      </w:r>
    </w:p>
    <w:p w14:paraId="12DDD267"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2)本基金开仓卖出认购股票期权的，应持有足额标的证券；开仓卖出认沽股票期权的，应持有合约行权所需的全额现金或交易所规则认可的可冲抵股票期权保证金的现金等价物；</w:t>
      </w:r>
    </w:p>
    <w:p w14:paraId="62DD6819"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3)本基金未平仓的股票期权合约面值不得超过基金资产净值的 20%。其中，合约面值按照行权价乘以合约乘数计算；</w:t>
      </w:r>
    </w:p>
    <w:p w14:paraId="62EF6723"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（18）本基金参与融资的，每个交易日日终，本基金持有的融资买入股票与其他有价证券市值之和，不得超过基金资产净值的 95%；</w:t>
      </w:r>
    </w:p>
    <w:p w14:paraId="1554A4AD"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（19）本基金投资存托凭证的比例限制依照境内上市交易的股票执行，与境内上市交易的股票合并计算；</w:t>
      </w:r>
    </w:p>
    <w:p w14:paraId="6B3E3718"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（20）法律法规及中国证监会规定的和《基金合同》约定的其他投资限制。</w:t>
      </w:r>
    </w:p>
    <w:p w14:paraId="4CD4810A"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lastRenderedPageBreak/>
        <w:t>除上述（2）、（9）、（13）、（14）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0F673713" w14:textId="77777777" w:rsidR="00E17FEC" w:rsidRDefault="00995857">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本基金财产不得用于以下投资或者活动：</w:t>
      </w:r>
    </w:p>
    <w:p w14:paraId="05B8909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1）承销证券；</w:t>
      </w:r>
    </w:p>
    <w:p w14:paraId="148FF60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2）违反规定向他人贷款或者提供担保；</w:t>
      </w:r>
    </w:p>
    <w:p w14:paraId="71DD559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3）从事承担无限责任的投资；</w:t>
      </w:r>
    </w:p>
    <w:p w14:paraId="5329316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4）买卖其他基金份额，但是</w:t>
      </w:r>
      <w:r>
        <w:rPr>
          <w:rFonts w:ascii="宋体" w:hAnsi="宋体" w:hint="eastAsia"/>
          <w:sz w:val="24"/>
        </w:rPr>
        <w:t>中国证监会另有规定的除外；</w:t>
      </w:r>
    </w:p>
    <w:p w14:paraId="6E5A565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5）向</w:t>
      </w:r>
      <w:r>
        <w:rPr>
          <w:rFonts w:ascii="宋体" w:hAnsi="宋体" w:hint="eastAsia"/>
          <w:sz w:val="24"/>
        </w:rPr>
        <w:t>其</w:t>
      </w:r>
      <w:r>
        <w:rPr>
          <w:rFonts w:ascii="宋体" w:hAnsi="宋体"/>
          <w:sz w:val="24"/>
        </w:rPr>
        <w:t>基金管理人、基金托管人出资；</w:t>
      </w:r>
    </w:p>
    <w:p w14:paraId="1AAF8B2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6）从事内幕交易、操纵证券交易价格及其他不正当的证券交易活动；</w:t>
      </w:r>
    </w:p>
    <w:p w14:paraId="5B7ACDC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7）法律、行政法规或者</w:t>
      </w:r>
      <w:r>
        <w:rPr>
          <w:rFonts w:ascii="宋体" w:hAnsi="宋体" w:hint="eastAsia"/>
          <w:sz w:val="24"/>
        </w:rPr>
        <w:t>中国证监会规定禁止的其他活动。</w:t>
      </w:r>
    </w:p>
    <w:p w14:paraId="11345CDA" w14:textId="77777777" w:rsidR="00E17FEC" w:rsidRDefault="00995857">
      <w:pPr>
        <w:spacing w:line="360" w:lineRule="auto"/>
        <w:ind w:firstLineChars="200" w:firstLine="480"/>
        <w:contextualSpacing/>
        <w:rPr>
          <w:rFonts w:ascii="宋体" w:hAnsi="宋体"/>
          <w:sz w:val="24"/>
        </w:rPr>
      </w:pPr>
      <w:r>
        <w:rPr>
          <w:rFonts w:ascii="宋体" w:hAnsi="宋体"/>
          <w:sz w:val="24"/>
        </w:rPr>
        <w:t>4.</w:t>
      </w:r>
      <w:r>
        <w:rPr>
          <w:rFonts w:ascii="宋体" w:hAnsi="宋体" w:hint="eastAsia"/>
          <w:color w:val="000000"/>
          <w:sz w:val="24"/>
        </w:rPr>
        <w:t>根据法律法规有关基金从事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有权向中国证监会报告。</w:t>
      </w:r>
    </w:p>
    <w:p w14:paraId="20DAD4B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5.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61F28D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基金管理人应当自基金合同生效日起</w:t>
      </w:r>
      <w:r>
        <w:rPr>
          <w:rFonts w:ascii="宋体" w:hAnsi="宋体"/>
          <w:sz w:val="24"/>
        </w:rPr>
        <w:t>6个月内使基金的投资组合比例符合基金合同的有关约定。</w:t>
      </w:r>
      <w:r>
        <w:rPr>
          <w:rFonts w:ascii="宋体" w:hAnsi="宋体" w:hint="eastAsia"/>
          <w:sz w:val="24"/>
        </w:rPr>
        <w:t>在上述期间内，本基金的投资范围、投资策略应当符合基金合同的约定。基金托管人对基金的投资的监督与检查自基金合同生效之日起开始。</w:t>
      </w:r>
    </w:p>
    <w:p w14:paraId="746E174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lastRenderedPageBreak/>
        <w:t>7</w:t>
      </w:r>
      <w:r>
        <w:rPr>
          <w:rFonts w:ascii="宋体" w:hAnsi="宋体"/>
          <w:sz w:val="24"/>
        </w:rPr>
        <w:t>.如果法律法规及监管政策等对基金合同约定的投资禁止行为和投资组合比例限制进行变更的，本基金可相应调整禁止行为和投资比例限制规定，不需经基金份额持有人大会审议。《基金法》及其他有关法律法规或监管部门</w:t>
      </w:r>
      <w:r>
        <w:rPr>
          <w:rFonts w:ascii="宋体" w:hAnsi="宋体" w:hint="eastAsia"/>
          <w:sz w:val="24"/>
        </w:rPr>
        <w:t>取消</w:t>
      </w:r>
      <w:r>
        <w:rPr>
          <w:rFonts w:ascii="宋体" w:hAnsi="宋体"/>
          <w:sz w:val="24"/>
        </w:rPr>
        <w:t>上述限制</w:t>
      </w:r>
      <w:r>
        <w:rPr>
          <w:rFonts w:ascii="宋体" w:hAnsi="宋体" w:hint="eastAsia"/>
          <w:sz w:val="24"/>
        </w:rPr>
        <w:t>的</w:t>
      </w:r>
      <w:r>
        <w:rPr>
          <w:rFonts w:ascii="宋体" w:hAnsi="宋体"/>
          <w:sz w:val="24"/>
        </w:rPr>
        <w:t>，</w:t>
      </w:r>
      <w:r>
        <w:rPr>
          <w:rFonts w:ascii="宋体" w:hAnsi="宋体" w:hint="eastAsia"/>
          <w:sz w:val="24"/>
        </w:rPr>
        <w:t>履行适当程序后，基金不受上述限制</w:t>
      </w:r>
      <w:r>
        <w:rPr>
          <w:rFonts w:ascii="宋体" w:hAnsi="宋体"/>
          <w:sz w:val="24"/>
        </w:rPr>
        <w:t>。</w:t>
      </w:r>
    </w:p>
    <w:p w14:paraId="3E7F8C2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8.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E2FB4B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侧袋机制实施期间，本部分约定的投资组合比例、组合限制等约定仅适用于主袋账户。</w:t>
      </w:r>
    </w:p>
    <w:p w14:paraId="4734AB7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侧袋机制的具体规则依照相关法律法规的规定和基金合同的约定执行。</w:t>
      </w:r>
    </w:p>
    <w:p w14:paraId="4AA1FB85" w14:textId="77777777" w:rsidR="00E17FEC" w:rsidRDefault="00995857">
      <w:pPr>
        <w:numPr>
          <w:ilvl w:val="0"/>
          <w:numId w:val="3"/>
        </w:numPr>
        <w:spacing w:line="360" w:lineRule="auto"/>
        <w:ind w:firstLineChars="200" w:firstLine="480"/>
        <w:contextualSpacing/>
        <w:rPr>
          <w:rFonts w:ascii="宋体" w:hAnsi="宋体"/>
          <w:sz w:val="24"/>
        </w:rPr>
      </w:pPr>
      <w:r>
        <w:rPr>
          <w:rFonts w:ascii="宋体" w:hAnsi="宋体" w:hint="eastAsia"/>
          <w:sz w:val="24"/>
        </w:rPr>
        <w:t>基金托管人根据有关法律法规的规定及《基金合同》的约定，对基金管理人投资银行存款进行监督。</w:t>
      </w:r>
    </w:p>
    <w:p w14:paraId="433B059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基金投资银行定期存款的，基金管理人应根据法律法规的规定及《基金合同》的约定，</w:t>
      </w:r>
      <w:r>
        <w:rPr>
          <w:rFonts w:ascii="宋体" w:hAnsi="宋体" w:hint="eastAsia"/>
          <w:color w:val="000000"/>
          <w:sz w:val="24"/>
        </w:rPr>
        <w:t>建立投资制度、审慎选择存款银行，做好风险控制；并按照基金托管人的要求配合基金托管人完成相关业务办理</w:t>
      </w:r>
      <w:r>
        <w:rPr>
          <w:rFonts w:ascii="宋体" w:hAnsi="宋体" w:hint="eastAsia"/>
          <w:sz w:val="24"/>
        </w:rPr>
        <w:t>。</w:t>
      </w:r>
    </w:p>
    <w:p w14:paraId="4A53523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Pr>
          <w:rFonts w:ascii="宋体" w:hAnsi="宋体"/>
          <w:sz w:val="24"/>
        </w:rPr>
        <w:t>与基金托管人协商解决。</w:t>
      </w:r>
    </w:p>
    <w:p w14:paraId="7986F82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w:t>
      </w:r>
      <w:r>
        <w:rPr>
          <w:rFonts w:ascii="宋体" w:hAnsi="宋体" w:hint="eastAsia"/>
          <w:sz w:val="24"/>
        </w:rPr>
        <w:lastRenderedPageBreak/>
        <w:t>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49EBC68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（四）本基金投资流通受限证券，应遵守《关于基金投资非公开发行股票等流通受限证券有关问题的通知》等有关监管规定。</w:t>
      </w:r>
    </w:p>
    <w:p w14:paraId="752B8CA4" w14:textId="77777777" w:rsidR="00E17FEC" w:rsidRDefault="00995857">
      <w:pPr>
        <w:spacing w:line="360" w:lineRule="auto"/>
        <w:ind w:firstLineChars="200" w:firstLine="480"/>
        <w:contextualSpacing/>
        <w:rPr>
          <w:rFonts w:ascii="宋体" w:hAnsi="宋体"/>
          <w:sz w:val="24"/>
        </w:rPr>
      </w:pPr>
      <w:r>
        <w:rPr>
          <w:rFonts w:ascii="宋体" w:hAnsi="宋体"/>
          <w:sz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22BF75D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2618F2D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本基金不得投资未经中国证监会批准的非公开发行证券。</w:t>
      </w:r>
    </w:p>
    <w:p w14:paraId="26297A0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本基金不得投资有锁定期但锁定期不明确的证券。</w:t>
      </w:r>
    </w:p>
    <w:p w14:paraId="203C0AEF" w14:textId="77777777" w:rsidR="00E17FEC" w:rsidRDefault="00995857">
      <w:pPr>
        <w:spacing w:line="360" w:lineRule="auto"/>
        <w:ind w:firstLineChars="200" w:firstLine="480"/>
        <w:contextualSpacing/>
        <w:rPr>
          <w:rFonts w:ascii="宋体" w:hAnsi="宋体"/>
          <w:sz w:val="24"/>
        </w:rPr>
      </w:pPr>
      <w:r>
        <w:rPr>
          <w:rFonts w:ascii="宋体" w:hAnsi="宋体"/>
          <w:sz w:val="24"/>
        </w:rPr>
        <w:t xml:space="preserve">2. </w:t>
      </w:r>
      <w:r>
        <w:rPr>
          <w:rFonts w:ascii="宋体" w:hAnsi="宋体" w:hint="eastAsia"/>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3A7C2DD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48F87C9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7FD03F49" w14:textId="77777777" w:rsidR="00E17FEC" w:rsidRDefault="00995857">
      <w:pPr>
        <w:spacing w:line="360" w:lineRule="auto"/>
        <w:ind w:firstLineChars="200" w:firstLine="480"/>
        <w:contextualSpacing/>
        <w:rPr>
          <w:rFonts w:ascii="宋体" w:hAnsi="宋体"/>
          <w:sz w:val="24"/>
        </w:rPr>
      </w:pPr>
      <w:r>
        <w:rPr>
          <w:rFonts w:ascii="宋体" w:hAnsi="宋体"/>
          <w:sz w:val="24"/>
        </w:rPr>
        <w:t>3.基金投资流通受限证券前，基金管理人应向基金托管人提供符合法律法规</w:t>
      </w:r>
      <w:r>
        <w:rPr>
          <w:rFonts w:ascii="宋体" w:hAnsi="宋体"/>
          <w:sz w:val="24"/>
        </w:rPr>
        <w:lastRenderedPageBreak/>
        <w:t>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7318C79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由于基金管理人未及时提供有关证券的具体的必要的信息，致使托管人无法审核认购指令而影响认购款项划拨的，基金托管人免于承担责任。</w:t>
      </w:r>
    </w:p>
    <w:p w14:paraId="18AD86E8" w14:textId="77777777" w:rsidR="00E17FEC" w:rsidRDefault="00995857">
      <w:pPr>
        <w:spacing w:line="360" w:lineRule="auto"/>
        <w:ind w:firstLineChars="200" w:firstLine="480"/>
        <w:contextualSpacing/>
        <w:rPr>
          <w:rFonts w:ascii="宋体" w:hAnsi="宋体"/>
          <w:sz w:val="24"/>
        </w:rPr>
      </w:pPr>
      <w:r>
        <w:rPr>
          <w:rFonts w:ascii="宋体" w:hAnsi="宋体"/>
          <w:sz w:val="24"/>
        </w:rPr>
        <w:t>4.基金托管人依照法律法规</w:t>
      </w:r>
      <w:r>
        <w:rPr>
          <w:rFonts w:ascii="宋体" w:hAnsi="宋体" w:hint="eastAsia"/>
          <w:sz w:val="24"/>
        </w:rPr>
        <w:t>、《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541D3BC9" w14:textId="77777777" w:rsidR="00E17FEC" w:rsidRDefault="00995857">
      <w:pPr>
        <w:spacing w:line="360" w:lineRule="auto"/>
        <w:ind w:firstLineChars="200" w:firstLine="480"/>
        <w:contextualSpacing/>
        <w:rPr>
          <w:rFonts w:ascii="宋体" w:hAnsi="宋体"/>
          <w:sz w:val="24"/>
        </w:rPr>
      </w:pPr>
      <w:r>
        <w:rPr>
          <w:rFonts w:ascii="宋体" w:hAnsi="宋体"/>
          <w:sz w:val="24"/>
        </w:rPr>
        <w:t>5. 基金管理</w:t>
      </w:r>
      <w:r>
        <w:rPr>
          <w:rFonts w:ascii="宋体" w:hAnsi="宋体" w:hint="eastAsia"/>
          <w:sz w:val="24"/>
        </w:rPr>
        <w:t>人</w:t>
      </w:r>
      <w:r>
        <w:rPr>
          <w:rFonts w:ascii="宋体" w:hAnsi="宋体"/>
          <w:sz w:val="24"/>
        </w:rPr>
        <w:t>应在基金投资非公开发行股票后两个交易日内,在中国证监会</w:t>
      </w:r>
      <w:r>
        <w:rPr>
          <w:rFonts w:ascii="宋体" w:hAnsi="宋体" w:hint="eastAsia"/>
          <w:sz w:val="24"/>
        </w:rPr>
        <w:t>规定</w:t>
      </w:r>
      <w:r>
        <w:rPr>
          <w:rFonts w:ascii="宋体" w:hAnsi="宋体"/>
          <w:sz w:val="24"/>
        </w:rPr>
        <w:t>媒介披露所投资非公开发行股票的名称、数量、总成本、账面价值,以及总成本和账面价值占基金资产净值的比例、锁定期等信息。</w:t>
      </w:r>
    </w:p>
    <w:p w14:paraId="008B6F2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（五）基金管理人应当对投资中期票据业务进行研究，认真评估中期票据投资业务的风险，本着审慎、勤勉尽责的原则进行中期票据的投资业务，并应符合法律法规及监管机构的相关规定。</w:t>
      </w:r>
    </w:p>
    <w:p w14:paraId="0033080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（六）基金托管人根据有关法律法规的规定及《基金合同》的约定，对基金资产净值计算、</w:t>
      </w:r>
      <w:r>
        <w:rPr>
          <w:rFonts w:ascii="宋体" w:hAnsi="宋体" w:cs="Arial" w:hint="eastAsia"/>
          <w:sz w:val="24"/>
        </w:rPr>
        <w:t>各类</w:t>
      </w:r>
      <w:r>
        <w:rPr>
          <w:rFonts w:ascii="宋体" w:hAnsi="宋体" w:hint="eastAsia"/>
          <w:sz w:val="24"/>
        </w:rPr>
        <w:t>基金份额净值计算、基金费用开支及收入确定、基金收益分配、相关信息披露、基金宣传推介材料中登载基金业绩表现数据等进行监督和核查。</w:t>
      </w:r>
    </w:p>
    <w:p w14:paraId="40C8A401" w14:textId="77777777" w:rsidR="00E17FEC" w:rsidRDefault="00995857">
      <w:pPr>
        <w:spacing w:line="360" w:lineRule="auto"/>
        <w:ind w:firstLineChars="200" w:firstLine="480"/>
        <w:contextualSpacing/>
        <w:rPr>
          <w:rFonts w:ascii="宋体" w:hAnsi="宋体"/>
          <w:sz w:val="24"/>
        </w:rPr>
      </w:pPr>
      <w:r>
        <w:rPr>
          <w:rFonts w:ascii="宋体" w:hAnsi="宋体"/>
          <w:sz w:val="24"/>
        </w:rPr>
        <w:t>（</w:t>
      </w:r>
      <w:r>
        <w:rPr>
          <w:rFonts w:ascii="宋体" w:hAnsi="宋体" w:hint="eastAsia"/>
          <w:sz w:val="24"/>
        </w:rPr>
        <w:t>七</w:t>
      </w:r>
      <w:r>
        <w:rPr>
          <w:rFonts w:ascii="宋体" w:hAnsi="宋体"/>
          <w:sz w:val="24"/>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w:t>
      </w:r>
      <w:r>
        <w:rPr>
          <w:rFonts w:ascii="宋体" w:hAnsi="宋体" w:hint="eastAsia"/>
          <w:sz w:val="24"/>
        </w:rPr>
        <w:t>合理</w:t>
      </w:r>
      <w:r>
        <w:rPr>
          <w:rFonts w:ascii="宋体" w:hAnsi="宋体"/>
          <w:sz w:val="24"/>
        </w:rPr>
        <w:t>疑义进行解释或举证，说明违规原因及纠正期限。在上述规定期限内，基金托管人有权随时对通知事项进行复查，督促基金管理人改正。基金管理人对基金托管人通知的</w:t>
      </w:r>
      <w:r>
        <w:rPr>
          <w:rFonts w:ascii="宋体" w:hAnsi="宋体"/>
          <w:sz w:val="24"/>
        </w:rPr>
        <w:lastRenderedPageBreak/>
        <w:t>违规事项未能在限期内纠正的，基金托管人应报告中国证监会。</w:t>
      </w:r>
    </w:p>
    <w:p w14:paraId="6C489210"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八）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3718602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九）若基金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3D2CB69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（十）基金托管人发现基金管理人有重大违规行为，应及时报告中国证监会，同时通知基金管理人限期纠正。</w:t>
      </w:r>
      <w:bookmarkStart w:id="32" w:name="_Toc86737929"/>
      <w:bookmarkStart w:id="33" w:name="_Toc86727355"/>
      <w:bookmarkStart w:id="34" w:name="_Toc118212950"/>
      <w:bookmarkStart w:id="35" w:name="_Toc89163368"/>
      <w:bookmarkStart w:id="36" w:name="_Toc86726439"/>
      <w:bookmarkStart w:id="37" w:name="_Toc86225291"/>
      <w:bookmarkStart w:id="38" w:name="_Toc110830492"/>
      <w:bookmarkStart w:id="39" w:name="_Toc86223242"/>
      <w:bookmarkStart w:id="40" w:name="_Toc108512358"/>
      <w:bookmarkStart w:id="41" w:name="_Toc110765660"/>
      <w:bookmarkStart w:id="42" w:name="_Toc118972648"/>
      <w:bookmarkStart w:id="43" w:name="_Toc86649722"/>
      <w:bookmarkStart w:id="44" w:name="_Toc110761796"/>
      <w:bookmarkStart w:id="45" w:name="_Toc120435783"/>
      <w:bookmarkStart w:id="46" w:name="_Toc118774803"/>
      <w:bookmarkStart w:id="47" w:name="_Toc119402710"/>
    </w:p>
    <w:bookmarkEnd w:id="29"/>
    <w:p w14:paraId="7766A310" w14:textId="77777777" w:rsidR="00E17FEC" w:rsidRDefault="00E17FEC">
      <w:pPr>
        <w:spacing w:line="360" w:lineRule="auto"/>
        <w:ind w:firstLineChars="200" w:firstLine="480"/>
        <w:contextualSpacing/>
        <w:rPr>
          <w:rFonts w:ascii="宋体" w:hAnsi="宋体"/>
          <w:sz w:val="24"/>
        </w:rPr>
        <w:sectPr w:rsidR="00E17FEC">
          <w:footerReference w:type="default" r:id="rId56"/>
          <w:pgSz w:w="11906" w:h="16838"/>
          <w:pgMar w:top="1418" w:right="1701" w:bottom="1418" w:left="1701" w:header="851" w:footer="992" w:gutter="0"/>
          <w:pgNumType w:start="1" w:chapStyle="1"/>
          <w:cols w:space="425"/>
          <w:docGrid w:type="lines" w:linePitch="312"/>
        </w:sectPr>
      </w:pPr>
    </w:p>
    <w:p w14:paraId="378A8A95"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48" w:name="_Toc384992694"/>
      <w:bookmarkStart w:id="49" w:name="_Toc3276851"/>
      <w:bookmarkStart w:id="50" w:name="_Toc348082032"/>
      <w:bookmarkStart w:id="51" w:name="CLAUSE_3941d2e12a5840c8a774da0b5e8d5732"/>
      <w:r>
        <w:rPr>
          <w:rFonts w:ascii="宋体" w:eastAsia="宋体" w:hAnsi="宋体"/>
        </w:rPr>
        <w:lastRenderedPageBreak/>
        <w:t xml:space="preserve"> </w:t>
      </w:r>
      <w:bookmarkStart w:id="52" w:name="CTS_3941d2e12a5840c8a774da0b5e8d5732"/>
      <w:bookmarkEnd w:id="52"/>
      <w:r>
        <w:rPr>
          <w:rFonts w:ascii="宋体" w:eastAsia="宋体" w:hAnsi="宋体" w:hint="eastAsia"/>
        </w:rPr>
        <w:t>基金管理人对基金托管人的业务核查</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8F3540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（一）基金管理人对基金托管人履行托管职责情况进行核查，核查事项包括基金托管人安全保管基金财产、开设基金财产的资金账户、证券账户等投资所需账户、复核基金管理人计算的基金资产净值和</w:t>
      </w:r>
      <w:r>
        <w:rPr>
          <w:rFonts w:ascii="宋体" w:hAnsi="宋体" w:cs="Arial" w:hint="eastAsia"/>
          <w:sz w:val="24"/>
        </w:rPr>
        <w:t>各类</w:t>
      </w:r>
      <w:r>
        <w:rPr>
          <w:rFonts w:ascii="宋体" w:hAnsi="宋体" w:hint="eastAsia"/>
          <w:sz w:val="24"/>
        </w:rPr>
        <w:t>基金份额净值、根据基金管理人指令办理清算交收、相关信息披露和监督基金投资运作等行为。</w:t>
      </w:r>
    </w:p>
    <w:p w14:paraId="09EAE7C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w:t>
      </w:r>
      <w:r>
        <w:rPr>
          <w:rFonts w:ascii="宋体" w:hAnsi="宋体"/>
          <w:sz w:val="24"/>
        </w:rPr>
        <w:t>电话、邮件或</w:t>
      </w:r>
      <w:r>
        <w:rPr>
          <w:rFonts w:ascii="宋体" w:hAnsi="宋体" w:hint="eastAsia"/>
          <w:sz w:val="24"/>
        </w:rPr>
        <w:t>书面形式等方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13CAC4B1" w14:textId="77777777" w:rsidR="00E17FEC" w:rsidRDefault="00995857">
      <w:pPr>
        <w:spacing w:line="360" w:lineRule="auto"/>
        <w:ind w:firstLineChars="200" w:firstLine="480"/>
        <w:contextualSpacing/>
        <w:rPr>
          <w:rFonts w:ascii="宋体" w:hAnsi="宋体"/>
          <w:sz w:val="24"/>
        </w:rPr>
        <w:sectPr w:rsidR="00E17FEC">
          <w:footerReference w:type="default" r:id="rId57"/>
          <w:pgSz w:w="11906" w:h="16838"/>
          <w:pgMar w:top="1418" w:right="1701" w:bottom="1418" w:left="1701" w:header="851" w:footer="992" w:gutter="0"/>
          <w:pgNumType w:start="1" w:chapStyle="1"/>
          <w:cols w:space="425"/>
          <w:docGrid w:type="lines" w:linePitch="312"/>
        </w:sectPr>
      </w:pPr>
      <w:r>
        <w:rPr>
          <w:rFonts w:ascii="宋体" w:hAnsi="宋体" w:hint="eastAsia"/>
          <w:sz w:val="24"/>
        </w:rPr>
        <w:t>（三）</w:t>
      </w:r>
      <w:bookmarkEnd w:id="51"/>
      <w:r>
        <w:rPr>
          <w:rFonts w:ascii="宋体" w:hAnsi="宋体" w:hint="eastAsia"/>
          <w:color w:val="000000"/>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4E87664"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53" w:name="_Toc118774804"/>
      <w:bookmarkStart w:id="54" w:name="_Toc84133786"/>
      <w:bookmarkStart w:id="55" w:name="_Toc86726440"/>
      <w:bookmarkStart w:id="56" w:name="_Toc348082033"/>
      <w:bookmarkStart w:id="57" w:name="_Toc86223243"/>
      <w:bookmarkStart w:id="58" w:name="_Toc108512359"/>
      <w:bookmarkStart w:id="59" w:name="_Toc86737930"/>
      <w:bookmarkStart w:id="60" w:name="_Toc86727356"/>
      <w:bookmarkStart w:id="61" w:name="_Toc110830493"/>
      <w:bookmarkStart w:id="62" w:name="_Toc86204789"/>
      <w:bookmarkStart w:id="63" w:name="_Toc3276852"/>
      <w:bookmarkStart w:id="64" w:name="_Toc120435784"/>
      <w:bookmarkStart w:id="65" w:name="_Toc110765661"/>
      <w:bookmarkStart w:id="66" w:name="_Toc110761797"/>
      <w:bookmarkStart w:id="67" w:name="_Toc118972649"/>
      <w:bookmarkStart w:id="68" w:name="_Toc384992695"/>
      <w:bookmarkStart w:id="69" w:name="_Toc118212951"/>
      <w:bookmarkStart w:id="70" w:name="_Toc84234388"/>
      <w:bookmarkStart w:id="71" w:name="_Toc84234435"/>
      <w:bookmarkStart w:id="72" w:name="_Toc86649723"/>
      <w:bookmarkStart w:id="73" w:name="_Toc89163369"/>
      <w:bookmarkStart w:id="74" w:name="_Toc86225292"/>
      <w:bookmarkStart w:id="75" w:name="_Toc119402711"/>
      <w:bookmarkStart w:id="76" w:name="CLAUSE_ae32e2f5dbd7495eb29c9432267c084b"/>
      <w:r>
        <w:rPr>
          <w:rFonts w:ascii="宋体" w:eastAsia="宋体" w:hAnsi="宋体"/>
        </w:rPr>
        <w:lastRenderedPageBreak/>
        <w:t xml:space="preserve"> </w:t>
      </w:r>
      <w:bookmarkStart w:id="77" w:name="CTS_ae32e2f5dbd7495eb29c9432267c084b"/>
      <w:bookmarkEnd w:id="77"/>
      <w:r>
        <w:rPr>
          <w:rFonts w:ascii="宋体" w:eastAsia="宋体" w:hAnsi="宋体" w:hint="eastAsia"/>
        </w:rPr>
        <w:t>基金财产的保管</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4512CE1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（一）基金财产保管的原则</w:t>
      </w:r>
    </w:p>
    <w:p w14:paraId="7D793A8B" w14:textId="77777777" w:rsidR="00E17FEC" w:rsidRDefault="00995857">
      <w:pPr>
        <w:spacing w:line="360" w:lineRule="auto"/>
        <w:ind w:firstLineChars="200" w:firstLine="480"/>
        <w:contextualSpacing/>
        <w:rPr>
          <w:rFonts w:ascii="宋体" w:hAnsi="宋体"/>
          <w:sz w:val="24"/>
        </w:rPr>
      </w:pPr>
      <w:r>
        <w:rPr>
          <w:rFonts w:ascii="宋体" w:hAnsi="宋体"/>
          <w:sz w:val="24"/>
        </w:rPr>
        <w:t>1.基金财产应独立于基金管理人、基金托管</w:t>
      </w:r>
      <w:r>
        <w:rPr>
          <w:rFonts w:ascii="宋体" w:hAnsi="宋体" w:cs="Arial" w:hint="eastAsia"/>
          <w:sz w:val="24"/>
        </w:rPr>
        <w:t>人和证券经纪机构</w:t>
      </w:r>
      <w:r>
        <w:rPr>
          <w:rFonts w:ascii="宋体" w:hAnsi="宋体" w:hint="eastAsia"/>
          <w:sz w:val="24"/>
        </w:rPr>
        <w:t>的固有财产。</w:t>
      </w:r>
    </w:p>
    <w:p w14:paraId="2EC7DFCE" w14:textId="77777777" w:rsidR="00E17FEC" w:rsidRDefault="00995857">
      <w:pPr>
        <w:spacing w:line="360" w:lineRule="auto"/>
        <w:ind w:firstLineChars="200" w:firstLine="480"/>
        <w:contextualSpacing/>
        <w:rPr>
          <w:rFonts w:ascii="宋体" w:hAnsi="宋体"/>
          <w:sz w:val="24"/>
        </w:rPr>
      </w:pPr>
      <w:r>
        <w:rPr>
          <w:rFonts w:ascii="宋体" w:hAnsi="宋体"/>
          <w:sz w:val="24"/>
        </w:rPr>
        <w:t>2.基金托管人应安全保管基金财产。</w:t>
      </w:r>
    </w:p>
    <w:p w14:paraId="44E1BEAC" w14:textId="77777777" w:rsidR="00E17FEC" w:rsidRDefault="00995857">
      <w:pPr>
        <w:spacing w:line="360" w:lineRule="auto"/>
        <w:ind w:firstLineChars="200" w:firstLine="480"/>
        <w:contextualSpacing/>
        <w:rPr>
          <w:rFonts w:ascii="宋体" w:hAnsi="宋体"/>
          <w:sz w:val="24"/>
        </w:rPr>
      </w:pPr>
      <w:r>
        <w:rPr>
          <w:rFonts w:ascii="宋体" w:hAnsi="宋体"/>
          <w:sz w:val="24"/>
        </w:rPr>
        <w:t>3.基金托管人按照规定开设基金财产</w:t>
      </w:r>
      <w:r>
        <w:rPr>
          <w:rFonts w:ascii="宋体" w:hAnsi="宋体" w:hint="eastAsia"/>
          <w:sz w:val="24"/>
        </w:rPr>
        <w:t>投资所需的相关账户。</w:t>
      </w:r>
    </w:p>
    <w:p w14:paraId="235CA859" w14:textId="77777777" w:rsidR="00E17FEC" w:rsidRDefault="00995857">
      <w:pPr>
        <w:spacing w:line="360" w:lineRule="auto"/>
        <w:ind w:firstLineChars="200" w:firstLine="480"/>
        <w:contextualSpacing/>
        <w:rPr>
          <w:rFonts w:ascii="宋体" w:hAnsi="宋体"/>
          <w:sz w:val="24"/>
        </w:rPr>
      </w:pPr>
      <w:r>
        <w:rPr>
          <w:rFonts w:ascii="宋体" w:hAnsi="宋体"/>
          <w:sz w:val="24"/>
        </w:rPr>
        <w:t>4.基金托管人对所托管的不同基金财产分别设置账户，确保基金财产的完整与独立。</w:t>
      </w:r>
    </w:p>
    <w:p w14:paraId="34B32C55" w14:textId="77777777" w:rsidR="00E17FEC" w:rsidRDefault="00995857">
      <w:pPr>
        <w:spacing w:line="360" w:lineRule="auto"/>
        <w:ind w:firstLineChars="200" w:firstLine="480"/>
        <w:contextualSpacing/>
        <w:rPr>
          <w:rFonts w:ascii="宋体" w:hAnsi="宋体"/>
          <w:sz w:val="24"/>
        </w:rPr>
      </w:pPr>
      <w:r>
        <w:rPr>
          <w:rFonts w:ascii="宋体" w:hAnsi="宋体"/>
          <w:sz w:val="24"/>
        </w:rPr>
        <w:t>5.基金托管人根据基金管理人的指令，按照基金合同和本协议的约定保管基金财产。</w:t>
      </w:r>
      <w:r>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14:paraId="58B89617" w14:textId="77777777" w:rsidR="00E17FEC" w:rsidRDefault="00995857">
      <w:pPr>
        <w:spacing w:line="360" w:lineRule="auto"/>
        <w:ind w:firstLineChars="200" w:firstLine="480"/>
        <w:contextualSpacing/>
        <w:rPr>
          <w:rFonts w:ascii="宋体" w:hAnsi="宋体"/>
          <w:sz w:val="24"/>
        </w:rPr>
      </w:pPr>
      <w:r>
        <w:rPr>
          <w:rFonts w:ascii="宋体" w:hAnsi="宋体"/>
          <w:sz w:val="24"/>
        </w:rPr>
        <w:t>6.对于因为基金投资产生的应收资产，应由基金管理人负责与有关当事人确定到账日期并通知基金托管人，到账日基金财产没有到达基金</w:t>
      </w:r>
      <w:r>
        <w:rPr>
          <w:rFonts w:ascii="宋体" w:hAnsi="宋体" w:hint="eastAsia"/>
          <w:sz w:val="24"/>
        </w:rPr>
        <w:t>资金账户的，基金托管人应及时通知基金管理人采取措施进行催收，基金管理人应负责向有关当事人追偿基金财产的损失，基金托管人应给予必要的协助，</w:t>
      </w:r>
      <w:r>
        <w:rPr>
          <w:rFonts w:ascii="宋体" w:hAnsi="宋体" w:hint="eastAsia"/>
          <w:color w:val="000000"/>
          <w:sz w:val="24"/>
        </w:rPr>
        <w:t>基金托管人对此不承担任何责任</w:t>
      </w:r>
      <w:r>
        <w:rPr>
          <w:rFonts w:ascii="宋体" w:hAnsi="宋体" w:hint="eastAsia"/>
          <w:sz w:val="24"/>
        </w:rPr>
        <w:t>。</w:t>
      </w:r>
    </w:p>
    <w:p w14:paraId="3C62C8B2" w14:textId="77777777" w:rsidR="00E17FEC" w:rsidRDefault="00995857">
      <w:pPr>
        <w:spacing w:line="360" w:lineRule="auto"/>
        <w:ind w:firstLineChars="200" w:firstLine="480"/>
        <w:contextualSpacing/>
        <w:rPr>
          <w:rFonts w:ascii="宋体" w:hAnsi="宋体"/>
          <w:sz w:val="24"/>
        </w:rPr>
      </w:pPr>
      <w:r>
        <w:rPr>
          <w:rFonts w:ascii="宋体" w:hAnsi="宋体"/>
          <w:sz w:val="24"/>
        </w:rPr>
        <w:t>7.</w:t>
      </w:r>
      <w:r>
        <w:rPr>
          <w:rFonts w:ascii="宋体" w:hAnsi="宋体" w:hint="eastAsia"/>
          <w:sz w:val="24"/>
        </w:rPr>
        <w:t>基金托管人对因为基金管理人投资产生的存放或存管在基金托管人以外机构的基金资产，或交由期货公司或证券公司负责清算交收的基金资产（包括但不限于证券交易资金账户内的资金、证券类基金资产和期货保证金账户内的资金、期货合约等）及其收益，由于该等机构或该机构会员单位等本协议当事人外第三方的欺诈、疏忽、过失或破产等原因给基金资产造成的损失等不承担责任。</w:t>
      </w:r>
    </w:p>
    <w:p w14:paraId="34BA346C" w14:textId="77777777" w:rsidR="00E17FEC" w:rsidRDefault="00995857">
      <w:pPr>
        <w:spacing w:line="360" w:lineRule="auto"/>
        <w:ind w:firstLineChars="200" w:firstLine="480"/>
        <w:contextualSpacing/>
        <w:rPr>
          <w:rFonts w:ascii="宋体" w:hAnsi="宋体"/>
          <w:sz w:val="24"/>
        </w:rPr>
      </w:pPr>
      <w:r>
        <w:rPr>
          <w:rFonts w:ascii="宋体" w:hAnsi="宋体"/>
          <w:sz w:val="24"/>
        </w:rPr>
        <w:t>8.</w:t>
      </w:r>
      <w:r>
        <w:rPr>
          <w:rFonts w:ascii="宋体" w:hAnsi="宋体" w:hint="eastAsia"/>
          <w:sz w:val="24"/>
        </w:rPr>
        <w:t>除依据法律法规和基金合同的规定外，基金托管人不得委托第三人托管基金财产。</w:t>
      </w:r>
    </w:p>
    <w:p w14:paraId="6679F25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（二）基金募集期间及募集资金的验资</w:t>
      </w:r>
    </w:p>
    <w:p w14:paraId="6F51FA85" w14:textId="77777777" w:rsidR="00E17FEC" w:rsidRDefault="00995857">
      <w:pPr>
        <w:spacing w:line="360" w:lineRule="auto"/>
        <w:ind w:firstLineChars="200" w:firstLine="480"/>
        <w:contextualSpacing/>
        <w:rPr>
          <w:rFonts w:ascii="宋体" w:hAnsi="宋体"/>
          <w:sz w:val="24"/>
        </w:rPr>
      </w:pPr>
      <w:r>
        <w:rPr>
          <w:rFonts w:ascii="宋体" w:hAnsi="宋体"/>
          <w:sz w:val="24"/>
        </w:rPr>
        <w:t>1.基金募集期间募集的资金应开立“基金募集专户”。该账户由基金管理人或基金管理人委托的登记机构</w:t>
      </w:r>
      <w:r>
        <w:rPr>
          <w:rFonts w:ascii="宋体" w:hAnsi="宋体" w:hint="eastAsia"/>
          <w:sz w:val="24"/>
        </w:rPr>
        <w:t>开立并管理。</w:t>
      </w:r>
    </w:p>
    <w:p w14:paraId="3704AC24" w14:textId="77777777" w:rsidR="00E17FEC" w:rsidRDefault="00995857">
      <w:pPr>
        <w:spacing w:line="360" w:lineRule="auto"/>
        <w:ind w:firstLineChars="200" w:firstLine="480"/>
        <w:contextualSpacing/>
        <w:rPr>
          <w:rFonts w:ascii="宋体" w:hAnsi="宋体"/>
          <w:sz w:val="24"/>
        </w:rPr>
      </w:pPr>
      <w:r>
        <w:rPr>
          <w:rFonts w:ascii="宋体" w:hAnsi="宋体"/>
          <w:sz w:val="24"/>
        </w:rPr>
        <w:t>2.基金募集期满或基金停止募集时，募集的基金份额总额、基金募集金额、基金份额持有人人数符合《基金法》、《运作办法》等有关规定后，基金管理人应将属</w:t>
      </w:r>
      <w:r>
        <w:rPr>
          <w:rFonts w:ascii="宋体" w:hAnsi="宋体"/>
          <w:sz w:val="24"/>
        </w:rPr>
        <w:lastRenderedPageBreak/>
        <w:t>于基金财产的全部资金划入基金托管人</w:t>
      </w:r>
      <w:r>
        <w:rPr>
          <w:rFonts w:ascii="宋体" w:hAnsi="宋体" w:hint="eastAsia"/>
          <w:sz w:val="24"/>
        </w:rPr>
        <w:t>为基金开立的基金资金账户，同时在规定时间内，基金管理人应聘请</w:t>
      </w:r>
      <w:bookmarkStart w:id="78" w:name="_Hlk48047709"/>
      <w:r>
        <w:rPr>
          <w:rFonts w:ascii="宋体" w:hAnsi="宋体" w:hint="eastAsia"/>
          <w:sz w:val="24"/>
        </w:rPr>
        <w:t>符合《中华人民共和国证券法》规定</w:t>
      </w:r>
      <w:bookmarkEnd w:id="78"/>
      <w:r>
        <w:rPr>
          <w:rFonts w:ascii="宋体" w:hAnsi="宋体" w:hint="eastAsia"/>
          <w:sz w:val="24"/>
        </w:rPr>
        <w:t>的会计师事务所进行验资，出具验资报告，</w:t>
      </w:r>
      <w:r>
        <w:rPr>
          <w:rFonts w:ascii="宋体" w:hAnsi="宋体" w:hint="eastAsia"/>
          <w:bCs/>
          <w:sz w:val="24"/>
        </w:rPr>
        <w:t>验资报告需对发起资金提供方及其持有的基金份额进行专门说明</w:t>
      </w:r>
      <w:r>
        <w:rPr>
          <w:rFonts w:ascii="宋体" w:hAnsi="宋体" w:hint="eastAsia"/>
          <w:sz w:val="24"/>
        </w:rPr>
        <w:t>。出具的验资报告由参加验资的</w:t>
      </w:r>
      <w:r>
        <w:rPr>
          <w:rFonts w:ascii="宋体" w:hAnsi="宋体"/>
          <w:sz w:val="24"/>
        </w:rPr>
        <w:t>2名或2名以上中国注册会计师签字方为有效。</w:t>
      </w:r>
    </w:p>
    <w:p w14:paraId="494CA33D" w14:textId="77777777" w:rsidR="00E17FEC" w:rsidRDefault="00995857">
      <w:pPr>
        <w:spacing w:line="360" w:lineRule="auto"/>
        <w:ind w:firstLineChars="200" w:firstLine="480"/>
        <w:contextualSpacing/>
        <w:rPr>
          <w:rFonts w:ascii="宋体" w:hAnsi="宋体"/>
          <w:sz w:val="24"/>
        </w:rPr>
      </w:pPr>
      <w:r>
        <w:rPr>
          <w:rFonts w:ascii="宋体" w:hAnsi="宋体"/>
          <w:sz w:val="24"/>
        </w:rPr>
        <w:t>3.若基金募集期限届满，未能达到基金合同生效的条件，由基金管理人按规定办理退款等事宜</w:t>
      </w:r>
      <w:r>
        <w:rPr>
          <w:rFonts w:ascii="宋体" w:hAnsi="宋体" w:hint="eastAsia"/>
          <w:sz w:val="24"/>
        </w:rPr>
        <w:t>，基金托管人应给予必要的协助。</w:t>
      </w:r>
    </w:p>
    <w:p w14:paraId="1C1F43E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（三）基金资金账户的开立和管理</w:t>
      </w:r>
    </w:p>
    <w:p w14:paraId="767D18EF" w14:textId="77777777" w:rsidR="00E17FEC" w:rsidRDefault="00995857">
      <w:pPr>
        <w:spacing w:line="360" w:lineRule="auto"/>
        <w:ind w:firstLineChars="200" w:firstLine="480"/>
        <w:contextualSpacing/>
        <w:rPr>
          <w:rFonts w:ascii="宋体" w:hAnsi="宋体"/>
          <w:sz w:val="24"/>
        </w:rPr>
      </w:pPr>
      <w:r>
        <w:rPr>
          <w:rFonts w:ascii="宋体" w:hAnsi="宋体"/>
          <w:sz w:val="24"/>
        </w:rPr>
        <w:t>1.基金托管人以</w:t>
      </w:r>
      <w:r>
        <w:rPr>
          <w:rFonts w:ascii="宋体" w:hAnsi="宋体" w:hint="eastAsia"/>
          <w:sz w:val="24"/>
        </w:rPr>
        <w:t>本基金的名义在其营业机构开立基金的资金账户（也可称为“托管账户”），保管基金的银行存款，并根据基金管理人的指令办理资金收付。托管账户名称应为“</w:t>
      </w:r>
      <w:r>
        <w:rPr>
          <w:rFonts w:ascii="宋体" w:hAnsi="宋体" w:cs="Arial" w:hint="eastAsia"/>
          <w:sz w:val="24"/>
        </w:rPr>
        <w:t>东方阿尔法瑞丰混合型发起式证券投资基金</w:t>
      </w:r>
      <w:r>
        <w:rPr>
          <w:rFonts w:ascii="宋体" w:hAnsi="宋体" w:hint="eastAsia"/>
          <w:sz w:val="24"/>
        </w:rPr>
        <w:t>”（户名以实际开立为准），预留印鉴为基金托管人印章。</w:t>
      </w:r>
    </w:p>
    <w:p w14:paraId="38327A1E" w14:textId="77777777" w:rsidR="00E17FEC" w:rsidRDefault="00995857">
      <w:pPr>
        <w:spacing w:line="360" w:lineRule="auto"/>
        <w:ind w:firstLineChars="200" w:firstLine="480"/>
        <w:contextualSpacing/>
        <w:rPr>
          <w:rFonts w:ascii="宋体" w:hAnsi="宋体"/>
          <w:sz w:val="24"/>
        </w:rPr>
      </w:pPr>
      <w:r>
        <w:rPr>
          <w:rFonts w:ascii="宋体" w:hAnsi="宋体"/>
          <w:sz w:val="24"/>
        </w:rPr>
        <w:t>2.基金</w:t>
      </w:r>
      <w:r>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14:paraId="03839CF4" w14:textId="77777777" w:rsidR="00E17FEC" w:rsidRDefault="00995857">
      <w:pPr>
        <w:spacing w:line="360" w:lineRule="auto"/>
        <w:ind w:firstLineChars="200" w:firstLine="480"/>
        <w:contextualSpacing/>
        <w:rPr>
          <w:rFonts w:ascii="宋体" w:hAnsi="宋体"/>
          <w:sz w:val="24"/>
        </w:rPr>
      </w:pPr>
      <w:r>
        <w:rPr>
          <w:rFonts w:ascii="宋体" w:hAnsi="宋体"/>
          <w:sz w:val="24"/>
        </w:rPr>
        <w:t>3.基金</w:t>
      </w:r>
      <w:r>
        <w:rPr>
          <w:rFonts w:ascii="宋体" w:hAnsi="宋体" w:hint="eastAsia"/>
          <w:sz w:val="24"/>
        </w:rPr>
        <w:t>资金账户的开立和管理应符合法律法规及银行业监督管理机构的有关规定。</w:t>
      </w:r>
    </w:p>
    <w:p w14:paraId="6B28FE20"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（四）基金证券账户和</w:t>
      </w:r>
      <w:r>
        <w:rPr>
          <w:rFonts w:ascii="宋体" w:hAnsi="宋体" w:cs="Arial" w:hint="eastAsia"/>
          <w:sz w:val="24"/>
        </w:rPr>
        <w:t>证券交易资金</w:t>
      </w:r>
      <w:r>
        <w:rPr>
          <w:rFonts w:ascii="宋体" w:hAnsi="宋体" w:hint="eastAsia"/>
          <w:sz w:val="24"/>
        </w:rPr>
        <w:t>账户的开立和管理</w:t>
      </w:r>
    </w:p>
    <w:p w14:paraId="1EAA0864" w14:textId="77777777" w:rsidR="00E17FEC" w:rsidRDefault="00995857">
      <w:pPr>
        <w:spacing w:line="360" w:lineRule="auto"/>
        <w:ind w:firstLineChars="200" w:firstLine="480"/>
        <w:contextualSpacing/>
        <w:rPr>
          <w:rFonts w:ascii="宋体" w:hAnsi="宋体"/>
          <w:sz w:val="24"/>
        </w:rPr>
      </w:pPr>
      <w:r>
        <w:rPr>
          <w:rFonts w:ascii="宋体" w:hAnsi="宋体"/>
          <w:sz w:val="24"/>
        </w:rPr>
        <w:t>1.基金托管人在中国证券登记结算有限责任公司上海分公司、深圳分公司为基金开立基金托管人与基金联名的证券账户。</w:t>
      </w:r>
    </w:p>
    <w:p w14:paraId="7C10940E" w14:textId="77777777" w:rsidR="00E17FEC" w:rsidRDefault="00995857">
      <w:pPr>
        <w:spacing w:line="360" w:lineRule="auto"/>
        <w:ind w:firstLineChars="200" w:firstLine="480"/>
        <w:contextualSpacing/>
        <w:rPr>
          <w:rFonts w:ascii="宋体" w:hAnsi="宋体"/>
          <w:sz w:val="24"/>
        </w:rPr>
      </w:pPr>
      <w:r>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30CD1FA" w14:textId="77777777" w:rsidR="00E17FEC" w:rsidRDefault="00995857">
      <w:pPr>
        <w:spacing w:line="360" w:lineRule="auto"/>
        <w:ind w:firstLineChars="200" w:firstLine="480"/>
        <w:contextualSpacing/>
        <w:rPr>
          <w:rFonts w:ascii="宋体" w:hAnsi="宋体"/>
          <w:sz w:val="24"/>
        </w:rPr>
      </w:pPr>
      <w:r>
        <w:rPr>
          <w:rFonts w:ascii="宋体" w:hAnsi="宋体"/>
          <w:sz w:val="24"/>
        </w:rPr>
        <w:t>3.基金证券账户的开立和证券账户卡的保管由基金托管人负责，账户资产的管理和运用由基金管理人负责。</w:t>
      </w:r>
    </w:p>
    <w:p w14:paraId="3DE02515" w14:textId="77777777" w:rsidR="00E17FEC" w:rsidRDefault="00995857">
      <w:pPr>
        <w:spacing w:line="360" w:lineRule="auto"/>
        <w:ind w:firstLineChars="200" w:firstLine="480"/>
        <w:contextualSpacing/>
        <w:rPr>
          <w:rFonts w:ascii="宋体" w:hAnsi="宋体" w:cs="Arial"/>
          <w:sz w:val="24"/>
        </w:rPr>
      </w:pPr>
      <w:r>
        <w:rPr>
          <w:rFonts w:ascii="宋体" w:hAnsi="宋体"/>
          <w:sz w:val="24"/>
        </w:rPr>
        <w:t>4.</w:t>
      </w:r>
      <w:r>
        <w:rPr>
          <w:rFonts w:ascii="宋体" w:hAnsi="宋体" w:hint="eastAsia"/>
          <w:sz w:val="24"/>
        </w:rPr>
        <w:t>基金</w:t>
      </w:r>
      <w:r>
        <w:rPr>
          <w:rFonts w:ascii="宋体" w:hAnsi="宋体" w:cs="Arial" w:hint="eastAsia"/>
          <w:sz w:val="24"/>
        </w:rPr>
        <w:t>管理人为</w:t>
      </w:r>
      <w:r>
        <w:rPr>
          <w:rFonts w:ascii="宋体" w:hAnsi="宋体" w:hint="eastAsia"/>
          <w:sz w:val="24"/>
        </w:rPr>
        <w:t>基金</w:t>
      </w:r>
      <w:r>
        <w:rPr>
          <w:rFonts w:ascii="宋体" w:hAnsi="宋体" w:cs="Arial" w:hint="eastAsia"/>
          <w:sz w:val="24"/>
        </w:rPr>
        <w:t>财产</w:t>
      </w:r>
      <w:r>
        <w:rPr>
          <w:rFonts w:ascii="宋体" w:hAnsi="宋体" w:hint="eastAsia"/>
          <w:sz w:val="24"/>
        </w:rPr>
        <w:t>在证券</w:t>
      </w:r>
      <w:r>
        <w:rPr>
          <w:rFonts w:ascii="宋体" w:hAnsi="宋体" w:cs="Arial" w:hint="eastAsia"/>
          <w:sz w:val="24"/>
        </w:rPr>
        <w:t>经纪机构</w:t>
      </w:r>
      <w:r>
        <w:rPr>
          <w:rFonts w:ascii="宋体" w:hAnsi="宋体" w:hint="eastAsia"/>
          <w:sz w:val="24"/>
        </w:rPr>
        <w:t>开立</w:t>
      </w:r>
      <w:r>
        <w:rPr>
          <w:rFonts w:ascii="宋体" w:hAnsi="宋体" w:cs="Arial" w:hint="eastAsia"/>
          <w:sz w:val="24"/>
        </w:rPr>
        <w:t>证券交易资金</w:t>
      </w:r>
      <w:r>
        <w:rPr>
          <w:rFonts w:ascii="宋体" w:hAnsi="宋体" w:hint="eastAsia"/>
          <w:sz w:val="24"/>
        </w:rPr>
        <w:t>账户，</w:t>
      </w:r>
      <w:r>
        <w:rPr>
          <w:rFonts w:ascii="宋体" w:hAnsi="宋体" w:cs="Arial" w:hint="eastAsia"/>
          <w:sz w:val="24"/>
        </w:rPr>
        <w:t>用于</w:t>
      </w:r>
      <w:r>
        <w:rPr>
          <w:rFonts w:ascii="宋体" w:hAnsi="宋体" w:hint="eastAsia"/>
          <w:sz w:val="24"/>
        </w:rPr>
        <w:t>基金</w:t>
      </w:r>
      <w:r>
        <w:rPr>
          <w:rFonts w:ascii="宋体" w:hAnsi="宋体" w:cs="Arial" w:hint="eastAsia"/>
          <w:sz w:val="24"/>
        </w:rPr>
        <w:t>财产</w:t>
      </w:r>
      <w:r>
        <w:rPr>
          <w:rFonts w:ascii="宋体" w:hAnsi="宋体" w:hint="eastAsia"/>
          <w:sz w:val="24"/>
        </w:rPr>
        <w:t>证券</w:t>
      </w:r>
      <w:r>
        <w:rPr>
          <w:rFonts w:ascii="宋体" w:hAnsi="宋体" w:cs="Arial" w:hint="eastAsia"/>
          <w:sz w:val="24"/>
        </w:rPr>
        <w:t>交易结算资金的存管、记载交易结算资金的变动明细以及场内证券交易清算，并与基金托管</w:t>
      </w:r>
      <w:r>
        <w:rPr>
          <w:rFonts w:ascii="宋体" w:hAnsi="宋体" w:cs="Arial"/>
          <w:sz w:val="24"/>
        </w:rPr>
        <w:t>人</w:t>
      </w:r>
      <w:r>
        <w:rPr>
          <w:rFonts w:ascii="宋体" w:hAnsi="宋体" w:cs="Arial" w:hint="eastAsia"/>
          <w:sz w:val="24"/>
        </w:rPr>
        <w:t>开立的托管账户建立第三方存管关系。</w:t>
      </w:r>
    </w:p>
    <w:p w14:paraId="5AFB787C" w14:textId="77777777" w:rsidR="00E17FEC" w:rsidRDefault="00995857">
      <w:pPr>
        <w:spacing w:line="360" w:lineRule="auto"/>
        <w:ind w:firstLineChars="200" w:firstLine="480"/>
        <w:contextualSpacing/>
        <w:rPr>
          <w:rFonts w:ascii="宋体" w:hAnsi="宋体"/>
          <w:sz w:val="24"/>
        </w:rPr>
      </w:pPr>
      <w:r>
        <w:rPr>
          <w:rFonts w:ascii="宋体" w:hAnsi="宋体" w:cs="Arial" w:hint="eastAsia"/>
          <w:sz w:val="24"/>
        </w:rPr>
        <w:t>基金托管人和基金管理人不得出借或转让证券账户、证券交易资金账户，亦不</w:t>
      </w:r>
      <w:r>
        <w:rPr>
          <w:rFonts w:ascii="宋体" w:hAnsi="宋体" w:cs="Arial" w:hint="eastAsia"/>
          <w:sz w:val="24"/>
        </w:rPr>
        <w:lastRenderedPageBreak/>
        <w:t>得使用证券账户或证券交易资金账户进行本基金业务以外的活动。本基金通过证券经纪机构进行</w:t>
      </w:r>
      <w:r>
        <w:rPr>
          <w:rFonts w:ascii="宋体" w:hAnsi="宋体" w:hint="eastAsia"/>
          <w:sz w:val="24"/>
        </w:rPr>
        <w:t>的</w:t>
      </w:r>
      <w:r>
        <w:rPr>
          <w:rFonts w:ascii="宋体" w:hAnsi="宋体" w:cs="Arial" w:hint="eastAsia"/>
          <w:sz w:val="24"/>
        </w:rPr>
        <w:t>交易由证券经纪机构作为结算参与人代理本基金进行结算</w:t>
      </w:r>
      <w:r>
        <w:rPr>
          <w:rFonts w:ascii="宋体" w:hAnsi="宋体" w:hint="eastAsia"/>
          <w:sz w:val="24"/>
        </w:rPr>
        <w:t>。</w:t>
      </w:r>
    </w:p>
    <w:p w14:paraId="7C4A0F6D" w14:textId="77777777" w:rsidR="00E17FEC" w:rsidRDefault="00995857">
      <w:pPr>
        <w:spacing w:line="360" w:lineRule="auto"/>
        <w:ind w:firstLineChars="200" w:firstLine="480"/>
        <w:contextualSpacing/>
        <w:rPr>
          <w:rFonts w:ascii="宋体" w:hAnsi="宋体" w:cs="Arial"/>
          <w:sz w:val="24"/>
        </w:rPr>
      </w:pPr>
      <w:r>
        <w:rPr>
          <w:rFonts w:ascii="宋体" w:hAnsi="宋体" w:cs="Arial"/>
          <w:sz w:val="24"/>
        </w:rPr>
        <w:t>5.基金管理人承诺证券交易资金账户为主资金账户，不开立任何辅助资金账户；不为证券交易资金账户另行开立银行托管账户以外的其他银行账户。</w:t>
      </w:r>
    </w:p>
    <w:p w14:paraId="403EB565" w14:textId="77777777" w:rsidR="00E17FEC" w:rsidRDefault="00995857">
      <w:pPr>
        <w:spacing w:line="360" w:lineRule="auto"/>
        <w:ind w:firstLineChars="200" w:firstLine="480"/>
        <w:contextualSpacing/>
        <w:rPr>
          <w:rFonts w:ascii="宋体" w:hAnsi="宋体"/>
          <w:sz w:val="24"/>
        </w:rPr>
      </w:pPr>
      <w:r>
        <w:rPr>
          <w:rFonts w:ascii="宋体" w:hAnsi="宋体" w:cs="Arial"/>
          <w:sz w:val="24"/>
        </w:rPr>
        <w:t>6</w:t>
      </w:r>
      <w:r>
        <w:rPr>
          <w:rFonts w:ascii="宋体" w:hAnsi="宋体"/>
          <w:sz w:val="24"/>
        </w:rPr>
        <w:t>.若中国证监会或其他监管机构在本托管协议订立日之后允许基金从事其他投资品种的投资业务，涉及相关账户的开立、使用的，</w:t>
      </w:r>
      <w:r>
        <w:rPr>
          <w:rFonts w:ascii="宋体" w:hAnsi="宋体" w:hint="eastAsia"/>
          <w:color w:val="000000"/>
          <w:sz w:val="24"/>
        </w:rPr>
        <w:t>按有关规定开立、使用并管理；</w:t>
      </w:r>
      <w:r>
        <w:rPr>
          <w:rFonts w:ascii="宋体" w:hAnsi="宋体" w:hint="eastAsia"/>
          <w:sz w:val="24"/>
        </w:rPr>
        <w:t>若无相关规定，则基金托管人比照上述关于账户开立、使用的规定执行。</w:t>
      </w:r>
    </w:p>
    <w:p w14:paraId="40C1B3A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（五）债券托管账户的开设和管理</w:t>
      </w:r>
    </w:p>
    <w:p w14:paraId="62156D2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6B092B1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（六）其他账户的开立和管理</w:t>
      </w:r>
    </w:p>
    <w:p w14:paraId="59C6D47D"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基金管理人根据投资需要按照规定开立期货保证金账户及期货交易编码等。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3BD2B60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基金托管人和基金管理人应当在开户过程中相互配合，并提供所需资料。基金管理人保证所提供的账户开户材料的真实性和有效性，且在相关资料变更后及时将变更的资料提供给基金托管人。</w:t>
      </w:r>
    </w:p>
    <w:p w14:paraId="1D9DCC43"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14:paraId="49B1F623" w14:textId="77777777" w:rsidR="00E17FEC" w:rsidRDefault="00995857">
      <w:pPr>
        <w:spacing w:line="360" w:lineRule="auto"/>
        <w:ind w:firstLineChars="200" w:firstLine="480"/>
        <w:contextualSpacing/>
        <w:rPr>
          <w:rFonts w:ascii="宋体" w:hAnsi="宋体"/>
          <w:sz w:val="24"/>
        </w:rPr>
      </w:pPr>
      <w:r>
        <w:rPr>
          <w:rFonts w:ascii="宋体" w:hAnsi="宋体"/>
          <w:sz w:val="24"/>
        </w:rPr>
        <w:t>3.法律法规等有关规定对相关账户的开立和管理另有规定的，从其规定办理。</w:t>
      </w:r>
    </w:p>
    <w:p w14:paraId="4B3C87B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（七）基金财产投资的有关有价凭证等的保管</w:t>
      </w:r>
    </w:p>
    <w:p w14:paraId="6C2F39A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基金托管人以外机构实际有效控制的有价凭</w:t>
      </w:r>
      <w:r>
        <w:rPr>
          <w:rFonts w:ascii="宋体" w:hAnsi="宋体" w:hint="eastAsia"/>
          <w:sz w:val="24"/>
        </w:rPr>
        <w:lastRenderedPageBreak/>
        <w:t>证不承担保管责任。</w:t>
      </w:r>
    </w:p>
    <w:p w14:paraId="6AC3315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（八）与基金财产有关的重大合同的保管</w:t>
      </w:r>
    </w:p>
    <w:p w14:paraId="5D483AF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低于法律法规规定的最低期限</w:t>
      </w:r>
      <w:r>
        <w:rPr>
          <w:rFonts w:ascii="宋体" w:hAnsi="宋体"/>
          <w:sz w:val="24"/>
        </w:rPr>
        <w:t>。</w:t>
      </w:r>
    </w:p>
    <w:p w14:paraId="370AA1DF" w14:textId="77777777" w:rsidR="00E17FEC" w:rsidRDefault="00E17FEC">
      <w:pPr>
        <w:spacing w:line="360" w:lineRule="auto"/>
        <w:ind w:firstLineChars="200" w:firstLine="480"/>
        <w:contextualSpacing/>
        <w:rPr>
          <w:rFonts w:ascii="宋体" w:hAnsi="宋体"/>
          <w:sz w:val="24"/>
        </w:rPr>
      </w:pPr>
    </w:p>
    <w:bookmarkEnd w:id="76"/>
    <w:p w14:paraId="2DF0ABD3" w14:textId="77777777" w:rsidR="00E17FEC" w:rsidRDefault="00E17FEC">
      <w:pPr>
        <w:spacing w:line="360" w:lineRule="auto"/>
        <w:ind w:firstLineChars="200" w:firstLine="480"/>
        <w:contextualSpacing/>
        <w:rPr>
          <w:rFonts w:ascii="宋体" w:hAnsi="宋体"/>
          <w:sz w:val="24"/>
        </w:rPr>
        <w:sectPr w:rsidR="00E17FEC">
          <w:footerReference w:type="default" r:id="rId58"/>
          <w:pgSz w:w="11906" w:h="16838"/>
          <w:pgMar w:top="1418" w:right="1701" w:bottom="1418" w:left="1701" w:header="851" w:footer="992" w:gutter="0"/>
          <w:pgNumType w:start="1" w:chapStyle="1"/>
          <w:cols w:space="425"/>
          <w:docGrid w:type="lines" w:linePitch="312"/>
        </w:sectPr>
      </w:pPr>
    </w:p>
    <w:p w14:paraId="04FC7FE5"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79" w:name="_Toc119402712"/>
      <w:bookmarkStart w:id="80" w:name="_Toc110761798"/>
      <w:bookmarkStart w:id="81" w:name="_Toc120435785"/>
      <w:bookmarkStart w:id="82" w:name="_Toc89163370"/>
      <w:bookmarkStart w:id="83" w:name="_Toc86649724"/>
      <w:bookmarkStart w:id="84" w:name="_Toc118774805"/>
      <w:bookmarkStart w:id="85" w:name="_Toc86223244"/>
      <w:bookmarkStart w:id="86" w:name="_Toc3276853"/>
      <w:bookmarkStart w:id="87" w:name="_Toc86225293"/>
      <w:bookmarkStart w:id="88" w:name="_Toc84133787"/>
      <w:bookmarkStart w:id="89" w:name="_Toc110830494"/>
      <w:bookmarkStart w:id="90" w:name="_Toc86737931"/>
      <w:bookmarkStart w:id="91" w:name="_Toc384992696"/>
      <w:bookmarkStart w:id="92" w:name="_Toc348082034"/>
      <w:bookmarkStart w:id="93" w:name="_Toc86727357"/>
      <w:bookmarkStart w:id="94" w:name="_Toc118972650"/>
      <w:bookmarkStart w:id="95" w:name="_Toc86204790"/>
      <w:bookmarkStart w:id="96" w:name="_Toc108512360"/>
      <w:bookmarkStart w:id="97" w:name="_Toc84234436"/>
      <w:bookmarkStart w:id="98" w:name="_Toc110765662"/>
      <w:bookmarkStart w:id="99" w:name="_Toc118212952"/>
      <w:bookmarkStart w:id="100" w:name="_Toc86726441"/>
      <w:bookmarkStart w:id="101" w:name="_Toc84234389"/>
      <w:bookmarkStart w:id="102" w:name="CLAUSE_34806e539a8f471b92f0dfa4de179c52"/>
      <w:r>
        <w:rPr>
          <w:rFonts w:ascii="宋体" w:eastAsia="宋体" w:hAnsi="宋体"/>
        </w:rPr>
        <w:lastRenderedPageBreak/>
        <w:t xml:space="preserve"> </w:t>
      </w:r>
      <w:bookmarkStart w:id="103" w:name="CTS_34806e539a8f471b92f0dfa4de179c52"/>
      <w:bookmarkEnd w:id="103"/>
      <w:r>
        <w:rPr>
          <w:rFonts w:ascii="宋体" w:eastAsia="宋体" w:hAnsi="宋体" w:hint="eastAsia"/>
        </w:rPr>
        <w:t>指令的发送、确认及执行</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5C3172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085D3940"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基金管理人发送的指令包括电子指令和纸质指令。</w:t>
      </w:r>
    </w:p>
    <w:p w14:paraId="7B69F130"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电子指令包括基金管理人发送的电子指令（采用电子报文传送的电子指令、网上托管银行管理人客户端录入的电子指令）、自动产生的电子指令（网上托管银行托管人端根据预先设定的业务规则自动产生的电子指令）。管理人在启用电子指令前应使用传真或其他与基金托管人协商一致的方式向基金托管人发出启用函。启用函应注明启用的业务类型、启用日期等。启用函应加盖基金管理人公司公章。</w:t>
      </w:r>
    </w:p>
    <w:p w14:paraId="2A56AD5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管理人在发送纸质指令前，应出具传真指令启用函，注明发送传真的传真号、发送指令附件的邮箱地址以及指令确认人员及其联系方式。</w:t>
      </w:r>
    </w:p>
    <w:p w14:paraId="5A44691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（一）基金管理人对发送指令人员的书面授权</w:t>
      </w:r>
    </w:p>
    <w:p w14:paraId="0D81C2E6" w14:textId="77777777" w:rsidR="00E17FEC" w:rsidRDefault="00995857">
      <w:pPr>
        <w:autoSpaceDE w:val="0"/>
        <w:autoSpaceDN w:val="0"/>
        <w:spacing w:line="360" w:lineRule="auto"/>
        <w:ind w:firstLineChars="200" w:firstLine="480"/>
        <w:contextualSpacing/>
        <w:rPr>
          <w:rFonts w:ascii="宋体" w:hAnsi="宋体"/>
          <w:sz w:val="24"/>
        </w:rPr>
      </w:pPr>
      <w:r>
        <w:rPr>
          <w:rFonts w:ascii="宋体" w:hAnsi="宋体" w:hint="eastAsia"/>
          <w:sz w:val="24"/>
        </w:rPr>
        <w:t>授权通知的内容：基金管理人应事先向基金托管人提供书面授权通知（以下称“授权通知”），指定指令的被授权人员及被授权印鉴，授权通知的内容包括被授权人的名单、签章样本、权限和预留印鉴。授权通知应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未注明生效时间的以授权通知的落款日期为生效日期。基金管理人在此后三个工作日内将授权通知的正本送交基金托管人。授权通知书正本内容与基金托管人收到的传真不一致的，以基金托管人收到的传真为准。</w:t>
      </w:r>
    </w:p>
    <w:p w14:paraId="461EB5F7" w14:textId="77777777" w:rsidR="00E17FEC" w:rsidRDefault="00995857">
      <w:pPr>
        <w:tabs>
          <w:tab w:val="left" w:pos="1260"/>
        </w:tabs>
        <w:spacing w:line="360" w:lineRule="auto"/>
        <w:ind w:firstLineChars="200" w:firstLine="480"/>
        <w:contextualSpacing/>
        <w:rPr>
          <w:rFonts w:ascii="宋体" w:hAnsi="宋体"/>
          <w:sz w:val="24"/>
        </w:rPr>
      </w:pPr>
      <w:r>
        <w:rPr>
          <w:rFonts w:ascii="宋体" w:hAnsi="宋体" w:hint="eastAsia"/>
          <w:sz w:val="24"/>
        </w:rPr>
        <w:t>基金管理人和基金托管人对授权通知负有保密义务，其内容不得向授权人、被授权人及相关操作人员以外的任何人泄露，但法律法规规定或有权机关另有要求的除外。</w:t>
      </w:r>
    </w:p>
    <w:p w14:paraId="2337985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（二）指令的内容</w:t>
      </w:r>
    </w:p>
    <w:p w14:paraId="26DC837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投资指令是在管理本基金时，基金管理人向基金托管人发出的交易成交单、交易指令及资金划拨类指令（以下简称“指令”）。指令应加盖预留印鉴并由被授权人签章。基金管理人发给基金托管人的资金划拨类指令应写明款项事由、时间、金额、</w:t>
      </w:r>
      <w:r>
        <w:rPr>
          <w:rFonts w:ascii="宋体" w:hAnsi="宋体" w:hint="eastAsia"/>
          <w:sz w:val="24"/>
        </w:rPr>
        <w:lastRenderedPageBreak/>
        <w:t>出款和收款账户信息等。</w:t>
      </w:r>
    </w:p>
    <w:p w14:paraId="74AB829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（三）指令的发送、确认及执行的时间和程序</w:t>
      </w:r>
    </w:p>
    <w:p w14:paraId="72BD639F" w14:textId="77777777" w:rsidR="00E17FEC" w:rsidRDefault="00995857">
      <w:pPr>
        <w:spacing w:line="360" w:lineRule="auto"/>
        <w:ind w:firstLineChars="200" w:firstLine="480"/>
        <w:contextualSpacing/>
        <w:rPr>
          <w:rFonts w:ascii="宋体" w:hAnsi="宋体"/>
          <w:sz w:val="24"/>
        </w:rPr>
      </w:pPr>
      <w:r>
        <w:rPr>
          <w:rFonts w:ascii="宋体" w:hAnsi="宋体"/>
          <w:sz w:val="24"/>
        </w:rPr>
        <w:t>1.指令的发送</w:t>
      </w:r>
      <w:r>
        <w:rPr>
          <w:rFonts w:ascii="宋体" w:hAnsi="宋体" w:hint="eastAsia"/>
          <w:sz w:val="24"/>
        </w:rPr>
        <w:t>：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余额，并为基金托管人留出2个工作小时执行指令的时间。</w:t>
      </w:r>
    </w:p>
    <w:p w14:paraId="66A3AE57" w14:textId="77777777" w:rsidR="00E17FEC" w:rsidRDefault="00995857">
      <w:pPr>
        <w:spacing w:line="360" w:lineRule="auto"/>
        <w:ind w:firstLineChars="200" w:firstLine="480"/>
        <w:contextualSpacing/>
        <w:rPr>
          <w:rFonts w:ascii="宋体" w:hAnsi="宋体"/>
          <w:sz w:val="24"/>
        </w:rPr>
      </w:pPr>
      <w:r>
        <w:rPr>
          <w:rFonts w:ascii="宋体" w:hAnsi="宋体"/>
          <w:sz w:val="24"/>
        </w:rPr>
        <w:t>2.指令的确认</w:t>
      </w:r>
      <w:r>
        <w:rPr>
          <w:rFonts w:ascii="宋体" w:hAnsi="宋体" w:hint="eastAsia"/>
          <w:sz w:val="24"/>
        </w:rPr>
        <w:t>：基金管理人有义务在发送指令后与基金托管人进行电话确认。对于依照“授权通知”发出的指令，基金管理人不得否认其效力。</w:t>
      </w:r>
    </w:p>
    <w:p w14:paraId="306428E2" w14:textId="77777777" w:rsidR="00E17FEC" w:rsidRDefault="00995857">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指令的执行：基金托管人确认收到基金管理人发送的指令后，应对指令进行形式审查，验证指令的要素是否齐全，传真指令还应审核印鉴和签章是否和预留印鉴和签章样本相符，指令复核无误后应在规定期限内及时执行。</w:t>
      </w:r>
    </w:p>
    <w:p w14:paraId="0D81217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正常情况下由基金托管人依据基金管理人发出的出入金指令，通过期货结算银行银期转账系统进行出入金操作。</w:t>
      </w:r>
    </w:p>
    <w:p w14:paraId="2DECE6DC" w14:textId="77777777" w:rsidR="00E17FEC" w:rsidRDefault="00995857">
      <w:pPr>
        <w:autoSpaceDE w:val="0"/>
        <w:autoSpaceDN w:val="0"/>
        <w:spacing w:line="360" w:lineRule="auto"/>
        <w:ind w:firstLineChars="200" w:firstLine="480"/>
        <w:contextualSpacing/>
        <w:rPr>
          <w:rFonts w:ascii="宋体" w:hAnsi="宋体"/>
          <w:sz w:val="24"/>
        </w:rPr>
      </w:pPr>
      <w:r>
        <w:rPr>
          <w:rFonts w:ascii="宋体" w:hAnsi="宋体" w:hint="eastAsia"/>
          <w:sz w:val="24"/>
        </w:rPr>
        <w:t>当结算银行银期转账系统出现故障等其他紧急情况时，基金管理人可以使用非银期转账手工出入金。</w:t>
      </w:r>
    </w:p>
    <w:p w14:paraId="74615498" w14:textId="77777777" w:rsidR="00E17FEC" w:rsidRDefault="00995857">
      <w:pPr>
        <w:autoSpaceDE w:val="0"/>
        <w:autoSpaceDN w:val="0"/>
        <w:spacing w:line="360" w:lineRule="auto"/>
        <w:ind w:firstLineChars="200" w:firstLine="480"/>
        <w:contextualSpacing/>
        <w:rPr>
          <w:rFonts w:ascii="宋体" w:hAnsi="宋体"/>
          <w:sz w:val="24"/>
        </w:rPr>
      </w:pPr>
      <w:r>
        <w:rPr>
          <w:rFonts w:ascii="宋体" w:hAnsi="宋体" w:hint="eastAsia"/>
          <w:sz w:val="24"/>
        </w:rPr>
        <w:t>非银期转账手工出入金，入金由基金托管人依据基金管理人提供的划款指令划往期货公司指定账户后，由基金管理人通知期货公司进行入金操作，出金由基金管理人通知期货公司出金后，通知基金托管人，由基金托管人查询资金到账情况。</w:t>
      </w:r>
    </w:p>
    <w:p w14:paraId="54F740C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执行完期货出金或入金的操作后，基金管理人应通过其交易系统或终端系统查询出金划出情况和入金到账情况。</w:t>
      </w:r>
    </w:p>
    <w:p w14:paraId="2C7D125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在指令未执行的前提下，若基金管理人撤销指令，基金管理人应在原指令上注明“作废”、</w:t>
      </w:r>
      <w:r>
        <w:rPr>
          <w:rFonts w:ascii="宋体" w:hAnsi="宋体"/>
          <w:sz w:val="24"/>
        </w:rPr>
        <w:t>“废”等字样</w:t>
      </w:r>
      <w:r>
        <w:rPr>
          <w:rFonts w:ascii="宋体" w:hAnsi="宋体" w:hint="eastAsia"/>
          <w:sz w:val="24"/>
        </w:rPr>
        <w:t>并加盖预留印鉴及被授权人签章后传真给基金托管人，并电话通知基金托管人。</w:t>
      </w:r>
    </w:p>
    <w:p w14:paraId="5535A411" w14:textId="77777777" w:rsidR="00E17FEC" w:rsidRDefault="00995857">
      <w:pPr>
        <w:pStyle w:val="a7"/>
        <w:adjustRightInd/>
        <w:snapToGrid/>
        <w:spacing w:line="360" w:lineRule="auto"/>
        <w:contextualSpacing/>
        <w:rPr>
          <w:rFonts w:ascii="宋体" w:eastAsia="宋体" w:hAnsi="宋体"/>
        </w:rPr>
      </w:pPr>
      <w:r>
        <w:rPr>
          <w:rFonts w:ascii="宋体" w:eastAsia="宋体" w:hAnsi="宋体" w:hint="eastAsia"/>
        </w:rPr>
        <w:t>（四）基金管理人发送错误指令的情形和处理程序</w:t>
      </w:r>
    </w:p>
    <w:p w14:paraId="05E401D0"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.基金管理人发送错误指令的情形包括指令发送人员无权或超越权限发送指令，指令不能辨识或要素不全导致无法执行等情形。</w:t>
      </w:r>
    </w:p>
    <w:p w14:paraId="17262FAE"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当</w:t>
      </w:r>
      <w:r>
        <w:rPr>
          <w:rFonts w:ascii="宋体" w:hAnsi="宋体" w:hint="eastAsia"/>
          <w:sz w:val="24"/>
        </w:rPr>
        <w:t>基金托管人认为所接收指令为错误指令时，应及时与基金管理人进行电话确认，暂停指令的执行并要求基金管理人重新发送指令</w:t>
      </w:r>
      <w:r>
        <w:rPr>
          <w:rFonts w:ascii="宋体" w:hAnsi="宋体"/>
          <w:sz w:val="24"/>
        </w:rPr>
        <w:t>后再予以执行</w:t>
      </w:r>
      <w:r>
        <w:rPr>
          <w:rFonts w:ascii="宋体" w:hAnsi="宋体" w:hint="eastAsia"/>
          <w:sz w:val="24"/>
        </w:rPr>
        <w:t>，若由此造成的延误损失由基金管理人承担</w:t>
      </w:r>
      <w:r>
        <w:rPr>
          <w:rFonts w:ascii="宋体" w:hAnsi="宋体"/>
          <w:sz w:val="24"/>
        </w:rPr>
        <w:t>。</w:t>
      </w:r>
    </w:p>
    <w:p w14:paraId="2EFFD2A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lastRenderedPageBreak/>
        <w:t>（五）基金托管人依照法律法规暂缓、拒绝执行指令的情形和处理程序</w:t>
      </w:r>
    </w:p>
    <w:p w14:paraId="2740D2C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Pr>
          <w:rFonts w:ascii="宋体" w:hAnsi="宋体"/>
          <w:sz w:val="24"/>
        </w:rPr>
        <w:t>10个工作日内纠正，并报告中国证监会</w:t>
      </w:r>
      <w:r>
        <w:rPr>
          <w:rFonts w:ascii="宋体" w:hAnsi="宋体" w:hint="eastAsia"/>
          <w:sz w:val="24"/>
        </w:rPr>
        <w:t>。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14:paraId="7CE2865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（六）基金托管人未按照基金管理人指令执行的处理方法</w:t>
      </w:r>
    </w:p>
    <w:p w14:paraId="194888F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对于基金管理人的有效指令和通知，除非违反法律法规、基金合同、托管协议或具有第（四）项所述错误，基金托管人不得无故拒绝或拖延执行，否则应就基金或基金管理人由此产生的损失负赔偿责任。</w:t>
      </w:r>
    </w:p>
    <w:p w14:paraId="0EBBC2D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除因故意或过失致使基金、基金管理人的利益受到损害而负赔偿责任外，基金托管人对正确执行基金管理人的合法指令对基金财产造成的损失不承担赔偿责任。</w:t>
      </w:r>
    </w:p>
    <w:p w14:paraId="542EEB7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（七）更换被授权人员的程序</w:t>
      </w:r>
    </w:p>
    <w:p w14:paraId="270C8FB3" w14:textId="77777777" w:rsidR="00E17FEC" w:rsidRDefault="00995857">
      <w:pPr>
        <w:autoSpaceDE w:val="0"/>
        <w:autoSpaceDN w:val="0"/>
        <w:spacing w:line="360" w:lineRule="auto"/>
        <w:ind w:firstLineChars="200" w:firstLine="480"/>
        <w:contextualSpacing/>
        <w:rPr>
          <w:rFonts w:ascii="宋体" w:hAnsi="宋体"/>
          <w:sz w:val="24"/>
        </w:rPr>
      </w:pPr>
      <w:r>
        <w:rPr>
          <w:rFonts w:ascii="宋体" w:hAnsi="宋体" w:hint="eastAsia"/>
          <w:sz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14:paraId="27F17A7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基金托管人更换接收基金管理人指令的人员，应提前通知基金管理人。</w:t>
      </w:r>
    </w:p>
    <w:p w14:paraId="75F479DA" w14:textId="77777777" w:rsidR="00E17FEC" w:rsidRDefault="00995857">
      <w:pPr>
        <w:autoSpaceDE w:val="0"/>
        <w:autoSpaceDN w:val="0"/>
        <w:spacing w:line="360" w:lineRule="auto"/>
        <w:ind w:firstLineChars="200" w:firstLine="480"/>
        <w:contextualSpacing/>
        <w:rPr>
          <w:rFonts w:ascii="宋体" w:hAnsi="宋体"/>
          <w:sz w:val="24"/>
        </w:rPr>
      </w:pPr>
      <w:r>
        <w:rPr>
          <w:rFonts w:ascii="宋体" w:hAnsi="宋体" w:hint="eastAsia"/>
          <w:sz w:val="24"/>
        </w:rPr>
        <w:t>（八）指令的保管</w:t>
      </w:r>
    </w:p>
    <w:p w14:paraId="3EF390BD" w14:textId="77777777" w:rsidR="00E17FEC" w:rsidRDefault="00995857">
      <w:pPr>
        <w:autoSpaceDE w:val="0"/>
        <w:autoSpaceDN w:val="0"/>
        <w:spacing w:line="360" w:lineRule="auto"/>
        <w:ind w:firstLineChars="200" w:firstLine="480"/>
        <w:contextualSpacing/>
        <w:rPr>
          <w:rFonts w:ascii="宋体" w:hAnsi="宋体"/>
          <w:sz w:val="24"/>
        </w:rPr>
      </w:pPr>
      <w:r>
        <w:rPr>
          <w:rFonts w:ascii="宋体" w:hAnsi="宋体" w:hint="eastAsia"/>
          <w:sz w:val="24"/>
        </w:rPr>
        <w:t>指令若以传真形式发出，则正本由基金管理人保管，基金托管人保管指令传真件。当两者不一致时，以基金托管人收到的指令传真件为准。</w:t>
      </w:r>
    </w:p>
    <w:p w14:paraId="210475E8" w14:textId="77777777" w:rsidR="00E17FEC" w:rsidRDefault="00995857">
      <w:pPr>
        <w:autoSpaceDE w:val="0"/>
        <w:autoSpaceDN w:val="0"/>
        <w:spacing w:line="360" w:lineRule="auto"/>
        <w:ind w:firstLineChars="200" w:firstLine="480"/>
        <w:contextualSpacing/>
        <w:rPr>
          <w:rFonts w:ascii="宋体" w:hAnsi="宋体"/>
          <w:sz w:val="24"/>
        </w:rPr>
      </w:pPr>
      <w:r>
        <w:rPr>
          <w:rFonts w:ascii="宋体" w:hAnsi="宋体" w:hint="eastAsia"/>
          <w:sz w:val="24"/>
        </w:rPr>
        <w:t>（九）相关责任</w:t>
      </w:r>
    </w:p>
    <w:p w14:paraId="432C178D" w14:textId="77777777" w:rsidR="00E17FEC" w:rsidRDefault="00995857">
      <w:pPr>
        <w:autoSpaceDE w:val="0"/>
        <w:autoSpaceDN w:val="0"/>
        <w:spacing w:line="360" w:lineRule="auto"/>
        <w:ind w:firstLineChars="200" w:firstLine="480"/>
        <w:contextualSpacing/>
        <w:rPr>
          <w:rFonts w:ascii="宋体" w:hAnsi="宋体"/>
          <w:sz w:val="24"/>
        </w:rPr>
      </w:pPr>
      <w:r>
        <w:rPr>
          <w:rFonts w:ascii="宋体" w:hAnsi="宋体" w:hint="eastAsia"/>
          <w:sz w:val="24"/>
        </w:rPr>
        <w:lastRenderedPageBreak/>
        <w:t>对基金管理人在没有充足资金的情况下向基金托管人发出的指令致使资金未能及时清算所造成的损失由基金管理人承担。因基金管理人原因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人原因造成未能及时或正确执行合法合规的指令而导致基金财产受损的，基金托管人应承担相应的责任，但如遇到不可抗力的情况除外。</w:t>
      </w:r>
    </w:p>
    <w:p w14:paraId="0D906700"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托管人根据本协议相关规定履行形式审核职责，如果基金管理人的指令存在事实上未经授权、欺诈、伪造或未能及时提供授权通知等情形，基金托管人不承担因执行有关指令或拒绝执行有关指令而给基金管理人或基金资产或任何第三方带来的损失，全部责任由基金管理人承担，但基金托管人未按合同约定尽形式审核义务执行指令而造成损失的情形除外。</w:t>
      </w:r>
    </w:p>
    <w:bookmarkEnd w:id="102"/>
    <w:p w14:paraId="77CC1841" w14:textId="77777777" w:rsidR="00E17FEC" w:rsidRDefault="00E17FEC">
      <w:pPr>
        <w:spacing w:line="360" w:lineRule="auto"/>
        <w:ind w:firstLineChars="200" w:firstLine="480"/>
        <w:contextualSpacing/>
        <w:rPr>
          <w:rFonts w:ascii="宋体" w:hAnsi="宋体"/>
          <w:sz w:val="24"/>
        </w:rPr>
        <w:sectPr w:rsidR="00E17FEC">
          <w:footerReference w:type="default" r:id="rId59"/>
          <w:pgSz w:w="11906" w:h="16838"/>
          <w:pgMar w:top="1418" w:right="1701" w:bottom="1418" w:left="1701" w:header="851" w:footer="992" w:gutter="0"/>
          <w:pgNumType w:start="1" w:chapStyle="1"/>
          <w:cols w:space="425"/>
          <w:docGrid w:type="lines" w:linePitch="312"/>
        </w:sectPr>
      </w:pPr>
    </w:p>
    <w:p w14:paraId="6BCB6AB9"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04" w:name="_Toc86727358"/>
      <w:bookmarkStart w:id="105" w:name="_Toc86726442"/>
      <w:bookmarkStart w:id="106" w:name="_Toc384992697"/>
      <w:bookmarkStart w:id="107" w:name="_Toc118972651"/>
      <w:bookmarkStart w:id="108" w:name="_Toc120435786"/>
      <w:bookmarkStart w:id="109" w:name="_Toc110830495"/>
      <w:bookmarkStart w:id="110" w:name="_Toc119402713"/>
      <w:bookmarkStart w:id="111" w:name="_Toc86737932"/>
      <w:bookmarkStart w:id="112" w:name="_Toc86204791"/>
      <w:bookmarkStart w:id="113" w:name="_Toc89163371"/>
      <w:bookmarkStart w:id="114" w:name="_Toc84234437"/>
      <w:bookmarkStart w:id="115" w:name="_Toc86649725"/>
      <w:bookmarkStart w:id="116" w:name="_Toc118774806"/>
      <w:bookmarkStart w:id="117" w:name="_Toc86225294"/>
      <w:bookmarkStart w:id="118" w:name="_Toc118212953"/>
      <w:bookmarkStart w:id="119" w:name="_Toc84234390"/>
      <w:bookmarkStart w:id="120" w:name="_Toc110761799"/>
      <w:bookmarkStart w:id="121" w:name="_Toc3276854"/>
      <w:bookmarkStart w:id="122" w:name="_Toc110765663"/>
      <w:bookmarkStart w:id="123" w:name="_Toc348082035"/>
      <w:bookmarkStart w:id="124" w:name="_Toc86223245"/>
      <w:bookmarkStart w:id="125" w:name="_Toc108512361"/>
      <w:bookmarkStart w:id="126" w:name="_Toc84133788"/>
      <w:bookmarkStart w:id="127" w:name="CLAUSE_051bfcee3a0d41e3adef2ce664b42c36"/>
      <w:r>
        <w:rPr>
          <w:rFonts w:ascii="宋体" w:eastAsia="宋体" w:hAnsi="宋体"/>
        </w:rPr>
        <w:lastRenderedPageBreak/>
        <w:t xml:space="preserve"> </w:t>
      </w:r>
      <w:bookmarkStart w:id="128" w:name="CTS_051bfcee3a0d41e3adef2ce664b42c36"/>
      <w:bookmarkEnd w:id="128"/>
      <w:r>
        <w:rPr>
          <w:rFonts w:ascii="宋体" w:eastAsia="宋体" w:hAnsi="宋体" w:hint="eastAsia"/>
        </w:rPr>
        <w:t>交易及清算交收安排</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5CA37C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（一）选择代理证券、期货买卖的证券、期货经营机构</w:t>
      </w:r>
    </w:p>
    <w:p w14:paraId="69CC0319"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.基金管理人</w:t>
      </w:r>
      <w:r>
        <w:rPr>
          <w:rFonts w:ascii="宋体" w:hAnsi="宋体" w:cs="Arial" w:hint="eastAsia"/>
          <w:sz w:val="24"/>
        </w:rPr>
        <w:t>应制定</w:t>
      </w:r>
      <w:r>
        <w:rPr>
          <w:rFonts w:ascii="宋体" w:hAnsi="宋体" w:hint="eastAsia"/>
          <w:sz w:val="24"/>
        </w:rPr>
        <w:t>选择的标准和程序，并负责</w:t>
      </w:r>
      <w:r>
        <w:rPr>
          <w:rFonts w:ascii="宋体" w:hAnsi="宋体" w:cs="Arial" w:hint="eastAsia"/>
          <w:sz w:val="24"/>
        </w:rPr>
        <w:t>根据相关标准以及内部管理制度对有关证券经营机构进行考察后确定</w:t>
      </w:r>
      <w:r>
        <w:rPr>
          <w:rFonts w:ascii="宋体" w:hAnsi="宋体" w:hint="eastAsia"/>
          <w:sz w:val="24"/>
        </w:rPr>
        <w:t>代理本基金证券买卖证券经营机构，</w:t>
      </w:r>
      <w:r>
        <w:rPr>
          <w:rFonts w:ascii="宋体" w:hAnsi="宋体" w:cs="Arial" w:hint="eastAsia"/>
          <w:sz w:val="24"/>
        </w:rPr>
        <w:t>并承担相应责任。</w:t>
      </w:r>
      <w:r>
        <w:rPr>
          <w:rFonts w:ascii="宋体" w:hAnsi="宋体" w:hint="eastAsia"/>
          <w:sz w:val="24"/>
        </w:rPr>
        <w:t>基金管理人和被</w:t>
      </w:r>
      <w:r>
        <w:rPr>
          <w:rFonts w:ascii="宋体" w:hAnsi="宋体" w:cs="Arial" w:hint="eastAsia"/>
          <w:sz w:val="24"/>
        </w:rPr>
        <w:t>选择</w:t>
      </w:r>
      <w:r>
        <w:rPr>
          <w:rFonts w:ascii="宋体" w:hAnsi="宋体" w:hint="eastAsia"/>
          <w:sz w:val="24"/>
        </w:rPr>
        <w:t>的证券经营机构签订</w:t>
      </w:r>
      <w:r>
        <w:rPr>
          <w:rFonts w:ascii="宋体" w:hAnsi="宋体" w:cs="Arial" w:hint="eastAsia"/>
          <w:sz w:val="24"/>
        </w:rPr>
        <w:t>证券经纪合同或其他约定的形式，由</w:t>
      </w:r>
      <w:r>
        <w:rPr>
          <w:rFonts w:ascii="宋体" w:hAnsi="宋体" w:hint="eastAsia"/>
          <w:sz w:val="24"/>
        </w:rPr>
        <w:t>基金管理人通知基金托管人，并</w:t>
      </w:r>
      <w:r>
        <w:rPr>
          <w:rFonts w:ascii="宋体" w:hAnsi="宋体" w:cs="Arial" w:hint="eastAsia"/>
          <w:sz w:val="24"/>
        </w:rPr>
        <w:t>按法律法规</w:t>
      </w:r>
      <w:r>
        <w:rPr>
          <w:rFonts w:ascii="宋体" w:hAnsi="宋体" w:cs="Arial"/>
          <w:sz w:val="24"/>
        </w:rPr>
        <w:t>要求</w:t>
      </w:r>
      <w:r>
        <w:rPr>
          <w:rFonts w:ascii="宋体" w:hAnsi="宋体" w:cs="Arial" w:hint="eastAsia"/>
          <w:sz w:val="24"/>
        </w:rPr>
        <w:t>在法定信息披露报告中披露有关内容。</w:t>
      </w:r>
      <w:r>
        <w:rPr>
          <w:rFonts w:ascii="宋体" w:hAnsi="宋体" w:hint="eastAsia"/>
          <w:sz w:val="24"/>
        </w:rPr>
        <w:t>基金管理人</w:t>
      </w:r>
      <w:r>
        <w:rPr>
          <w:rFonts w:ascii="宋体" w:hAnsi="宋体" w:cs="Arial" w:hint="eastAsia"/>
          <w:sz w:val="24"/>
        </w:rPr>
        <w:t>、</w:t>
      </w:r>
      <w:r>
        <w:rPr>
          <w:rFonts w:ascii="宋体" w:hAnsi="宋体" w:hint="eastAsia"/>
          <w:sz w:val="24"/>
        </w:rPr>
        <w:t>基金托管</w:t>
      </w:r>
      <w:r>
        <w:rPr>
          <w:rFonts w:ascii="宋体" w:hAnsi="宋体" w:cs="Arial" w:hint="eastAsia"/>
          <w:sz w:val="24"/>
        </w:rPr>
        <w:t>人和</w:t>
      </w:r>
      <w:r>
        <w:rPr>
          <w:rFonts w:ascii="宋体" w:hAnsi="宋体" w:hint="eastAsia"/>
          <w:sz w:val="24"/>
        </w:rPr>
        <w:t>证券</w:t>
      </w:r>
      <w:r>
        <w:rPr>
          <w:rFonts w:ascii="宋体" w:hAnsi="宋体" w:cs="Arial" w:hint="eastAsia"/>
          <w:sz w:val="24"/>
        </w:rPr>
        <w:t>经营</w:t>
      </w:r>
      <w:r>
        <w:rPr>
          <w:rFonts w:ascii="宋体" w:hAnsi="宋体" w:hint="eastAsia"/>
          <w:sz w:val="24"/>
        </w:rPr>
        <w:t>机构</w:t>
      </w:r>
      <w:r>
        <w:rPr>
          <w:rFonts w:ascii="宋体" w:hAnsi="宋体" w:cs="Arial" w:hint="eastAsia"/>
          <w:sz w:val="24"/>
        </w:rPr>
        <w:t>可就本</w:t>
      </w:r>
      <w:r>
        <w:rPr>
          <w:rFonts w:ascii="宋体" w:hAnsi="宋体" w:hint="eastAsia"/>
          <w:sz w:val="24"/>
        </w:rPr>
        <w:t>基金</w:t>
      </w:r>
      <w:r>
        <w:rPr>
          <w:rFonts w:ascii="宋体" w:hAnsi="宋体" w:cs="Arial" w:hint="eastAsia"/>
          <w:sz w:val="24"/>
        </w:rPr>
        <w:t>参与</w:t>
      </w:r>
      <w:r>
        <w:rPr>
          <w:rFonts w:ascii="宋体" w:hAnsi="宋体" w:hint="eastAsia"/>
          <w:sz w:val="24"/>
        </w:rPr>
        <w:t>证券</w:t>
      </w:r>
      <w:r>
        <w:rPr>
          <w:rFonts w:ascii="宋体" w:hAnsi="宋体" w:cs="Arial" w:hint="eastAsia"/>
          <w:sz w:val="24"/>
        </w:rPr>
        <w:t>交易的具体事项另行签订</w:t>
      </w:r>
      <w:r>
        <w:rPr>
          <w:rFonts w:ascii="宋体" w:hAnsi="宋体" w:hint="eastAsia"/>
          <w:sz w:val="24"/>
        </w:rPr>
        <w:t>证券</w:t>
      </w:r>
      <w:r>
        <w:rPr>
          <w:rFonts w:ascii="宋体" w:hAnsi="宋体" w:cs="Arial" w:hint="eastAsia"/>
          <w:sz w:val="24"/>
        </w:rPr>
        <w:t>经纪服务协议</w:t>
      </w:r>
      <w:r>
        <w:rPr>
          <w:rFonts w:ascii="宋体" w:hAnsi="宋体" w:hint="eastAsia"/>
          <w:sz w:val="24"/>
        </w:rPr>
        <w:t>。</w:t>
      </w:r>
    </w:p>
    <w:p w14:paraId="529FBC82"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550FACA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基金管理人所选择的期货公司负责办理委托资产的期货交易的清算交割。</w:t>
      </w:r>
    </w:p>
    <w:p w14:paraId="556066C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14:paraId="6E54AD4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正常情况下当日交易结算报告的发送时间应在交易日当日的</w:t>
      </w:r>
      <w:r>
        <w:rPr>
          <w:rFonts w:ascii="宋体" w:hAnsi="宋体"/>
          <w:sz w:val="24"/>
        </w:rPr>
        <w:t>17：00之前。因交易所原因而造成数据延迟发送的，基金管理人应及时通知基金托管人，并在恢复后告知期货公司立即发送至基金托管人，并电话确认数据接收状况。</w:t>
      </w:r>
      <w:r>
        <w:rPr>
          <w:rFonts w:ascii="宋体" w:hAnsi="宋体" w:hint="eastAsia"/>
          <w:sz w:val="24"/>
        </w:rPr>
        <w:t>若期货公司发送的期货数据有误，重新向基金管理人、基金托管人发送的，基金管理人应责成期货公司在发送新的期货数据后立即通知基金托管人，并电话确认数据接收状况。</w:t>
      </w:r>
    </w:p>
    <w:p w14:paraId="4188385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基金管理人应责成其选择的期货公司对发送的数据的准确性、完整性、真实性负责。</w:t>
      </w:r>
    </w:p>
    <w:p w14:paraId="21E70AD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由于交易结算报告的记载事项出现与实际交易结果和权益不符造成本基金估值计算错误的，应由基金管理人负责向数据发送方追偿，基金托管人不承担责任。</w:t>
      </w:r>
    </w:p>
    <w:p w14:paraId="3797F01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（二）基金投资证券后的清算交收安排</w:t>
      </w:r>
    </w:p>
    <w:p w14:paraId="5AE354BC" w14:textId="77777777" w:rsidR="00E17FEC" w:rsidRDefault="00995857">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本基金通过证券经纪机构进行的交易由证券经纪机构作为结算参与人代理本</w:t>
      </w:r>
      <w:r>
        <w:rPr>
          <w:rFonts w:ascii="宋体" w:hAnsi="宋体" w:cs="Tahoma" w:hint="eastAsia"/>
          <w:color w:val="000000"/>
          <w:sz w:val="24"/>
        </w:rPr>
        <w:lastRenderedPageBreak/>
        <w:t>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w:t>
      </w:r>
      <w:r>
        <w:rPr>
          <w:rFonts w:ascii="宋体" w:hAnsi="宋体" w:cs="Tahoma"/>
          <w:color w:val="000000"/>
          <w:sz w:val="24"/>
        </w:rPr>
        <w:t>经纪服务</w:t>
      </w:r>
      <w:r>
        <w:rPr>
          <w:rFonts w:ascii="宋体" w:hAnsi="宋体" w:cs="Tahoma" w:hint="eastAsia"/>
          <w:color w:val="000000"/>
          <w:sz w:val="24"/>
        </w:rPr>
        <w:t>协议，用以具体明确三方在证券交易资金结算业务中的责任。</w:t>
      </w:r>
      <w:r>
        <w:rPr>
          <w:rFonts w:ascii="宋体" w:hAnsi="宋体" w:cs="Tahoma"/>
          <w:color w:val="000000"/>
          <w:sz w:val="24"/>
        </w:rPr>
        <w:t xml:space="preserve"> </w:t>
      </w:r>
    </w:p>
    <w:p w14:paraId="5E36A615" w14:textId="77777777" w:rsidR="00E17FEC" w:rsidRDefault="00995857">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对基金管理人的资金划拨指令，基金托管人在复核无误后应在规定期限内执行不得延误。</w:t>
      </w:r>
      <w:r>
        <w:rPr>
          <w:rFonts w:ascii="宋体" w:hAnsi="宋体" w:cs="Tahoma"/>
          <w:color w:val="000000"/>
          <w:sz w:val="24"/>
        </w:rPr>
        <w:t xml:space="preserve"> </w:t>
      </w:r>
    </w:p>
    <w:p w14:paraId="718E6225" w14:textId="77777777" w:rsidR="00E17FEC" w:rsidRDefault="00995857">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本基金投资于证券发生的所有场外交易的资金汇划，由基金托管人负责办理。</w:t>
      </w:r>
      <w:r>
        <w:rPr>
          <w:rFonts w:ascii="宋体" w:hAnsi="宋体" w:cs="Tahoma"/>
          <w:color w:val="000000"/>
          <w:sz w:val="24"/>
        </w:rPr>
        <w:t xml:space="preserve"> </w:t>
      </w:r>
    </w:p>
    <w:p w14:paraId="7E582291" w14:textId="77777777" w:rsidR="00E17FEC" w:rsidRDefault="00995857">
      <w:pPr>
        <w:spacing w:line="360" w:lineRule="auto"/>
        <w:ind w:firstLineChars="200" w:firstLine="480"/>
        <w:contextualSpacing/>
        <w:rPr>
          <w:rFonts w:ascii="宋体" w:hAnsi="宋体" w:cs="Arial"/>
          <w:sz w:val="24"/>
        </w:rPr>
      </w:pPr>
      <w:r>
        <w:rPr>
          <w:rFonts w:ascii="宋体" w:hAnsi="宋体" w:cs="Tahoma" w:hint="eastAsia"/>
          <w:color w:val="000000"/>
          <w:sz w:val="24"/>
        </w:rPr>
        <w:t>证券经纪机构代理本基金财产与中登公司完成证券交易及非交易涉及的证券资金结算业务，并承担由证券经纪机构原因造成的正常结算、交收业务无法完成的责任。</w:t>
      </w:r>
    </w:p>
    <w:p w14:paraId="1633221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（三）基金申购、赎回和转换业务处理的基本规定</w:t>
      </w:r>
    </w:p>
    <w:p w14:paraId="42AEB6B9" w14:textId="77777777" w:rsidR="00E17FEC" w:rsidRDefault="00995857">
      <w:pPr>
        <w:spacing w:line="360" w:lineRule="auto"/>
        <w:ind w:firstLineChars="200" w:firstLine="480"/>
        <w:contextualSpacing/>
        <w:rPr>
          <w:rFonts w:ascii="宋体" w:hAnsi="宋体"/>
          <w:sz w:val="24"/>
        </w:rPr>
      </w:pPr>
      <w:r>
        <w:rPr>
          <w:rFonts w:ascii="宋体" w:hAnsi="宋体"/>
          <w:sz w:val="24"/>
        </w:rPr>
        <w:t>1.基金份额申购、赎回</w:t>
      </w:r>
      <w:r>
        <w:rPr>
          <w:rFonts w:ascii="宋体" w:hAnsi="宋体" w:hint="eastAsia"/>
          <w:sz w:val="24"/>
        </w:rPr>
        <w:t>、转换的确认、清算由基金管理人或其委托的登记机构负责。</w:t>
      </w:r>
    </w:p>
    <w:p w14:paraId="43A4BB29" w14:textId="77777777" w:rsidR="00E17FEC" w:rsidRDefault="00995857">
      <w:pPr>
        <w:spacing w:line="360" w:lineRule="auto"/>
        <w:ind w:firstLineChars="200" w:firstLine="480"/>
        <w:contextualSpacing/>
        <w:rPr>
          <w:rFonts w:ascii="宋体" w:hAnsi="宋体"/>
          <w:sz w:val="24"/>
        </w:rPr>
      </w:pPr>
      <w:r>
        <w:rPr>
          <w:rFonts w:ascii="宋体" w:hAnsi="宋体"/>
          <w:sz w:val="24"/>
        </w:rPr>
        <w:t>2.基金管理人应将每个开放日的申购、赎回、转换开放式基金的数据传送给基金托管人。基金管理人应对传递的申购、赎回、转换开放式基金的数据真实性</w:t>
      </w:r>
      <w:r>
        <w:rPr>
          <w:rFonts w:ascii="宋体" w:hAnsi="宋体" w:hint="eastAsia"/>
          <w:sz w:val="24"/>
        </w:rPr>
        <w:t>和准确性负责。基金托管人应及时查收申购及转入资金的到账情况并根据基金管理人指令及时划付赎回及转出款项。</w:t>
      </w:r>
    </w:p>
    <w:p w14:paraId="21ACF993" w14:textId="77777777" w:rsidR="00E17FEC" w:rsidRDefault="00995857">
      <w:pPr>
        <w:spacing w:line="360" w:lineRule="auto"/>
        <w:ind w:firstLineChars="200" w:firstLine="480"/>
        <w:contextualSpacing/>
        <w:rPr>
          <w:rFonts w:ascii="宋体" w:hAnsi="宋体"/>
          <w:sz w:val="24"/>
        </w:rPr>
      </w:pPr>
      <w:r>
        <w:rPr>
          <w:rFonts w:ascii="宋体" w:hAnsi="宋体"/>
          <w:sz w:val="24"/>
        </w:rPr>
        <w:t>3.基金管理人应保证本基金（或本基金管理人委托）的</w:t>
      </w:r>
      <w:r>
        <w:rPr>
          <w:rFonts w:ascii="宋体" w:hAnsi="宋体" w:hint="eastAsia"/>
          <w:sz w:val="24"/>
        </w:rPr>
        <w:t>注册登记机构每个工作日</w:t>
      </w:r>
      <w:r>
        <w:rPr>
          <w:rFonts w:ascii="宋体" w:hAnsi="宋体"/>
          <w:sz w:val="24"/>
        </w:rPr>
        <w:t>15:00前向基金托管人发送前一开放日上述有关数据，并保证相关数据的准确、完整。</w:t>
      </w:r>
    </w:p>
    <w:p w14:paraId="03EF428A" w14:textId="77777777" w:rsidR="00E17FEC" w:rsidRDefault="00995857">
      <w:pPr>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0CD85C36" w14:textId="77777777" w:rsidR="00E17FEC" w:rsidRDefault="00995857">
      <w:pPr>
        <w:spacing w:line="360" w:lineRule="auto"/>
        <w:ind w:firstLineChars="200" w:firstLine="480"/>
        <w:contextualSpacing/>
        <w:rPr>
          <w:rFonts w:ascii="宋体" w:hAnsi="宋体"/>
          <w:sz w:val="24"/>
        </w:rPr>
      </w:pPr>
      <w:r>
        <w:rPr>
          <w:rFonts w:ascii="宋体" w:hAnsi="宋体"/>
          <w:sz w:val="24"/>
        </w:rPr>
        <w:t>5.如基金管理人委托其他机构办理本基金的</w:t>
      </w:r>
      <w:r>
        <w:rPr>
          <w:rFonts w:ascii="宋体" w:hAnsi="宋体" w:hint="eastAsia"/>
          <w:sz w:val="24"/>
        </w:rPr>
        <w:t>注册登记业务，应保证上述相关事宜按时进行。否则，由基金管理人承担相应的责任。</w:t>
      </w:r>
    </w:p>
    <w:p w14:paraId="6356404F" w14:textId="77777777" w:rsidR="00E17FEC" w:rsidRDefault="00995857">
      <w:pPr>
        <w:spacing w:line="360" w:lineRule="auto"/>
        <w:ind w:firstLineChars="200" w:firstLine="480"/>
        <w:contextualSpacing/>
        <w:rPr>
          <w:rFonts w:ascii="宋体" w:hAnsi="宋体"/>
          <w:sz w:val="24"/>
        </w:rPr>
      </w:pPr>
      <w:r>
        <w:rPr>
          <w:rFonts w:ascii="宋体" w:hAnsi="宋体"/>
          <w:sz w:val="24"/>
        </w:rPr>
        <w:t>6.关于清算专用账户的设立和管理</w:t>
      </w:r>
    </w:p>
    <w:p w14:paraId="7EEDF57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为满足申购、赎回、转换及分红资金汇划的需要，由基金管理人开立资金清算的专用账户，该账户由注册登记机构管理。</w:t>
      </w:r>
    </w:p>
    <w:p w14:paraId="09EF6746" w14:textId="77777777" w:rsidR="00E17FEC" w:rsidRDefault="00995857">
      <w:pPr>
        <w:spacing w:line="360" w:lineRule="auto"/>
        <w:ind w:firstLineChars="200" w:firstLine="480"/>
        <w:contextualSpacing/>
        <w:rPr>
          <w:rFonts w:ascii="宋体" w:hAnsi="宋体"/>
          <w:sz w:val="24"/>
        </w:rPr>
      </w:pPr>
      <w:r>
        <w:rPr>
          <w:rFonts w:ascii="宋体" w:hAnsi="宋体"/>
          <w:sz w:val="24"/>
        </w:rPr>
        <w:t>7.对于基金申购</w:t>
      </w:r>
      <w:r>
        <w:rPr>
          <w:rFonts w:ascii="宋体" w:hAnsi="宋体" w:hint="eastAsia"/>
          <w:sz w:val="24"/>
        </w:rPr>
        <w:t>、转换过程中产生的应收款，应由基金管理人负责与有关当事</w:t>
      </w:r>
      <w:r>
        <w:rPr>
          <w:rFonts w:ascii="宋体" w:hAnsi="宋体" w:hint="eastAsia"/>
          <w:sz w:val="24"/>
        </w:rPr>
        <w:lastRenderedPageBreak/>
        <w:t>人确定到账日期并通知基金托管人，到账日应收款没有到达基金资金账户的，基金托管人应及时通知基金管理人采取措施进行催收，由此造成基金损失的，基金管理人应负责向有关当事人追偿基金的损失。</w:t>
      </w:r>
    </w:p>
    <w:p w14:paraId="40599802" w14:textId="77777777" w:rsidR="00E17FEC" w:rsidRDefault="00995857">
      <w:pPr>
        <w:spacing w:line="360" w:lineRule="auto"/>
        <w:ind w:firstLineChars="200" w:firstLine="480"/>
        <w:contextualSpacing/>
        <w:rPr>
          <w:rFonts w:ascii="宋体" w:hAnsi="宋体"/>
          <w:sz w:val="24"/>
        </w:rPr>
      </w:pPr>
      <w:r>
        <w:rPr>
          <w:rFonts w:ascii="宋体" w:hAnsi="宋体"/>
          <w:sz w:val="24"/>
        </w:rPr>
        <w:t>8.赎回</w:t>
      </w:r>
      <w:r>
        <w:rPr>
          <w:rFonts w:ascii="宋体" w:hAnsi="宋体" w:hint="eastAsia"/>
          <w:sz w:val="24"/>
        </w:rPr>
        <w:t>、转换资金划付规定</w:t>
      </w:r>
    </w:p>
    <w:p w14:paraId="48296BA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14:paraId="7814BBB6" w14:textId="77777777" w:rsidR="00E17FEC" w:rsidRDefault="00995857">
      <w:pPr>
        <w:spacing w:line="360" w:lineRule="auto"/>
        <w:ind w:firstLineChars="200" w:firstLine="480"/>
        <w:contextualSpacing/>
        <w:rPr>
          <w:rFonts w:ascii="宋体" w:hAnsi="宋体"/>
          <w:sz w:val="24"/>
        </w:rPr>
      </w:pPr>
      <w:r>
        <w:rPr>
          <w:rFonts w:ascii="宋体" w:hAnsi="宋体"/>
          <w:sz w:val="24"/>
        </w:rPr>
        <w:t>9.资金指令</w:t>
      </w:r>
    </w:p>
    <w:p w14:paraId="4E723C9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除申购款项到达基金资金账户需双方按约定方式对账外，与投资有关的付款、赎回和分红资金划拨时，基金管理人需向基金托管人下达指令。</w:t>
      </w:r>
    </w:p>
    <w:p w14:paraId="0F8B2FE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资金指令的格式、内容、发送、接收和确认方式等与投资指令相同。</w:t>
      </w:r>
    </w:p>
    <w:p w14:paraId="69BA13A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（四）资金净额结算</w:t>
      </w:r>
    </w:p>
    <w:p w14:paraId="2290B9D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交收日</w:t>
      </w:r>
      <w:r>
        <w:rPr>
          <w:rFonts w:ascii="宋体" w:hAnsi="宋体"/>
          <w:sz w:val="24"/>
        </w:rPr>
        <w:t>15:00</w:t>
      </w:r>
      <w:r>
        <w:rPr>
          <w:rFonts w:ascii="宋体" w:hAnsi="宋体" w:hint="eastAsia"/>
          <w:sz w:val="24"/>
        </w:rPr>
        <w:t>时之前从基金清算账户划往基金资金账户，基金管理人通过基金托管人提供的方式查询结果；当存在资金账户净应付额时，基金托管人按照基金管理人的划款指令将托管账户净应付额在交收日及时划往基金清算账户，基金管理人通过基金托管人提供的方式查询结果。</w:t>
      </w:r>
    </w:p>
    <w:p w14:paraId="25376F70" w14:textId="77777777" w:rsidR="00E17FEC" w:rsidRDefault="00995857">
      <w:pPr>
        <w:spacing w:line="360" w:lineRule="auto"/>
        <w:ind w:firstLineChars="200" w:firstLine="480"/>
        <w:contextualSpacing/>
        <w:rPr>
          <w:rFonts w:ascii="宋体" w:hAnsi="宋体"/>
          <w:i/>
          <w:sz w:val="24"/>
        </w:rPr>
      </w:pPr>
      <w:r>
        <w:rPr>
          <w:rFonts w:ascii="宋体" w:hAnsi="宋体" w:hint="eastAsia"/>
          <w:sz w:val="24"/>
        </w:rPr>
        <w:t>当存在资金账户净应付额时，如基金银行账户有足够的资金，基金托管人应按时划付；因基金资金账户没有足够的资金，导致基金托管人不能按时划付，基金托管人应及时通知基金管理人，基金托管人不承担责任；如系基金管理人的原因造成，责任由基金管理人承担，基金托管人不承担垫款义务。</w:t>
      </w:r>
    </w:p>
    <w:p w14:paraId="5ABAE3D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（五）基金现金分红</w:t>
      </w:r>
    </w:p>
    <w:p w14:paraId="4EC3AC3C" w14:textId="77777777" w:rsidR="00E17FEC" w:rsidRDefault="00995857">
      <w:pPr>
        <w:spacing w:line="360" w:lineRule="auto"/>
        <w:ind w:firstLineChars="200" w:firstLine="480"/>
        <w:contextualSpacing/>
        <w:rPr>
          <w:rFonts w:ascii="宋体" w:hAnsi="宋体"/>
          <w:sz w:val="24"/>
        </w:rPr>
      </w:pPr>
      <w:r>
        <w:rPr>
          <w:rFonts w:ascii="宋体" w:hAnsi="宋体"/>
          <w:sz w:val="24"/>
        </w:rPr>
        <w:t>1.基金管理人确定分红方案通知基金托管人，双方核定后依照《信息披露办法》的有关规定在中国证监会</w:t>
      </w:r>
      <w:r>
        <w:rPr>
          <w:rFonts w:ascii="宋体" w:hAnsi="宋体" w:hint="eastAsia"/>
          <w:sz w:val="24"/>
        </w:rPr>
        <w:t>规定媒介上公告。</w:t>
      </w:r>
    </w:p>
    <w:p w14:paraId="43B360AC" w14:textId="77777777" w:rsidR="00E17FEC" w:rsidRDefault="00995857">
      <w:pPr>
        <w:spacing w:line="360" w:lineRule="auto"/>
        <w:ind w:firstLineChars="200" w:firstLine="480"/>
        <w:contextualSpacing/>
        <w:rPr>
          <w:rFonts w:ascii="宋体" w:hAnsi="宋体"/>
          <w:sz w:val="24"/>
        </w:rPr>
      </w:pPr>
      <w:r>
        <w:rPr>
          <w:rFonts w:ascii="宋体" w:hAnsi="宋体"/>
          <w:sz w:val="24"/>
        </w:rPr>
        <w:t>2.基金托管人和基金管理人对基金分红进行账务处理并核对后，基金管理人向基金托管人发送现金红利的划款指令，基金托管人应</w:t>
      </w:r>
      <w:r>
        <w:rPr>
          <w:rFonts w:ascii="宋体" w:hAnsi="宋体" w:hint="eastAsia"/>
          <w:sz w:val="24"/>
        </w:rPr>
        <w:t>根据指令及时将分红款划往基金清算账户。</w:t>
      </w:r>
    </w:p>
    <w:p w14:paraId="53908F62" w14:textId="77777777" w:rsidR="00E17FEC" w:rsidRDefault="00995857">
      <w:pPr>
        <w:spacing w:line="360" w:lineRule="auto"/>
        <w:ind w:firstLineChars="200" w:firstLine="480"/>
        <w:contextualSpacing/>
        <w:rPr>
          <w:rFonts w:ascii="宋体" w:hAnsi="宋体"/>
          <w:sz w:val="24"/>
        </w:rPr>
      </w:pPr>
      <w:r>
        <w:rPr>
          <w:rFonts w:ascii="宋体" w:hAnsi="宋体"/>
          <w:sz w:val="24"/>
        </w:rPr>
        <w:lastRenderedPageBreak/>
        <w:t>3.基金管理人在下达指令时，应给基金托管人留出必需的划款时间。</w:t>
      </w:r>
    </w:p>
    <w:p w14:paraId="6BD987D4" w14:textId="77777777" w:rsidR="00E17FEC" w:rsidRDefault="00E17FEC">
      <w:pPr>
        <w:spacing w:line="360" w:lineRule="auto"/>
        <w:ind w:firstLineChars="200" w:firstLine="480"/>
        <w:contextualSpacing/>
        <w:rPr>
          <w:rFonts w:ascii="宋体" w:hAnsi="宋体"/>
          <w:sz w:val="24"/>
        </w:rPr>
      </w:pPr>
    </w:p>
    <w:p w14:paraId="133CB911" w14:textId="77777777" w:rsidR="00E17FEC" w:rsidRDefault="00E17FEC">
      <w:pPr>
        <w:spacing w:line="360" w:lineRule="auto"/>
        <w:ind w:firstLineChars="200" w:firstLine="480"/>
        <w:contextualSpacing/>
        <w:rPr>
          <w:rFonts w:ascii="宋体" w:hAnsi="宋体"/>
          <w:sz w:val="24"/>
        </w:rPr>
      </w:pPr>
    </w:p>
    <w:bookmarkEnd w:id="127"/>
    <w:p w14:paraId="1B948E21" w14:textId="77777777" w:rsidR="00E17FEC" w:rsidRDefault="00E17FEC">
      <w:pPr>
        <w:spacing w:line="360" w:lineRule="auto"/>
        <w:ind w:firstLineChars="200" w:firstLine="480"/>
        <w:contextualSpacing/>
        <w:rPr>
          <w:rFonts w:ascii="宋体" w:hAnsi="宋体"/>
          <w:sz w:val="24"/>
        </w:rPr>
        <w:sectPr w:rsidR="00E17FEC">
          <w:footerReference w:type="default" r:id="rId60"/>
          <w:pgSz w:w="11906" w:h="16838"/>
          <w:pgMar w:top="1418" w:right="1701" w:bottom="1418" w:left="1701" w:header="851" w:footer="992" w:gutter="0"/>
          <w:pgNumType w:start="1" w:chapStyle="1"/>
          <w:cols w:space="425"/>
          <w:docGrid w:type="lines" w:linePitch="312"/>
        </w:sectPr>
      </w:pPr>
    </w:p>
    <w:p w14:paraId="2D1D505F"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29" w:name="_Toc348082036"/>
      <w:bookmarkStart w:id="130" w:name="_Toc384992698"/>
      <w:bookmarkStart w:id="131" w:name="_Toc3276855"/>
      <w:bookmarkStart w:id="132" w:name="CLAUSE_91e51f2778d64c7db088a52e2454c65e"/>
      <w:r>
        <w:rPr>
          <w:rFonts w:ascii="宋体" w:eastAsia="宋体" w:hAnsi="宋体"/>
        </w:rPr>
        <w:lastRenderedPageBreak/>
        <w:t xml:space="preserve"> </w:t>
      </w:r>
      <w:bookmarkStart w:id="133" w:name="CTS_91e51f2778d64c7db088a52e2454c65e"/>
      <w:bookmarkEnd w:id="133"/>
      <w:r>
        <w:rPr>
          <w:rFonts w:ascii="宋体" w:eastAsia="宋体" w:hAnsi="宋体" w:hint="eastAsia"/>
        </w:rPr>
        <w:t>基金资产净值计算、估值和会计核算</w:t>
      </w:r>
      <w:bookmarkEnd w:id="129"/>
      <w:bookmarkEnd w:id="130"/>
      <w:bookmarkEnd w:id="131"/>
    </w:p>
    <w:p w14:paraId="58A111D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（一）基金资产净值的计算、复核与完成的时间及程序</w:t>
      </w:r>
    </w:p>
    <w:p w14:paraId="36357FCE" w14:textId="77777777" w:rsidR="00E17FEC" w:rsidRDefault="00995857">
      <w:pPr>
        <w:spacing w:line="360" w:lineRule="auto"/>
        <w:ind w:firstLineChars="200" w:firstLine="480"/>
        <w:contextualSpacing/>
        <w:rPr>
          <w:rFonts w:ascii="宋体" w:hAnsi="宋体"/>
          <w:sz w:val="24"/>
        </w:rPr>
      </w:pPr>
      <w:r>
        <w:rPr>
          <w:rFonts w:ascii="宋体" w:hAnsi="宋体"/>
          <w:sz w:val="24"/>
        </w:rPr>
        <w:t>1.基金资产净值</w:t>
      </w:r>
    </w:p>
    <w:p w14:paraId="3D74C57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基金资产净值是指基金资产总值减去基金负债后的价值。</w:t>
      </w:r>
    </w:p>
    <w:p w14:paraId="43C973C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基金份额净值是指每个工作日基金资产净值除以估值日基金份额总数，基金份额净值的计算，精确到</w:t>
      </w:r>
      <w:r>
        <w:rPr>
          <w:rFonts w:ascii="宋体" w:hAnsi="宋体"/>
          <w:sz w:val="24"/>
        </w:rPr>
        <w:t>0.0001</w:t>
      </w:r>
      <w:r>
        <w:rPr>
          <w:rFonts w:ascii="宋体" w:hAnsi="宋体" w:hint="eastAsia"/>
          <w:sz w:val="24"/>
        </w:rPr>
        <w:t>元，小数点后第五位四舍五入。基金管理人可以设立大额赎回情形下的净值精度应急调整机制。国家另有规定的，从其规定。</w:t>
      </w:r>
    </w:p>
    <w:p w14:paraId="226C511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基金管理人每个工作日计算基金净值信息，经基金托管人复核，按规定公告。</w:t>
      </w:r>
    </w:p>
    <w:p w14:paraId="306EF1F6" w14:textId="77777777" w:rsidR="00E17FEC" w:rsidRDefault="00995857">
      <w:pPr>
        <w:spacing w:line="360" w:lineRule="auto"/>
        <w:ind w:firstLineChars="200" w:firstLine="480"/>
        <w:contextualSpacing/>
        <w:rPr>
          <w:rFonts w:ascii="宋体" w:hAnsi="宋体"/>
          <w:sz w:val="24"/>
        </w:rPr>
      </w:pPr>
      <w:r>
        <w:rPr>
          <w:rFonts w:ascii="宋体" w:hAnsi="宋体"/>
          <w:sz w:val="24"/>
        </w:rPr>
        <w:t>2.复核程序</w:t>
      </w:r>
    </w:p>
    <w:p w14:paraId="2B453CB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基金管理人每工作日对基金资产进行估值后，将基金净值信息发送基金托管人，经基金托管人复核无误后，由基金管理人对外公布。</w:t>
      </w:r>
    </w:p>
    <w:p w14:paraId="1A3703DC" w14:textId="77777777" w:rsidR="00E17FEC" w:rsidRDefault="00995857">
      <w:pPr>
        <w:spacing w:line="360" w:lineRule="auto"/>
        <w:ind w:firstLineChars="200" w:firstLine="480"/>
        <w:contextualSpacing/>
        <w:rPr>
          <w:rFonts w:ascii="宋体" w:hAnsi="宋体"/>
          <w:sz w:val="24"/>
        </w:rPr>
      </w:pPr>
      <w:r>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w:t>
      </w:r>
      <w:r>
        <w:rPr>
          <w:rFonts w:ascii="宋体" w:hAnsi="宋体" w:hint="eastAsia"/>
          <w:sz w:val="24"/>
        </w:rPr>
        <w:t>信息</w:t>
      </w:r>
      <w:r>
        <w:rPr>
          <w:rFonts w:ascii="宋体" w:hAnsi="宋体"/>
          <w:sz w:val="24"/>
        </w:rPr>
        <w:t>的计算结果对外予以公布。</w:t>
      </w:r>
    </w:p>
    <w:p w14:paraId="4B9BDE6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（二）基金资产的估值</w:t>
      </w:r>
    </w:p>
    <w:p w14:paraId="35B0A45C" w14:textId="77777777" w:rsidR="00E17FEC" w:rsidRDefault="00995857">
      <w:pPr>
        <w:spacing w:line="360" w:lineRule="auto"/>
        <w:ind w:firstLineChars="200" w:firstLine="480"/>
        <w:contextualSpacing/>
        <w:rPr>
          <w:rStyle w:val="read"/>
          <w:rFonts w:ascii="宋体" w:hAnsi="宋体"/>
          <w:sz w:val="24"/>
        </w:rPr>
      </w:pPr>
      <w:r>
        <w:rPr>
          <w:rFonts w:ascii="宋体" w:hAnsi="宋体" w:hint="eastAsia"/>
          <w:sz w:val="24"/>
        </w:rPr>
        <w:t>基金管理人及基金托管人应当按照《基金合同》的约定进行估值。</w:t>
      </w:r>
    </w:p>
    <w:p w14:paraId="549E301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（三）基金份额净值错误的处理方式</w:t>
      </w:r>
    </w:p>
    <w:p w14:paraId="53A6E36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基金管理人及基金托管人应当按照《基金合同》的约定处理份额净值错误。</w:t>
      </w:r>
    </w:p>
    <w:p w14:paraId="446FB1F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（四）基金会计制度</w:t>
      </w:r>
    </w:p>
    <w:p w14:paraId="0C0B947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按国家有关部门规定的会计制度执行。</w:t>
      </w:r>
    </w:p>
    <w:p w14:paraId="334A9DF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（五）基金账册的建立</w:t>
      </w:r>
    </w:p>
    <w:p w14:paraId="509B3B0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6E33CEF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（六）基金财务报表与报告的编制和复核</w:t>
      </w:r>
    </w:p>
    <w:p w14:paraId="54978A48" w14:textId="77777777" w:rsidR="00E17FEC" w:rsidRDefault="00995857">
      <w:pPr>
        <w:spacing w:line="360" w:lineRule="auto"/>
        <w:ind w:firstLineChars="200" w:firstLine="480"/>
        <w:contextualSpacing/>
        <w:rPr>
          <w:rFonts w:ascii="宋体" w:hAnsi="宋体"/>
          <w:sz w:val="24"/>
        </w:rPr>
      </w:pPr>
      <w:r>
        <w:rPr>
          <w:rFonts w:ascii="宋体" w:hAnsi="宋体"/>
          <w:sz w:val="24"/>
        </w:rPr>
        <w:t>1.财务报表的编制</w:t>
      </w:r>
    </w:p>
    <w:p w14:paraId="54A0E0F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基金财务报表由基金管理人编制，基金托管人复核。</w:t>
      </w:r>
    </w:p>
    <w:p w14:paraId="3AE36AC0" w14:textId="77777777" w:rsidR="00E17FEC" w:rsidRDefault="00995857">
      <w:pPr>
        <w:spacing w:line="360" w:lineRule="auto"/>
        <w:ind w:firstLineChars="200" w:firstLine="480"/>
        <w:contextualSpacing/>
        <w:rPr>
          <w:rFonts w:ascii="宋体" w:hAnsi="宋体"/>
          <w:sz w:val="24"/>
        </w:rPr>
      </w:pPr>
      <w:r>
        <w:rPr>
          <w:rFonts w:ascii="宋体" w:hAnsi="宋体"/>
          <w:sz w:val="24"/>
        </w:rPr>
        <w:lastRenderedPageBreak/>
        <w:t>2.报表复核</w:t>
      </w:r>
    </w:p>
    <w:p w14:paraId="41832DB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607E1A93" w14:textId="77777777" w:rsidR="00E17FEC" w:rsidRDefault="00995857">
      <w:pPr>
        <w:spacing w:line="360" w:lineRule="auto"/>
        <w:ind w:firstLineChars="200" w:firstLine="480"/>
        <w:contextualSpacing/>
        <w:rPr>
          <w:rFonts w:ascii="宋体" w:hAnsi="宋体"/>
          <w:sz w:val="24"/>
        </w:rPr>
      </w:pPr>
      <w:r>
        <w:rPr>
          <w:rFonts w:ascii="宋体" w:hAnsi="宋体"/>
          <w:sz w:val="24"/>
        </w:rPr>
        <w:t>3.财务报表的编制与复核时间安排</w:t>
      </w:r>
    </w:p>
    <w:p w14:paraId="60CE69B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基金管理人、基金托管人应当在每月结束后</w:t>
      </w:r>
      <w:r>
        <w:rPr>
          <w:rFonts w:ascii="宋体" w:hAnsi="宋体"/>
          <w:sz w:val="24"/>
        </w:rPr>
        <w:t>5</w:t>
      </w:r>
      <w:r>
        <w:rPr>
          <w:rFonts w:ascii="宋体" w:hAnsi="宋体" w:hint="eastAsia"/>
          <w:sz w:val="24"/>
        </w:rPr>
        <w:t>个工作日内完成月度报表的编制及复核；基金管理人、基金托管人应当在每个季度结束之日起</w:t>
      </w:r>
      <w:r>
        <w:rPr>
          <w:rFonts w:ascii="宋体" w:hAnsi="宋体"/>
          <w:sz w:val="24"/>
        </w:rPr>
        <w:t>15</w:t>
      </w:r>
      <w:r>
        <w:rPr>
          <w:rFonts w:ascii="宋体" w:hAnsi="宋体" w:hint="eastAsia"/>
          <w:sz w:val="24"/>
        </w:rPr>
        <w:t>个工作日内，完成基金季度报告的编制及复核，将季度报告登载在规定网站上，并将季度报告提示性公告登载在规定报刊上。基金管理人、基金托管人应当在上半年结束之日起两个月内，完成基金中期报告的编制及复核，将中期报告登载在规定网站上，并将中期报告提示性公告登载在规定报刊上。基金管理人、基金托管人应当在每年结束之日起三个月内，编制完成基金年度报告，将年度报告登载于规定网站上，并将年度报告提示性公告登载在规定报刊上。基金年度报告中的财务会计报告应当经过符合《中华人民共和国证券法》规定的会计师事务所审计。基金托管人在复核过程中，发现双方的报表存在不符时，基金管理人和基金托管人应共同查明原因，进行调整，调整以国家有关规定为准。基金合同生效不足两个月的，基金管理人可以不编制当期季度报告、</w:t>
      </w:r>
      <w:r>
        <w:rPr>
          <w:rFonts w:ascii="宋体" w:hAnsi="宋体"/>
          <w:sz w:val="24"/>
        </w:rPr>
        <w:t>中期</w:t>
      </w:r>
      <w:r>
        <w:rPr>
          <w:rFonts w:ascii="宋体" w:hAnsi="宋体" w:hint="eastAsia"/>
          <w:sz w:val="24"/>
        </w:rPr>
        <w:t>报告或者年度报告。</w:t>
      </w:r>
    </w:p>
    <w:p w14:paraId="69BA9C6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（七）在有需要时，基金管理人应每季度向基金托管人提供基金业绩比较基准的基础数据和编制结果。</w:t>
      </w:r>
    </w:p>
    <w:p w14:paraId="370EC5C1" w14:textId="77777777" w:rsidR="00E17FEC" w:rsidRDefault="00E17FEC">
      <w:pPr>
        <w:spacing w:line="360" w:lineRule="auto"/>
        <w:ind w:firstLineChars="200" w:firstLine="480"/>
        <w:contextualSpacing/>
        <w:rPr>
          <w:rFonts w:ascii="宋体" w:hAnsi="宋体"/>
          <w:sz w:val="24"/>
        </w:rPr>
      </w:pPr>
    </w:p>
    <w:p w14:paraId="4CC548A4" w14:textId="77777777" w:rsidR="00E17FEC" w:rsidRDefault="00E17FEC">
      <w:pPr>
        <w:spacing w:line="360" w:lineRule="auto"/>
        <w:ind w:firstLineChars="200" w:firstLine="480"/>
        <w:contextualSpacing/>
        <w:rPr>
          <w:rFonts w:ascii="宋体" w:hAnsi="宋体"/>
          <w:sz w:val="24"/>
        </w:rPr>
      </w:pPr>
    </w:p>
    <w:bookmarkEnd w:id="132"/>
    <w:p w14:paraId="47809903" w14:textId="77777777" w:rsidR="00E17FEC" w:rsidRDefault="00E17FEC">
      <w:pPr>
        <w:spacing w:line="360" w:lineRule="auto"/>
        <w:ind w:firstLineChars="200" w:firstLine="480"/>
        <w:contextualSpacing/>
        <w:rPr>
          <w:rFonts w:ascii="宋体" w:hAnsi="宋体"/>
          <w:sz w:val="24"/>
        </w:rPr>
        <w:sectPr w:rsidR="00E17FEC">
          <w:footerReference w:type="default" r:id="rId61"/>
          <w:pgSz w:w="11906" w:h="16838"/>
          <w:pgMar w:top="1418" w:right="1701" w:bottom="1418" w:left="1701" w:header="851" w:footer="992" w:gutter="0"/>
          <w:pgNumType w:start="1" w:chapStyle="1"/>
          <w:cols w:space="425"/>
          <w:docGrid w:type="lines" w:linePitch="312"/>
        </w:sectPr>
      </w:pPr>
    </w:p>
    <w:p w14:paraId="2B7AF556"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34" w:name="_Toc3276856"/>
      <w:bookmarkStart w:id="135" w:name="_Toc384992699"/>
      <w:bookmarkStart w:id="136" w:name="_Toc348082037"/>
      <w:bookmarkStart w:id="137" w:name="CLAUSE_e32c4de07a234c189729f8cf9261cf56"/>
      <w:r>
        <w:rPr>
          <w:rFonts w:ascii="宋体" w:eastAsia="宋体" w:hAnsi="宋体"/>
        </w:rPr>
        <w:lastRenderedPageBreak/>
        <w:t xml:space="preserve"> </w:t>
      </w:r>
      <w:bookmarkStart w:id="138" w:name="CTS_e32c4de07a234c189729f8cf9261cf56"/>
      <w:bookmarkEnd w:id="138"/>
      <w:r>
        <w:rPr>
          <w:rFonts w:ascii="宋体" w:eastAsia="宋体" w:hAnsi="宋体" w:hint="eastAsia"/>
        </w:rPr>
        <w:t>基金收益分配</w:t>
      </w:r>
      <w:bookmarkEnd w:id="134"/>
      <w:bookmarkEnd w:id="135"/>
      <w:bookmarkEnd w:id="136"/>
    </w:p>
    <w:p w14:paraId="2722B7A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基金管理人与基金托管人按照《基金合同》的约定处理基金收益分配。</w:t>
      </w:r>
    </w:p>
    <w:p w14:paraId="79EBC86B" w14:textId="77777777" w:rsidR="00E17FEC" w:rsidRDefault="00E17FEC">
      <w:pPr>
        <w:spacing w:line="360" w:lineRule="auto"/>
        <w:ind w:firstLineChars="200" w:firstLine="480"/>
        <w:contextualSpacing/>
        <w:rPr>
          <w:rFonts w:ascii="宋体" w:hAnsi="宋体"/>
          <w:sz w:val="24"/>
        </w:rPr>
      </w:pPr>
    </w:p>
    <w:bookmarkEnd w:id="137"/>
    <w:p w14:paraId="6574B9C3" w14:textId="77777777" w:rsidR="00E17FEC" w:rsidRDefault="00E17FEC">
      <w:pPr>
        <w:spacing w:line="360" w:lineRule="auto"/>
        <w:ind w:firstLineChars="200" w:firstLine="480"/>
        <w:contextualSpacing/>
        <w:rPr>
          <w:rFonts w:ascii="宋体" w:hAnsi="宋体"/>
          <w:sz w:val="24"/>
        </w:rPr>
        <w:sectPr w:rsidR="00E17FEC">
          <w:footerReference w:type="default" r:id="rId62"/>
          <w:pgSz w:w="11906" w:h="16838"/>
          <w:pgMar w:top="1418" w:right="1701" w:bottom="1418" w:left="1701" w:header="851" w:footer="992" w:gutter="0"/>
          <w:pgNumType w:start="1" w:chapStyle="1"/>
          <w:cols w:space="425"/>
          <w:docGrid w:type="lines" w:linePitch="312"/>
        </w:sectPr>
      </w:pPr>
    </w:p>
    <w:p w14:paraId="4A0768A6"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39" w:name="_Toc348082038"/>
      <w:bookmarkStart w:id="140" w:name="_Toc3276857"/>
      <w:bookmarkStart w:id="141" w:name="_Toc384992700"/>
      <w:bookmarkStart w:id="142" w:name="CLAUSE_0db4b9e12cfe4efeacf7c3e563c7f79f"/>
      <w:r>
        <w:rPr>
          <w:rFonts w:ascii="宋体" w:eastAsia="宋体" w:hAnsi="宋体"/>
        </w:rPr>
        <w:lastRenderedPageBreak/>
        <w:t xml:space="preserve"> </w:t>
      </w:r>
      <w:bookmarkStart w:id="143" w:name="CTS_0db4b9e12cfe4efeacf7c3e563c7f79f"/>
      <w:bookmarkEnd w:id="143"/>
      <w:r>
        <w:rPr>
          <w:rFonts w:ascii="宋体" w:eastAsia="宋体" w:hAnsi="宋体" w:hint="eastAsia"/>
        </w:rPr>
        <w:t>基金信息披露</w:t>
      </w:r>
      <w:bookmarkEnd w:id="139"/>
      <w:bookmarkEnd w:id="140"/>
      <w:bookmarkEnd w:id="141"/>
    </w:p>
    <w:p w14:paraId="194676F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（一）保密义务</w:t>
      </w:r>
    </w:p>
    <w:p w14:paraId="3F4F4A6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5FE56B37" w14:textId="77777777" w:rsidR="00E17FEC" w:rsidRDefault="00995857">
      <w:pPr>
        <w:spacing w:line="360" w:lineRule="auto"/>
        <w:ind w:firstLineChars="200" w:firstLine="480"/>
        <w:contextualSpacing/>
        <w:rPr>
          <w:rFonts w:ascii="宋体" w:hAnsi="宋体"/>
          <w:sz w:val="24"/>
        </w:rPr>
      </w:pPr>
      <w:r>
        <w:rPr>
          <w:rFonts w:ascii="宋体" w:hAnsi="宋体"/>
          <w:sz w:val="24"/>
        </w:rPr>
        <w:t>1.非因基金管理人和基金托管人的原因导致保密信息被披露、泄露或公开；</w:t>
      </w:r>
    </w:p>
    <w:p w14:paraId="7F4F001B" w14:textId="77777777" w:rsidR="00E17FEC" w:rsidRDefault="00995857">
      <w:pPr>
        <w:spacing w:line="360" w:lineRule="auto"/>
        <w:ind w:firstLineChars="200" w:firstLine="480"/>
        <w:contextualSpacing/>
        <w:rPr>
          <w:rFonts w:ascii="宋体" w:hAnsi="宋体"/>
          <w:sz w:val="24"/>
        </w:rPr>
      </w:pPr>
      <w:r>
        <w:rPr>
          <w:rFonts w:ascii="宋体" w:hAnsi="宋体"/>
          <w:sz w:val="24"/>
        </w:rPr>
        <w:t>2.基金管理人和基金托管人为遵守和服从法院判决或裁定、仲裁裁决或中国证监会等监管机构的命令、决定所做出的信息披露或公开。</w:t>
      </w:r>
    </w:p>
    <w:p w14:paraId="14C417E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（二）信息披露的内容</w:t>
      </w:r>
    </w:p>
    <w:p w14:paraId="41D6AC59" w14:textId="77777777" w:rsidR="00E17FEC" w:rsidRDefault="00995857">
      <w:pPr>
        <w:spacing w:line="360" w:lineRule="auto"/>
        <w:ind w:firstLineChars="200" w:firstLine="480"/>
        <w:rPr>
          <w:rFonts w:ascii="宋体" w:hAnsi="宋体"/>
          <w:sz w:val="24"/>
        </w:rPr>
      </w:pPr>
      <w:r>
        <w:rPr>
          <w:rFonts w:ascii="宋体" w:hAnsi="宋体" w:hint="eastAsia"/>
          <w:sz w:val="24"/>
        </w:rPr>
        <w:t>基金的信息披露内容主要包括基金招募说明书、基金合同、托管协议、基金产品资料概要、基金份额发售公告、基金合同生效公告、基金</w:t>
      </w:r>
      <w:r>
        <w:rPr>
          <w:rFonts w:ascii="宋体" w:hAnsi="宋体"/>
          <w:sz w:val="24"/>
        </w:rPr>
        <w:t>净值信息</w:t>
      </w:r>
      <w:r>
        <w:rPr>
          <w:rFonts w:ascii="宋体" w:hAnsi="宋体" w:hint="eastAsia"/>
          <w:sz w:val="24"/>
        </w:rPr>
        <w:t>、基金份额申购、赎回价格、基金定期报告（包括基金年度报告、基金</w:t>
      </w:r>
      <w:r>
        <w:rPr>
          <w:rFonts w:ascii="宋体" w:hAnsi="宋体"/>
          <w:sz w:val="24"/>
        </w:rPr>
        <w:t>中期</w:t>
      </w:r>
      <w:r>
        <w:rPr>
          <w:rFonts w:ascii="宋体" w:hAnsi="宋体" w:hint="eastAsia"/>
          <w:sz w:val="24"/>
        </w:rPr>
        <w:t>报告和基金季度报告）、临时报告、澄清公告、基金份额持有人大会决议、实施侧袋机制期间的信息披露、</w:t>
      </w:r>
      <w:r>
        <w:rPr>
          <w:rFonts w:ascii="宋体" w:hAnsi="宋体" w:cs="Arial" w:hint="eastAsia"/>
          <w:sz w:val="24"/>
        </w:rPr>
        <w:t>基金投资股指期货、国债期货的信息披露、基金投资资产支持证券的信息披露、基金参与融资业务的信息披露、基金投资证券公司短期公司债券的信息披露、投资流通受限证券信息披露</w:t>
      </w:r>
      <w:r>
        <w:rPr>
          <w:rFonts w:ascii="宋体" w:hAnsi="宋体" w:hint="eastAsia"/>
          <w:sz w:val="24"/>
        </w:rPr>
        <w:t>、</w:t>
      </w:r>
      <w:r>
        <w:rPr>
          <w:rFonts w:ascii="宋体" w:hAnsi="宋体" w:hint="eastAsia"/>
          <w:kern w:val="0"/>
          <w:sz w:val="24"/>
        </w:rPr>
        <w:t>基金参与股票期权交易的</w:t>
      </w:r>
      <w:r>
        <w:rPr>
          <w:rFonts w:ascii="宋体" w:hAnsi="宋体"/>
          <w:bCs/>
          <w:kern w:val="0"/>
          <w:sz w:val="24"/>
        </w:rPr>
        <w:t>信息披露</w:t>
      </w:r>
      <w:r>
        <w:rPr>
          <w:rFonts w:ascii="宋体" w:hAnsi="宋体" w:hint="eastAsia"/>
          <w:bCs/>
          <w:kern w:val="0"/>
          <w:sz w:val="24"/>
        </w:rPr>
        <w:t>、</w:t>
      </w:r>
      <w:r>
        <w:rPr>
          <w:rFonts w:ascii="宋体" w:hAnsi="宋体" w:hint="eastAsia"/>
          <w:sz w:val="24"/>
        </w:rPr>
        <w:t>基金参与港股通标的股票（包括沪港通股票及深港通股票）投资的信息披露、清算报告及中国证监会规定的其他信息。基金年度报告需经符合《中华人民共和国证券法》规定的会计师事务所审计后，方可披露。</w:t>
      </w:r>
    </w:p>
    <w:p w14:paraId="639EB69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（三）基金托管人和基金管理人在信息披露中的职责和信息披露程序</w:t>
      </w:r>
    </w:p>
    <w:p w14:paraId="5ACF73AE" w14:textId="77777777" w:rsidR="00E17FEC" w:rsidRDefault="00995857">
      <w:pPr>
        <w:spacing w:line="360" w:lineRule="auto"/>
        <w:ind w:firstLineChars="200" w:firstLine="480"/>
        <w:contextualSpacing/>
        <w:rPr>
          <w:rFonts w:ascii="宋体" w:hAnsi="宋体"/>
          <w:sz w:val="24"/>
        </w:rPr>
      </w:pPr>
      <w:r>
        <w:rPr>
          <w:rFonts w:ascii="宋体" w:hAnsi="宋体"/>
          <w:sz w:val="24"/>
        </w:rPr>
        <w:t>1.职责</w:t>
      </w:r>
    </w:p>
    <w:p w14:paraId="6395B63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017C84A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基金管理人和基金托管人应积极配合、互相监督，保证其履行按照法定方式和</w:t>
      </w:r>
      <w:r>
        <w:rPr>
          <w:rFonts w:ascii="宋体" w:hAnsi="宋体" w:hint="eastAsia"/>
          <w:sz w:val="24"/>
        </w:rPr>
        <w:lastRenderedPageBreak/>
        <w:t>限时披露的义务。</w:t>
      </w:r>
    </w:p>
    <w:p w14:paraId="20F982E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基金管理人应当在中国证监会规定的时间内，将应予披露的基金信息通过中国证监会规定的媒介披露。根据法律法规应由基金托管人公开披露的信息，基金托管人在规定媒介公开披露。</w:t>
      </w:r>
    </w:p>
    <w:p w14:paraId="1F1FFDB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当出现下述情况时，基金管理人和基金托管人可暂停或延迟披露基金相关信息：</w:t>
      </w:r>
    </w:p>
    <w:p w14:paraId="2955F984"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不可抗力；</w:t>
      </w:r>
    </w:p>
    <w:p w14:paraId="62520179" w14:textId="77777777" w:rsidR="00E17FEC" w:rsidRDefault="00995857">
      <w:pPr>
        <w:spacing w:line="360" w:lineRule="auto"/>
        <w:ind w:firstLineChars="200" w:firstLine="480"/>
        <w:contextualSpacing/>
        <w:rPr>
          <w:rFonts w:ascii="宋体" w:hAnsi="宋体" w:cs="Arial"/>
          <w:szCs w:val="21"/>
        </w:rPr>
      </w:pPr>
      <w:r>
        <w:rPr>
          <w:rFonts w:ascii="宋体" w:hAnsi="宋体"/>
          <w:sz w:val="24"/>
        </w:rPr>
        <w:t>(2)基金投资所涉及的证券</w:t>
      </w:r>
      <w:r>
        <w:rPr>
          <w:rFonts w:ascii="宋体" w:hAnsi="宋体" w:hint="eastAsia"/>
          <w:sz w:val="24"/>
        </w:rPr>
        <w:t>、期货交易市场或外汇市场遇法定节假日或因其他原因暂停营业时；</w:t>
      </w:r>
    </w:p>
    <w:p w14:paraId="7F0F7035" w14:textId="77777777" w:rsidR="00E17FEC" w:rsidRDefault="00995857">
      <w:pPr>
        <w:spacing w:line="360" w:lineRule="auto"/>
        <w:ind w:firstLineChars="200" w:firstLine="480"/>
        <w:contextualSpacing/>
        <w:rPr>
          <w:rFonts w:ascii="宋体" w:hAnsi="宋体"/>
          <w:sz w:val="24"/>
        </w:rPr>
      </w:pPr>
      <w:r>
        <w:rPr>
          <w:rFonts w:ascii="宋体" w:hAnsi="宋体" w:cs="Arial" w:hint="eastAsia"/>
          <w:sz w:val="24"/>
        </w:rPr>
        <w:t>(</w:t>
      </w:r>
      <w:r>
        <w:rPr>
          <w:rFonts w:ascii="宋体" w:hAnsi="宋体"/>
          <w:sz w:val="24"/>
        </w:rPr>
        <w:t>3</w:t>
      </w:r>
      <w:r>
        <w:rPr>
          <w:rFonts w:ascii="宋体" w:hAnsi="宋体" w:cs="Arial" w:hint="eastAsia"/>
          <w:sz w:val="24"/>
        </w:rPr>
        <w:t>)</w:t>
      </w:r>
      <w:r>
        <w:rPr>
          <w:rFonts w:ascii="宋体" w:hAnsi="宋体" w:hint="eastAsia"/>
        </w:rPr>
        <w:t xml:space="preserve"> </w:t>
      </w:r>
      <w:r>
        <w:rPr>
          <w:rFonts w:ascii="宋体" w:hAnsi="宋体" w:hint="eastAsia"/>
          <w:sz w:val="24"/>
        </w:rPr>
        <w:t>基金合同约定的暂停估值的情形；</w:t>
      </w:r>
    </w:p>
    <w:p w14:paraId="0E50A35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)法律法规、基金合同或中国证监会规定的情况。</w:t>
      </w:r>
    </w:p>
    <w:p w14:paraId="4696B3F1" w14:textId="77777777" w:rsidR="00E17FEC" w:rsidRDefault="00995857">
      <w:pPr>
        <w:spacing w:line="360" w:lineRule="auto"/>
        <w:ind w:firstLineChars="200" w:firstLine="480"/>
        <w:contextualSpacing/>
        <w:rPr>
          <w:rFonts w:ascii="宋体" w:hAnsi="宋体"/>
          <w:sz w:val="24"/>
        </w:rPr>
      </w:pPr>
      <w:r>
        <w:rPr>
          <w:rFonts w:ascii="宋体" w:hAnsi="宋体"/>
          <w:sz w:val="24"/>
        </w:rPr>
        <w:t>2.程序</w:t>
      </w:r>
    </w:p>
    <w:p w14:paraId="1E820A0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7DC69FF3" w14:textId="77777777" w:rsidR="00E17FEC" w:rsidRDefault="00995857">
      <w:pPr>
        <w:spacing w:line="360" w:lineRule="auto"/>
        <w:ind w:firstLineChars="200" w:firstLine="480"/>
        <w:contextualSpacing/>
        <w:rPr>
          <w:rFonts w:ascii="宋体" w:hAnsi="宋体"/>
          <w:sz w:val="24"/>
        </w:rPr>
      </w:pPr>
      <w:r>
        <w:rPr>
          <w:rFonts w:ascii="宋体" w:hAnsi="宋体"/>
          <w:sz w:val="24"/>
        </w:rPr>
        <w:t>3.信息文本的存放</w:t>
      </w:r>
    </w:p>
    <w:p w14:paraId="47F33A71" w14:textId="77777777" w:rsidR="00E17FEC" w:rsidRDefault="00995857">
      <w:pPr>
        <w:pStyle w:val="a0"/>
        <w:spacing w:line="360" w:lineRule="auto"/>
        <w:ind w:firstLine="480"/>
        <w:contextualSpacing/>
        <w:rPr>
          <w:rFonts w:ascii="宋体" w:hAnsi="宋体"/>
          <w:sz w:val="24"/>
        </w:rPr>
      </w:pPr>
      <w:r>
        <w:rPr>
          <w:rFonts w:ascii="宋体" w:hAnsi="宋体" w:hint="eastAsia"/>
          <w:sz w:val="24"/>
        </w:rPr>
        <w:t>依法必须披露的信息发布后，基金管理人、基金托管人应当按照相关法律法规规定将信息置备于各自住所，供社会公众查阅、复制。在支付工本费后可在合理时间获得上述文件的复制件或复印件。基金管理人和基金托管人应保证文本的内容与所公告的内容完全一致。</w:t>
      </w:r>
    </w:p>
    <w:bookmarkEnd w:id="142"/>
    <w:p w14:paraId="5915E2FB" w14:textId="77777777" w:rsidR="00E17FEC" w:rsidRDefault="00E17FEC">
      <w:pPr>
        <w:pStyle w:val="a0"/>
        <w:spacing w:line="360" w:lineRule="auto"/>
        <w:ind w:firstLine="480"/>
        <w:contextualSpacing/>
        <w:rPr>
          <w:rFonts w:ascii="宋体" w:hAnsi="宋体"/>
          <w:sz w:val="24"/>
        </w:rPr>
        <w:sectPr w:rsidR="00E17FEC">
          <w:footerReference w:type="default" r:id="rId63"/>
          <w:pgSz w:w="11906" w:h="16838"/>
          <w:pgMar w:top="1418" w:right="1701" w:bottom="1418" w:left="1701" w:header="851" w:footer="992" w:gutter="0"/>
          <w:pgNumType w:start="1" w:chapStyle="1"/>
          <w:cols w:space="425"/>
          <w:docGrid w:type="lines" w:linePitch="312"/>
        </w:sectPr>
      </w:pPr>
    </w:p>
    <w:p w14:paraId="37B1A089"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44" w:name="_Toc348082039"/>
      <w:bookmarkStart w:id="145" w:name="_Toc384992701"/>
      <w:bookmarkStart w:id="146" w:name="_Toc3276858"/>
      <w:bookmarkStart w:id="147" w:name="CLAUSE_f1999dfefdd042ebbbe1c40830c3d358"/>
      <w:r>
        <w:rPr>
          <w:rFonts w:ascii="宋体" w:eastAsia="宋体" w:hAnsi="宋体"/>
        </w:rPr>
        <w:lastRenderedPageBreak/>
        <w:t xml:space="preserve"> </w:t>
      </w:r>
      <w:bookmarkStart w:id="148" w:name="CTS_f1999dfefdd042ebbbe1c40830c3d358"/>
      <w:bookmarkEnd w:id="148"/>
      <w:r>
        <w:rPr>
          <w:rFonts w:ascii="宋体" w:eastAsia="宋体" w:hAnsi="宋体"/>
        </w:rPr>
        <w:t xml:space="preserve">  </w:t>
      </w:r>
      <w:r>
        <w:rPr>
          <w:rFonts w:ascii="宋体" w:eastAsia="宋体" w:hAnsi="宋体" w:hint="eastAsia"/>
        </w:rPr>
        <w:t>基金费用</w:t>
      </w:r>
      <w:bookmarkEnd w:id="144"/>
      <w:bookmarkEnd w:id="145"/>
      <w:bookmarkEnd w:id="146"/>
    </w:p>
    <w:bookmarkEnd w:id="147"/>
    <w:p w14:paraId="34686A15" w14:textId="77777777" w:rsidR="00E17FEC" w:rsidRDefault="00995857">
      <w:pPr>
        <w:spacing w:line="360" w:lineRule="auto"/>
        <w:ind w:firstLineChars="200" w:firstLine="480"/>
        <w:rPr>
          <w:rFonts w:ascii="宋体" w:hAnsi="宋体"/>
          <w:sz w:val="24"/>
        </w:rPr>
      </w:pPr>
      <w:r>
        <w:rPr>
          <w:rFonts w:ascii="宋体" w:hAnsi="宋体" w:hint="eastAsia"/>
          <w:sz w:val="24"/>
        </w:rPr>
        <w:t>（一）基金管理人的管理费</w:t>
      </w:r>
    </w:p>
    <w:p w14:paraId="24BA77F4" w14:textId="4F359384" w:rsidR="00E17FEC" w:rsidRDefault="00995857">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bCs/>
          <w:sz w:val="24"/>
        </w:rPr>
        <w:t>1.</w:t>
      </w:r>
      <w:r w:rsidR="00E4096E">
        <w:rPr>
          <w:rFonts w:ascii="宋体" w:hAnsi="宋体"/>
          <w:bCs/>
          <w:sz w:val="24"/>
        </w:rPr>
        <w:t>2</w:t>
      </w:r>
      <w:r w:rsidR="000D1838">
        <w:rPr>
          <w:rFonts w:ascii="宋体" w:hAnsi="宋体"/>
          <w:bCs/>
          <w:sz w:val="24"/>
        </w:rPr>
        <w:t>0</w:t>
      </w:r>
      <w:r>
        <w:rPr>
          <w:rFonts w:ascii="宋体" w:hAnsi="宋体"/>
          <w:sz w:val="24"/>
        </w:rPr>
        <w:t>%</w:t>
      </w:r>
      <w:r>
        <w:rPr>
          <w:rFonts w:ascii="宋体" w:hAnsi="宋体" w:hint="eastAsia"/>
          <w:sz w:val="24"/>
        </w:rPr>
        <w:t>年费率计提。管理费的计算方法如下：</w:t>
      </w:r>
    </w:p>
    <w:p w14:paraId="20989AB1" w14:textId="55690D23" w:rsidR="00E17FEC" w:rsidRDefault="00995857">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1.</w:t>
      </w:r>
      <w:r w:rsidR="00E4096E">
        <w:rPr>
          <w:rFonts w:ascii="宋体" w:hAnsi="宋体"/>
          <w:bCs/>
          <w:sz w:val="24"/>
        </w:rPr>
        <w:t>2</w:t>
      </w:r>
      <w:r w:rsidR="000D1838">
        <w:rPr>
          <w:rFonts w:ascii="宋体" w:hAnsi="宋体"/>
          <w:bCs/>
          <w:sz w:val="24"/>
        </w:rPr>
        <w:t>0</w:t>
      </w:r>
      <w:r>
        <w:rPr>
          <w:rFonts w:ascii="宋体" w:hAnsi="宋体"/>
          <w:sz w:val="24"/>
        </w:rPr>
        <w:t>%÷</w:t>
      </w:r>
      <w:r>
        <w:rPr>
          <w:rFonts w:ascii="宋体" w:hAnsi="宋体" w:hint="eastAsia"/>
          <w:sz w:val="24"/>
        </w:rPr>
        <w:t>当年天数</w:t>
      </w:r>
    </w:p>
    <w:p w14:paraId="197343FB" w14:textId="77777777" w:rsidR="00E17FEC" w:rsidRDefault="00995857">
      <w:pPr>
        <w:spacing w:line="360" w:lineRule="auto"/>
        <w:ind w:firstLineChars="200" w:firstLine="480"/>
        <w:rPr>
          <w:rFonts w:ascii="宋体" w:hAnsi="宋体"/>
          <w:bCs/>
          <w:sz w:val="24"/>
        </w:rPr>
      </w:pPr>
      <w:r>
        <w:rPr>
          <w:rFonts w:ascii="宋体" w:hAnsi="宋体"/>
          <w:bCs/>
          <w:sz w:val="24"/>
        </w:rPr>
        <w:t>H为每日应计提的基金管理费</w:t>
      </w:r>
    </w:p>
    <w:p w14:paraId="7603B931" w14:textId="77777777" w:rsidR="00E17FEC" w:rsidRDefault="00995857">
      <w:pPr>
        <w:spacing w:line="360" w:lineRule="auto"/>
        <w:ind w:firstLineChars="200" w:firstLine="480"/>
        <w:rPr>
          <w:rFonts w:ascii="宋体" w:hAnsi="宋体"/>
          <w:bCs/>
          <w:sz w:val="24"/>
        </w:rPr>
      </w:pPr>
      <w:r>
        <w:rPr>
          <w:rFonts w:ascii="宋体" w:hAnsi="宋体"/>
          <w:bCs/>
          <w:sz w:val="24"/>
        </w:rPr>
        <w:t>E为前一日的基金资</w:t>
      </w:r>
      <w:bookmarkStart w:id="149" w:name="_GoBack"/>
      <w:bookmarkEnd w:id="149"/>
      <w:r>
        <w:rPr>
          <w:rFonts w:ascii="宋体" w:hAnsi="宋体"/>
          <w:bCs/>
          <w:sz w:val="24"/>
        </w:rPr>
        <w:t>产净值</w:t>
      </w:r>
    </w:p>
    <w:p w14:paraId="07E471CF" w14:textId="77777777" w:rsidR="00E17FEC" w:rsidRDefault="00995857">
      <w:pPr>
        <w:spacing w:line="360" w:lineRule="auto"/>
        <w:ind w:firstLineChars="200" w:firstLine="480"/>
        <w:rPr>
          <w:rFonts w:ascii="宋体" w:hAnsi="宋体"/>
          <w:bCs/>
          <w:sz w:val="24"/>
        </w:rPr>
      </w:pPr>
      <w:r>
        <w:rPr>
          <w:rFonts w:ascii="宋体" w:hAnsi="宋体"/>
          <w:bCs/>
          <w:sz w:val="24"/>
        </w:rPr>
        <w:t>基金管理费每日计</w:t>
      </w:r>
      <w:r>
        <w:rPr>
          <w:rFonts w:ascii="宋体" w:hAnsi="宋体" w:hint="eastAsia"/>
          <w:bCs/>
          <w:sz w:val="24"/>
        </w:rPr>
        <w:t>提</w:t>
      </w:r>
      <w:r>
        <w:rPr>
          <w:rFonts w:ascii="宋体" w:hAnsi="宋体"/>
          <w:bCs/>
          <w:sz w:val="24"/>
        </w:rPr>
        <w:t>，逐日累计至每月月末，按月支付，</w:t>
      </w:r>
      <w:r>
        <w:rPr>
          <w:rFonts w:ascii="宋体" w:hAnsi="宋体" w:hint="eastAsia"/>
          <w:bCs/>
          <w:sz w:val="24"/>
        </w:rPr>
        <w:t>经基金管理人与基金托管人双方核对无误后，基金托管人按照</w:t>
      </w:r>
      <w:r>
        <w:rPr>
          <w:rFonts w:ascii="宋体" w:hAnsi="宋体" w:hint="eastAsia"/>
          <w:sz w:val="24"/>
        </w:rPr>
        <w:t>与基金管理人协商一致的方式</w:t>
      </w:r>
      <w:r>
        <w:rPr>
          <w:rFonts w:ascii="宋体" w:hAnsi="宋体" w:hint="eastAsia"/>
          <w:bCs/>
          <w:sz w:val="24"/>
        </w:rPr>
        <w:t>于次月首日起5个工作日内从基金财产中一次性支付给基金管理人。</w:t>
      </w:r>
      <w:r>
        <w:rPr>
          <w:rFonts w:ascii="宋体" w:hAnsi="宋体"/>
          <w:bCs/>
          <w:sz w:val="24"/>
        </w:rPr>
        <w:t>若遇法定节假日、公休假等</w:t>
      </w:r>
      <w:r>
        <w:rPr>
          <w:rFonts w:ascii="宋体" w:hAnsi="宋体" w:hint="eastAsia"/>
          <w:bCs/>
          <w:sz w:val="24"/>
        </w:rPr>
        <w:t>，</w:t>
      </w:r>
      <w:r>
        <w:rPr>
          <w:rFonts w:ascii="宋体" w:hAnsi="宋体"/>
          <w:bCs/>
          <w:sz w:val="24"/>
        </w:rPr>
        <w:t>支付日期顺延。</w:t>
      </w:r>
    </w:p>
    <w:p w14:paraId="61EEBFFB" w14:textId="77777777" w:rsidR="00E17FEC" w:rsidRDefault="00995857">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基金托管人的托管费</w:t>
      </w:r>
    </w:p>
    <w:p w14:paraId="1F47D95A" w14:textId="3A29DDEB" w:rsidR="00E17FEC" w:rsidRDefault="00995857">
      <w:pPr>
        <w:spacing w:line="360" w:lineRule="auto"/>
        <w:ind w:firstLineChars="200" w:firstLine="480"/>
        <w:rPr>
          <w:rFonts w:ascii="宋体" w:hAnsi="宋体"/>
          <w:sz w:val="24"/>
        </w:rPr>
      </w:pPr>
      <w:r>
        <w:rPr>
          <w:rFonts w:ascii="宋体" w:hAnsi="宋体"/>
          <w:bCs/>
          <w:sz w:val="24"/>
        </w:rPr>
        <w:t>本基金的托管费按前一日基金资产净值的0.</w:t>
      </w:r>
      <w:r w:rsidR="00E4096E">
        <w:rPr>
          <w:rFonts w:ascii="宋体" w:hAnsi="宋体"/>
          <w:bCs/>
          <w:sz w:val="24"/>
        </w:rPr>
        <w:t>20</w:t>
      </w:r>
      <w:r>
        <w:rPr>
          <w:rFonts w:ascii="宋体" w:hAnsi="宋体"/>
          <w:sz w:val="24"/>
        </w:rPr>
        <w:t>%</w:t>
      </w:r>
      <w:r>
        <w:rPr>
          <w:rFonts w:ascii="宋体" w:hAnsi="宋体" w:hint="eastAsia"/>
          <w:sz w:val="24"/>
        </w:rPr>
        <w:t>的年费率计提。托管费的计算方法如下：</w:t>
      </w:r>
    </w:p>
    <w:p w14:paraId="226A0B05" w14:textId="733350EB" w:rsidR="00E17FEC" w:rsidRDefault="00995857">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0.</w:t>
      </w:r>
      <w:r w:rsidR="00E4096E">
        <w:rPr>
          <w:rFonts w:ascii="宋体" w:hAnsi="宋体"/>
          <w:bCs/>
          <w:sz w:val="24"/>
        </w:rPr>
        <w:t>20</w:t>
      </w:r>
      <w:r>
        <w:rPr>
          <w:rFonts w:ascii="宋体" w:hAnsi="宋体"/>
          <w:sz w:val="24"/>
        </w:rPr>
        <w:t>%÷</w:t>
      </w:r>
      <w:r>
        <w:rPr>
          <w:rFonts w:ascii="宋体" w:hAnsi="宋体" w:hint="eastAsia"/>
          <w:sz w:val="24"/>
        </w:rPr>
        <w:t>当年天数</w:t>
      </w:r>
    </w:p>
    <w:p w14:paraId="59357091" w14:textId="77777777" w:rsidR="00E17FEC" w:rsidRDefault="00995857">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14:paraId="722C5BE4" w14:textId="77777777" w:rsidR="00E17FEC" w:rsidRDefault="00995857">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为前一日的基金资产净值</w:t>
      </w:r>
    </w:p>
    <w:p w14:paraId="2ACE2547" w14:textId="77777777" w:rsidR="00E17FEC" w:rsidRDefault="00995857">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Pr>
          <w:rFonts w:ascii="宋体" w:hAnsi="宋体"/>
          <w:sz w:val="24"/>
        </w:rPr>
        <w:t>5</w:t>
      </w:r>
      <w:r>
        <w:rPr>
          <w:rFonts w:ascii="宋体" w:hAnsi="宋体" w:hint="eastAsia"/>
          <w:sz w:val="24"/>
        </w:rPr>
        <w:t>个工作日内从基金财产中一次性支取。若遇法定节假日、公</w:t>
      </w:r>
      <w:r>
        <w:rPr>
          <w:rFonts w:ascii="宋体" w:hAnsi="宋体"/>
          <w:bCs/>
          <w:sz w:val="24"/>
        </w:rPr>
        <w:t>休日</w:t>
      </w:r>
      <w:r>
        <w:rPr>
          <w:rFonts w:ascii="宋体" w:hAnsi="宋体" w:hint="eastAsia"/>
          <w:sz w:val="24"/>
        </w:rPr>
        <w:t>等，支付日期顺延。</w:t>
      </w:r>
    </w:p>
    <w:p w14:paraId="4178DA8D" w14:textId="77777777" w:rsidR="00E17FEC" w:rsidRDefault="00995857">
      <w:pPr>
        <w:spacing w:line="360" w:lineRule="auto"/>
        <w:ind w:firstLineChars="200" w:firstLine="480"/>
        <w:rPr>
          <w:rFonts w:ascii="宋体" w:hAnsi="宋体"/>
          <w:bCs/>
          <w:sz w:val="24"/>
        </w:rPr>
      </w:pPr>
      <w:r>
        <w:rPr>
          <w:rFonts w:ascii="宋体" w:hAnsi="宋体" w:hint="eastAsia"/>
          <w:bCs/>
          <w:sz w:val="24"/>
        </w:rPr>
        <w:t>（三）基金销售服务费</w:t>
      </w:r>
    </w:p>
    <w:p w14:paraId="5465312F" w14:textId="77777777" w:rsidR="00E17FEC" w:rsidRDefault="00995857">
      <w:pPr>
        <w:spacing w:line="360" w:lineRule="auto"/>
        <w:ind w:firstLineChars="200" w:firstLine="480"/>
        <w:rPr>
          <w:rFonts w:ascii="宋体" w:hAnsi="宋体"/>
          <w:bCs/>
          <w:sz w:val="24"/>
        </w:rPr>
      </w:pPr>
      <w:r>
        <w:rPr>
          <w:rFonts w:ascii="宋体" w:hAnsi="宋体" w:hint="eastAsia"/>
          <w:bCs/>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14:paraId="491CA95F" w14:textId="77777777" w:rsidR="00E17FEC" w:rsidRDefault="00995857">
      <w:pPr>
        <w:spacing w:line="360" w:lineRule="auto"/>
        <w:ind w:firstLineChars="200" w:firstLine="480"/>
        <w:rPr>
          <w:rFonts w:ascii="宋体" w:hAnsi="宋体"/>
          <w:bCs/>
          <w:sz w:val="24"/>
        </w:rPr>
      </w:pPr>
      <w:r>
        <w:rPr>
          <w:rFonts w:ascii="宋体" w:hAnsi="宋体" w:hint="eastAsia"/>
          <w:bCs/>
          <w:sz w:val="24"/>
        </w:rPr>
        <w:t>H=E×0.5%÷当年天数</w:t>
      </w:r>
    </w:p>
    <w:p w14:paraId="6B9A7E6C" w14:textId="77777777" w:rsidR="00E17FEC" w:rsidRDefault="00995857">
      <w:pPr>
        <w:spacing w:line="360" w:lineRule="auto"/>
        <w:ind w:firstLineChars="200" w:firstLine="480"/>
        <w:rPr>
          <w:rFonts w:ascii="宋体" w:hAnsi="宋体"/>
          <w:bCs/>
          <w:sz w:val="24"/>
        </w:rPr>
      </w:pPr>
      <w:r>
        <w:rPr>
          <w:rFonts w:ascii="宋体" w:hAnsi="宋体" w:hint="eastAsia"/>
          <w:bCs/>
          <w:sz w:val="24"/>
        </w:rPr>
        <w:t>H为C类基金份额每日应计提的销售服务费</w:t>
      </w:r>
    </w:p>
    <w:p w14:paraId="20F0D811" w14:textId="77777777" w:rsidR="00E17FEC" w:rsidRDefault="00995857">
      <w:pPr>
        <w:spacing w:line="360" w:lineRule="auto"/>
        <w:ind w:firstLineChars="200" w:firstLine="480"/>
        <w:rPr>
          <w:rFonts w:ascii="宋体" w:hAnsi="宋体"/>
          <w:bCs/>
          <w:sz w:val="24"/>
        </w:rPr>
      </w:pPr>
      <w:r>
        <w:rPr>
          <w:rFonts w:ascii="宋体" w:hAnsi="宋体" w:hint="eastAsia"/>
          <w:bCs/>
          <w:sz w:val="24"/>
        </w:rPr>
        <w:lastRenderedPageBreak/>
        <w:t>E为C类基金份额前一日的基金资产净值</w:t>
      </w:r>
    </w:p>
    <w:p w14:paraId="529DCE21" w14:textId="77777777" w:rsidR="00E17FEC" w:rsidRDefault="00995857">
      <w:pPr>
        <w:spacing w:line="360" w:lineRule="auto"/>
        <w:ind w:firstLineChars="200" w:firstLine="480"/>
        <w:contextualSpacing/>
        <w:rPr>
          <w:rFonts w:ascii="宋体" w:hAnsi="宋体"/>
          <w:bCs/>
          <w:sz w:val="24"/>
        </w:rPr>
      </w:pPr>
      <w:r>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14:paraId="0AF9AC8C" w14:textId="77777777" w:rsidR="00E17FEC" w:rsidRDefault="00995857">
      <w:pPr>
        <w:spacing w:line="360" w:lineRule="auto"/>
        <w:ind w:firstLineChars="200" w:firstLine="480"/>
        <w:contextualSpacing/>
        <w:rPr>
          <w:rFonts w:ascii="宋体" w:hAnsi="宋体"/>
          <w:color w:val="000000"/>
          <w:sz w:val="24"/>
        </w:rPr>
        <w:sectPr w:rsidR="00E17FEC">
          <w:footerReference w:type="default" r:id="rId64"/>
          <w:pgSz w:w="11906" w:h="16838"/>
          <w:pgMar w:top="1418" w:right="1701" w:bottom="1418" w:left="1701" w:header="851" w:footer="992" w:gutter="0"/>
          <w:pgNumType w:start="1" w:chapStyle="1"/>
          <w:cols w:space="425"/>
          <w:docGrid w:type="lines" w:linePitch="312"/>
        </w:sectPr>
      </w:pPr>
      <w:r>
        <w:rPr>
          <w:rFonts w:ascii="宋体" w:hAnsi="宋体" w:hint="eastAsia"/>
          <w:bCs/>
          <w:sz w:val="24"/>
        </w:rPr>
        <w:t>本章节未明确的事项按照《基金合同》的约定执行。</w:t>
      </w:r>
    </w:p>
    <w:p w14:paraId="275D2132"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50" w:name="_Toc348082040"/>
      <w:bookmarkStart w:id="151" w:name="_Toc3276859"/>
      <w:bookmarkStart w:id="152" w:name="_Toc384992702"/>
      <w:bookmarkStart w:id="153" w:name="CLAUSE_0422aebe02654a45964d03ac7f42cc7b"/>
      <w:r>
        <w:rPr>
          <w:rFonts w:ascii="宋体" w:eastAsia="宋体" w:hAnsi="宋体"/>
        </w:rPr>
        <w:lastRenderedPageBreak/>
        <w:t xml:space="preserve"> </w:t>
      </w:r>
      <w:bookmarkStart w:id="154" w:name="CTS_0422aebe02654a45964d03ac7f42cc7b"/>
      <w:bookmarkEnd w:id="154"/>
      <w:r>
        <w:rPr>
          <w:rFonts w:ascii="宋体" w:eastAsia="宋体" w:hAnsi="宋体"/>
        </w:rPr>
        <w:t xml:space="preserve">   </w:t>
      </w:r>
      <w:r>
        <w:rPr>
          <w:rFonts w:ascii="宋体" w:eastAsia="宋体" w:hAnsi="宋体" w:hint="eastAsia"/>
        </w:rPr>
        <w:t>基金份额持有人名册的保管</w:t>
      </w:r>
      <w:bookmarkEnd w:id="150"/>
      <w:bookmarkEnd w:id="151"/>
      <w:bookmarkEnd w:id="152"/>
    </w:p>
    <w:p w14:paraId="3ACF46B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限不低于法律法规规定的最低期限</w:t>
      </w:r>
      <w:r>
        <w:rPr>
          <w:rFonts w:ascii="宋体" w:hAnsi="宋体"/>
          <w:sz w:val="24"/>
        </w:rPr>
        <w:t>。如不能妥善保管，则按相关</w:t>
      </w:r>
      <w:r>
        <w:rPr>
          <w:rFonts w:ascii="宋体" w:hAnsi="宋体" w:hint="eastAsia"/>
          <w:sz w:val="24"/>
        </w:rPr>
        <w:t>法律法规承担责任。</w:t>
      </w:r>
    </w:p>
    <w:p w14:paraId="3CD7D1B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在基金托管人要求或编制中期报告和</w:t>
      </w:r>
      <w:r>
        <w:rPr>
          <w:rFonts w:ascii="宋体" w:hAnsi="宋体"/>
          <w:sz w:val="24"/>
        </w:rPr>
        <w:t>年度报告</w:t>
      </w:r>
      <w:r>
        <w:rPr>
          <w:rFonts w:ascii="宋体" w:hAnsi="宋体" w:hint="eastAsia"/>
          <w:sz w:val="24"/>
        </w:rPr>
        <w:t>前，基金管理人应将有关资料送交基金托管人，不得无故拒绝或延误提供，并保证其的真实性、准确性和完整性。基金托管人不得将所保管的基金份额持有人名册用于基金托管业务以外的其他用途，并应遵守保密义务。</w:t>
      </w:r>
    </w:p>
    <w:bookmarkEnd w:id="153"/>
    <w:p w14:paraId="3E96068B" w14:textId="77777777" w:rsidR="00E17FEC" w:rsidRDefault="00E17FEC">
      <w:pPr>
        <w:spacing w:line="360" w:lineRule="auto"/>
        <w:ind w:firstLineChars="200" w:firstLine="480"/>
        <w:contextualSpacing/>
        <w:rPr>
          <w:rFonts w:ascii="宋体" w:hAnsi="宋体"/>
          <w:sz w:val="24"/>
        </w:rPr>
        <w:sectPr w:rsidR="00E17FEC">
          <w:footerReference w:type="default" r:id="rId65"/>
          <w:pgSz w:w="11906" w:h="16838"/>
          <w:pgMar w:top="1418" w:right="1701" w:bottom="1418" w:left="1701" w:header="851" w:footer="992" w:gutter="0"/>
          <w:pgNumType w:start="1" w:chapStyle="1"/>
          <w:cols w:space="425"/>
          <w:docGrid w:type="lines" w:linePitch="312"/>
        </w:sectPr>
      </w:pPr>
    </w:p>
    <w:p w14:paraId="1C85D5E5"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55" w:name="_Toc384992703"/>
      <w:bookmarkStart w:id="156" w:name="_Toc348082041"/>
      <w:bookmarkStart w:id="157" w:name="_Toc3276860"/>
      <w:bookmarkStart w:id="158" w:name="CLAUSE_b85fcc6f0af54c569bb6bed1ba0fe2a0"/>
      <w:r>
        <w:rPr>
          <w:rFonts w:ascii="宋体" w:eastAsia="宋体" w:hAnsi="宋体"/>
        </w:rPr>
        <w:lastRenderedPageBreak/>
        <w:t xml:space="preserve"> </w:t>
      </w:r>
      <w:bookmarkStart w:id="159" w:name="CTS_b85fcc6f0af54c569bb6bed1ba0fe2a0"/>
      <w:bookmarkEnd w:id="159"/>
      <w:r>
        <w:rPr>
          <w:rFonts w:ascii="宋体" w:eastAsia="宋体" w:hAnsi="宋体"/>
        </w:rPr>
        <w:t xml:space="preserve">   </w:t>
      </w:r>
      <w:r>
        <w:rPr>
          <w:rFonts w:ascii="宋体" w:eastAsia="宋体" w:hAnsi="宋体" w:hint="eastAsia"/>
        </w:rPr>
        <w:t>基金有关文件档案的保存</w:t>
      </w:r>
      <w:bookmarkEnd w:id="155"/>
      <w:bookmarkEnd w:id="156"/>
      <w:bookmarkEnd w:id="157"/>
    </w:p>
    <w:p w14:paraId="556B6C0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（一）档案保存</w:t>
      </w:r>
    </w:p>
    <w:p w14:paraId="151C77C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w:t>
      </w:r>
      <w:bookmarkStart w:id="160" w:name="_Hlk82531222"/>
      <w:r>
        <w:rPr>
          <w:rFonts w:ascii="宋体" w:hAnsi="宋体" w:hint="eastAsia"/>
          <w:sz w:val="24"/>
        </w:rPr>
        <w:t>保存期限不低于法律法规规定的最低期限</w:t>
      </w:r>
      <w:bookmarkEnd w:id="160"/>
      <w:r>
        <w:rPr>
          <w:rFonts w:ascii="宋体" w:hAnsi="宋体"/>
          <w:sz w:val="24"/>
        </w:rPr>
        <w:t>。</w:t>
      </w:r>
    </w:p>
    <w:p w14:paraId="002CC7D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（二）合同档案的建立</w:t>
      </w:r>
    </w:p>
    <w:p w14:paraId="50FB712D" w14:textId="77777777" w:rsidR="00E17FEC" w:rsidRDefault="00995857">
      <w:pPr>
        <w:spacing w:line="360" w:lineRule="auto"/>
        <w:ind w:firstLineChars="200" w:firstLine="480"/>
        <w:contextualSpacing/>
        <w:rPr>
          <w:rFonts w:ascii="宋体" w:hAnsi="宋体"/>
          <w:sz w:val="24"/>
        </w:rPr>
      </w:pPr>
      <w:r>
        <w:rPr>
          <w:rFonts w:ascii="宋体" w:hAnsi="宋体"/>
          <w:sz w:val="24"/>
        </w:rPr>
        <w:t>1.基金管理人签署重大合同文本后，应及时将合同文本正本送达基金托管人处。</w:t>
      </w:r>
    </w:p>
    <w:p w14:paraId="59319EAB" w14:textId="77777777" w:rsidR="00E17FEC" w:rsidRDefault="00995857">
      <w:pPr>
        <w:spacing w:line="360" w:lineRule="auto"/>
        <w:ind w:firstLineChars="200" w:firstLine="480"/>
        <w:contextualSpacing/>
        <w:rPr>
          <w:rFonts w:ascii="宋体" w:hAnsi="宋体"/>
          <w:sz w:val="24"/>
        </w:rPr>
      </w:pPr>
      <w:r>
        <w:rPr>
          <w:rFonts w:ascii="宋体" w:hAnsi="宋体"/>
          <w:sz w:val="24"/>
        </w:rPr>
        <w:t>2.基金管理人应及时将与本基金账务处理、资金划拨等有关的合同、协议传真</w:t>
      </w:r>
      <w:r>
        <w:rPr>
          <w:rFonts w:ascii="宋体" w:hAnsi="宋体" w:hint="eastAsia"/>
          <w:sz w:val="24"/>
        </w:rPr>
        <w:t>或通过双方认可的其他方式发送至基金托管人。</w:t>
      </w:r>
    </w:p>
    <w:p w14:paraId="5FA0EDB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（三）变更与协助</w:t>
      </w:r>
    </w:p>
    <w:p w14:paraId="3BCD9A3E" w14:textId="77777777" w:rsidR="00E17FEC" w:rsidRDefault="00995857">
      <w:pPr>
        <w:spacing w:line="360" w:lineRule="auto"/>
        <w:ind w:firstLineChars="200" w:firstLine="480"/>
        <w:contextualSpacing/>
        <w:rPr>
          <w:rFonts w:ascii="宋体" w:hAnsi="宋体"/>
          <w:sz w:val="24"/>
        </w:rPr>
      </w:pPr>
      <w:proofErr w:type="gramStart"/>
      <w:r>
        <w:rPr>
          <w:rFonts w:ascii="宋体" w:hAnsi="宋体" w:hint="eastAsia"/>
          <w:sz w:val="24"/>
        </w:rPr>
        <w:t>若基金</w:t>
      </w:r>
      <w:proofErr w:type="gramEnd"/>
      <w:r>
        <w:rPr>
          <w:rFonts w:ascii="宋体" w:hAnsi="宋体" w:hint="eastAsia"/>
          <w:sz w:val="24"/>
        </w:rPr>
        <w:t>管理人</w:t>
      </w:r>
      <w:r>
        <w:rPr>
          <w:rFonts w:ascii="宋体" w:hAnsi="宋体"/>
          <w:sz w:val="24"/>
        </w:rPr>
        <w:t>/基金托管人发生变更，未变更的一方有义务协助变更后的接任人接收相应文件。</w:t>
      </w:r>
    </w:p>
    <w:p w14:paraId="59A31EE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（四）基金管理人和基金托管人应按各自职责完整保存原始凭证、记账凭证、基金账册、交易记录和重要合同等，承担保密义务并保存不低于法律法规规定的最低期限。</w:t>
      </w:r>
    </w:p>
    <w:p w14:paraId="61E570B6" w14:textId="77777777" w:rsidR="00E17FEC" w:rsidRDefault="00E17FEC">
      <w:pPr>
        <w:spacing w:line="360" w:lineRule="auto"/>
        <w:ind w:firstLineChars="200" w:firstLine="480"/>
        <w:contextualSpacing/>
        <w:rPr>
          <w:rFonts w:ascii="宋体" w:hAnsi="宋体"/>
          <w:sz w:val="24"/>
        </w:rPr>
      </w:pPr>
    </w:p>
    <w:bookmarkEnd w:id="158"/>
    <w:p w14:paraId="3A21EC6E" w14:textId="77777777" w:rsidR="00E17FEC" w:rsidRDefault="00E17FEC">
      <w:pPr>
        <w:spacing w:line="360" w:lineRule="auto"/>
        <w:ind w:firstLineChars="200" w:firstLine="480"/>
        <w:contextualSpacing/>
        <w:rPr>
          <w:rFonts w:ascii="宋体" w:hAnsi="宋体"/>
          <w:sz w:val="24"/>
        </w:rPr>
        <w:sectPr w:rsidR="00E17FEC">
          <w:footerReference w:type="default" r:id="rId66"/>
          <w:pgSz w:w="11906" w:h="16838"/>
          <w:pgMar w:top="1418" w:right="1701" w:bottom="1418" w:left="1701" w:header="851" w:footer="992" w:gutter="0"/>
          <w:pgNumType w:start="1" w:chapStyle="1"/>
          <w:cols w:space="425"/>
          <w:docGrid w:type="lines" w:linePitch="312"/>
        </w:sectPr>
      </w:pPr>
    </w:p>
    <w:p w14:paraId="42780A88"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61" w:name="_Toc384992704"/>
      <w:bookmarkStart w:id="162" w:name="_Toc3276861"/>
      <w:bookmarkStart w:id="163" w:name="_Toc348082042"/>
      <w:bookmarkStart w:id="164" w:name="CLAUSE_1c80864023b14515872c5ea4e90d1d45"/>
      <w:r>
        <w:rPr>
          <w:rFonts w:ascii="宋体" w:eastAsia="宋体" w:hAnsi="宋体"/>
        </w:rPr>
        <w:lastRenderedPageBreak/>
        <w:t xml:space="preserve"> </w:t>
      </w:r>
      <w:bookmarkStart w:id="165" w:name="CTS_1c80864023b14515872c5ea4e90d1d45"/>
      <w:bookmarkEnd w:id="165"/>
      <w:r>
        <w:rPr>
          <w:rFonts w:ascii="宋体" w:eastAsia="宋体" w:hAnsi="宋体"/>
        </w:rPr>
        <w:t xml:space="preserve">   </w:t>
      </w:r>
      <w:r>
        <w:rPr>
          <w:rFonts w:ascii="宋体" w:eastAsia="宋体" w:hAnsi="宋体" w:hint="eastAsia"/>
        </w:rPr>
        <w:t>基金管理人和基金托管人的更换</w:t>
      </w:r>
      <w:bookmarkEnd w:id="161"/>
      <w:bookmarkEnd w:id="162"/>
      <w:bookmarkEnd w:id="163"/>
    </w:p>
    <w:p w14:paraId="1238E3B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（一）基金管理人的更换</w:t>
      </w:r>
    </w:p>
    <w:p w14:paraId="2B83C070"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1.基金管理人的更换条件</w:t>
      </w:r>
    </w:p>
    <w:p w14:paraId="787A58E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有下列情形之一的，基金管理人职责终止：</w:t>
      </w:r>
    </w:p>
    <w:p w14:paraId="08B2B74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（1）被依法取消基金管理资格；</w:t>
      </w:r>
    </w:p>
    <w:p w14:paraId="4B2DA20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（2）被基金份额持有人大会解任；</w:t>
      </w:r>
    </w:p>
    <w:p w14:paraId="30AD460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（3）依法解散、被依法撤销或被依法宣告破产；</w:t>
      </w:r>
    </w:p>
    <w:p w14:paraId="0264347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（4）法律法规及中国证监会规定的和《基金合同》约定的其他情形。</w:t>
      </w:r>
    </w:p>
    <w:p w14:paraId="593D7C5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2.基金管理人的更换程序</w:t>
      </w:r>
    </w:p>
    <w:p w14:paraId="26D8F26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更换基金管理人必须依照如下程序进行：</w:t>
      </w:r>
    </w:p>
    <w:p w14:paraId="6BD8122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（1）提名：</w:t>
      </w:r>
      <w:r>
        <w:rPr>
          <w:rFonts w:ascii="宋体" w:hAnsi="宋体" w:hint="eastAsia"/>
          <w:bCs/>
          <w:sz w:val="24"/>
        </w:rPr>
        <w:t>临时</w:t>
      </w:r>
      <w:r>
        <w:rPr>
          <w:rFonts w:ascii="宋体" w:hAnsi="宋体" w:hint="eastAsia"/>
          <w:sz w:val="24"/>
        </w:rPr>
        <w:t>基金管理人</w:t>
      </w:r>
      <w:r>
        <w:rPr>
          <w:rFonts w:ascii="宋体" w:hAnsi="宋体" w:hint="eastAsia"/>
          <w:bCs/>
          <w:sz w:val="24"/>
        </w:rPr>
        <w:t>应向</w:t>
      </w:r>
      <w:r>
        <w:rPr>
          <w:rFonts w:ascii="宋体" w:hAnsi="宋体" w:hint="eastAsia"/>
          <w:sz w:val="24"/>
        </w:rPr>
        <w:t>基金托管人</w:t>
      </w:r>
      <w:r>
        <w:rPr>
          <w:rFonts w:ascii="宋体" w:hAnsi="宋体" w:hint="eastAsia"/>
          <w:bCs/>
          <w:sz w:val="24"/>
        </w:rPr>
        <w:t>、</w:t>
      </w:r>
      <w:r>
        <w:rPr>
          <w:rFonts w:ascii="宋体" w:hAnsi="宋体" w:hint="eastAsia"/>
          <w:sz w:val="24"/>
        </w:rPr>
        <w:t>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）基金份额的基金份额持有人</w:t>
      </w:r>
      <w:r>
        <w:rPr>
          <w:rFonts w:ascii="宋体" w:hAnsi="宋体" w:hint="eastAsia"/>
          <w:bCs/>
          <w:sz w:val="24"/>
        </w:rPr>
        <w:t>，征集</w:t>
      </w:r>
      <w:proofErr w:type="gramStart"/>
      <w:r>
        <w:rPr>
          <w:rFonts w:ascii="宋体" w:hAnsi="宋体" w:hint="eastAsia"/>
          <w:bCs/>
          <w:sz w:val="24"/>
        </w:rPr>
        <w:t>新任基金</w:t>
      </w:r>
      <w:proofErr w:type="gramEnd"/>
      <w:r>
        <w:rPr>
          <w:rFonts w:ascii="宋体" w:hAnsi="宋体" w:hint="eastAsia"/>
          <w:bCs/>
          <w:sz w:val="24"/>
        </w:rPr>
        <w:t>管理人</w:t>
      </w:r>
      <w:r>
        <w:rPr>
          <w:rFonts w:ascii="宋体" w:hAnsi="宋体" w:hint="eastAsia"/>
          <w:sz w:val="24"/>
        </w:rPr>
        <w:t>提名</w:t>
      </w:r>
      <w:r>
        <w:rPr>
          <w:rFonts w:ascii="宋体" w:hAnsi="宋体" w:hint="eastAsia"/>
          <w:bCs/>
          <w:sz w:val="24"/>
        </w:rPr>
        <w:t>人选。</w:t>
      </w:r>
      <w:proofErr w:type="gramStart"/>
      <w:r>
        <w:rPr>
          <w:rFonts w:ascii="宋体" w:hAnsi="宋体" w:hint="eastAsia"/>
          <w:bCs/>
          <w:sz w:val="24"/>
        </w:rPr>
        <w:t>新任基金</w:t>
      </w:r>
      <w:proofErr w:type="gramEnd"/>
      <w:r>
        <w:rPr>
          <w:rFonts w:ascii="宋体" w:hAnsi="宋体" w:hint="eastAsia"/>
          <w:bCs/>
          <w:sz w:val="24"/>
        </w:rPr>
        <w:t>管理人提名人选由临时基金管理人、基金托管人、单独或合计持有10%以上（含10%）基金份额的基金份额持有人提名的人选构成</w:t>
      </w:r>
      <w:r>
        <w:rPr>
          <w:rFonts w:ascii="宋体" w:hAnsi="宋体" w:hint="eastAsia"/>
          <w:sz w:val="24"/>
        </w:rPr>
        <w:t>；</w:t>
      </w:r>
    </w:p>
    <w:p w14:paraId="5B3CB5C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（2）决议：基金份额持有人大会在基金管理人职责终止后</w:t>
      </w:r>
      <w:r>
        <w:rPr>
          <w:rFonts w:ascii="宋体" w:hAnsi="宋体" w:hint="eastAsia"/>
          <w:bCs/>
          <w:sz w:val="24"/>
        </w:rPr>
        <w:t>6</w:t>
      </w:r>
      <w:r>
        <w:rPr>
          <w:rFonts w:ascii="宋体" w:hAnsi="宋体" w:hint="eastAsia"/>
          <w:sz w:val="24"/>
        </w:rPr>
        <w:t>个月内对被提名的基金管理人形成决议，该决议需经参加大会的基金份额持有人所持表决权的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bCs/>
          <w:sz w:val="24"/>
        </w:rPr>
        <w:t>，决议自表决通过之日起生效</w:t>
      </w:r>
      <w:r>
        <w:rPr>
          <w:rFonts w:ascii="宋体" w:hAnsi="宋体" w:hint="eastAsia"/>
          <w:sz w:val="24"/>
        </w:rPr>
        <w:t>；</w:t>
      </w:r>
    </w:p>
    <w:p w14:paraId="4317B20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（3）临时基金管理人：</w:t>
      </w:r>
      <w:proofErr w:type="gramStart"/>
      <w:r>
        <w:rPr>
          <w:rFonts w:ascii="宋体" w:hAnsi="宋体" w:hint="eastAsia"/>
          <w:sz w:val="24"/>
        </w:rPr>
        <w:t>新任基金</w:t>
      </w:r>
      <w:proofErr w:type="gramEnd"/>
      <w:r>
        <w:rPr>
          <w:rFonts w:ascii="宋体" w:hAnsi="宋体" w:hint="eastAsia"/>
          <w:sz w:val="24"/>
        </w:rPr>
        <w:t>管理人产生之前，</w:t>
      </w:r>
      <w:r>
        <w:rPr>
          <w:rFonts w:ascii="宋体" w:hAnsi="宋体" w:hint="eastAsia"/>
          <w:bCs/>
          <w:sz w:val="24"/>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w:t>
      </w:r>
      <w:r>
        <w:rPr>
          <w:rFonts w:ascii="宋体" w:hAnsi="宋体" w:hint="eastAsia"/>
          <w:sz w:val="24"/>
        </w:rPr>
        <w:t>由中国证监会指定临时基金管理人；</w:t>
      </w:r>
      <w:r>
        <w:rPr>
          <w:rFonts w:ascii="宋体" w:hAnsi="宋体" w:hint="eastAsia"/>
          <w:bCs/>
          <w:sz w:val="24"/>
        </w:rPr>
        <w:t xml:space="preserve"> </w:t>
      </w:r>
    </w:p>
    <w:p w14:paraId="7F15524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（4）备案：基金份额持有人大会更换基金管理人的决议须报中国证监会备案；</w:t>
      </w:r>
    </w:p>
    <w:p w14:paraId="7001DC7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（5）公告：基金管理人更换后，由基金托管人在更换基金管理人的基金份额持有人大会决议生效后</w:t>
      </w:r>
      <w:r>
        <w:rPr>
          <w:rFonts w:ascii="宋体" w:hAnsi="宋体"/>
          <w:sz w:val="24"/>
        </w:rPr>
        <w:t>2</w:t>
      </w:r>
      <w:r>
        <w:rPr>
          <w:rFonts w:ascii="宋体" w:hAnsi="宋体" w:hint="eastAsia"/>
          <w:sz w:val="24"/>
        </w:rPr>
        <w:t>日内在规定媒介公告。</w:t>
      </w:r>
    </w:p>
    <w:p w14:paraId="12745C8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（6）交接</w:t>
      </w:r>
      <w:r>
        <w:rPr>
          <w:rFonts w:ascii="宋体" w:hAnsi="宋体" w:hint="eastAsia"/>
          <w:bCs/>
          <w:sz w:val="24"/>
        </w:rPr>
        <w:t>与责任划分</w:t>
      </w:r>
      <w:r>
        <w:rPr>
          <w:rFonts w:ascii="宋体" w:hAnsi="宋体" w:hint="eastAsia"/>
          <w:sz w:val="24"/>
        </w:rPr>
        <w:t>：基金管理人职责终止的，基金管理人应妥善保管基金管理业务资料，及时向临时基金管理人或</w:t>
      </w:r>
      <w:proofErr w:type="gramStart"/>
      <w:r>
        <w:rPr>
          <w:rFonts w:ascii="宋体" w:hAnsi="宋体" w:hint="eastAsia"/>
          <w:sz w:val="24"/>
        </w:rPr>
        <w:t>新任基金</w:t>
      </w:r>
      <w:proofErr w:type="gramEnd"/>
      <w:r>
        <w:rPr>
          <w:rFonts w:ascii="宋体" w:hAnsi="宋体" w:hint="eastAsia"/>
          <w:sz w:val="24"/>
        </w:rPr>
        <w:t>管理人办理基金管理业务的移交手续，临时基金管理人或</w:t>
      </w:r>
      <w:proofErr w:type="gramStart"/>
      <w:r>
        <w:rPr>
          <w:rFonts w:ascii="宋体" w:hAnsi="宋体" w:hint="eastAsia"/>
          <w:sz w:val="24"/>
        </w:rPr>
        <w:t>新任基金</w:t>
      </w:r>
      <w:proofErr w:type="gramEnd"/>
      <w:r>
        <w:rPr>
          <w:rFonts w:ascii="宋体" w:hAnsi="宋体" w:hint="eastAsia"/>
          <w:sz w:val="24"/>
        </w:rPr>
        <w:t>管理人应及时接收。</w:t>
      </w:r>
      <w:proofErr w:type="gramStart"/>
      <w:r>
        <w:rPr>
          <w:rFonts w:ascii="宋体" w:hAnsi="宋体" w:hint="eastAsia"/>
          <w:sz w:val="24"/>
        </w:rPr>
        <w:t>新任基金</w:t>
      </w:r>
      <w:proofErr w:type="gramEnd"/>
      <w:r>
        <w:rPr>
          <w:rFonts w:ascii="宋体" w:hAnsi="宋体" w:hint="eastAsia"/>
          <w:sz w:val="24"/>
        </w:rPr>
        <w:t>管理人</w:t>
      </w:r>
      <w:r>
        <w:rPr>
          <w:rFonts w:ascii="宋体" w:hAnsi="宋体" w:hint="eastAsia"/>
          <w:bCs/>
          <w:sz w:val="24"/>
        </w:rPr>
        <w:t>或临时基</w:t>
      </w:r>
      <w:r>
        <w:rPr>
          <w:rFonts w:ascii="宋体" w:hAnsi="宋体" w:hint="eastAsia"/>
          <w:bCs/>
          <w:sz w:val="24"/>
        </w:rPr>
        <w:lastRenderedPageBreak/>
        <w:t>金管理人</w:t>
      </w:r>
      <w:r>
        <w:rPr>
          <w:rFonts w:ascii="宋体" w:hAnsi="宋体" w:hint="eastAsia"/>
          <w:sz w:val="24"/>
        </w:rPr>
        <w:t>应与基金托管人核对基金资产总值</w:t>
      </w:r>
      <w:r>
        <w:rPr>
          <w:rFonts w:ascii="宋体" w:hAnsi="宋体"/>
          <w:bCs/>
          <w:sz w:val="24"/>
        </w:rPr>
        <w:t>和净值；</w:t>
      </w:r>
      <w:r>
        <w:rPr>
          <w:rFonts w:ascii="宋体" w:hAnsi="宋体" w:hint="eastAsia"/>
          <w:bCs/>
          <w:sz w:val="24"/>
        </w:rPr>
        <w:t>基金管理人、临时基金管理人、</w:t>
      </w:r>
      <w:proofErr w:type="gramStart"/>
      <w:r>
        <w:rPr>
          <w:rFonts w:ascii="宋体" w:hAnsi="宋体" w:hint="eastAsia"/>
          <w:bCs/>
          <w:sz w:val="24"/>
        </w:rPr>
        <w:t>新任基金</w:t>
      </w:r>
      <w:proofErr w:type="gramEnd"/>
      <w:r>
        <w:rPr>
          <w:rFonts w:ascii="宋体" w:hAnsi="宋体" w:hint="eastAsia"/>
          <w:bCs/>
          <w:sz w:val="24"/>
        </w:rPr>
        <w:t>管理人应对各自履职行为依法承担责任</w:t>
      </w:r>
      <w:r>
        <w:rPr>
          <w:rFonts w:ascii="宋体" w:hAnsi="宋体" w:hint="eastAsia"/>
          <w:sz w:val="24"/>
        </w:rPr>
        <w:t>；</w:t>
      </w:r>
    </w:p>
    <w:p w14:paraId="150EC55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（7）审计：基金管理人职责终止的，应当按照法律法规规定聘请</w:t>
      </w:r>
      <w:r>
        <w:rPr>
          <w:rFonts w:ascii="宋体" w:hAnsi="宋体" w:hint="eastAsia"/>
          <w:bCs/>
          <w:sz w:val="24"/>
        </w:rPr>
        <w:t>符合《中华人民共和国证券法》规定的</w:t>
      </w:r>
      <w:r>
        <w:rPr>
          <w:rFonts w:ascii="宋体" w:hAnsi="宋体" w:hint="eastAsia"/>
          <w:sz w:val="24"/>
        </w:rPr>
        <w:t>会计师事务所对基金财产进行审计，并将审计结果予以公告，同时报中国证监会备案</w:t>
      </w:r>
      <w:r>
        <w:rPr>
          <w:rFonts w:ascii="宋体" w:hAnsi="宋体" w:hint="eastAsia"/>
          <w:bCs/>
          <w:sz w:val="24"/>
        </w:rPr>
        <w:t>，审计费用在基金财产中列支</w:t>
      </w:r>
      <w:r>
        <w:rPr>
          <w:rFonts w:ascii="宋体" w:hAnsi="宋体" w:hint="eastAsia"/>
          <w:sz w:val="24"/>
        </w:rPr>
        <w:t>；</w:t>
      </w:r>
    </w:p>
    <w:p w14:paraId="72B6799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（8）基金名称变更：基金管理人更换后，如果原任或</w:t>
      </w:r>
      <w:proofErr w:type="gramStart"/>
      <w:r>
        <w:rPr>
          <w:rFonts w:ascii="宋体" w:hAnsi="宋体" w:hint="eastAsia"/>
          <w:sz w:val="24"/>
        </w:rPr>
        <w:t>新任基金</w:t>
      </w:r>
      <w:proofErr w:type="gramEnd"/>
      <w:r>
        <w:rPr>
          <w:rFonts w:ascii="宋体" w:hAnsi="宋体" w:hint="eastAsia"/>
          <w:sz w:val="24"/>
        </w:rPr>
        <w:t>管理人要求，应按其要求替换或删除基金名称中与</w:t>
      </w:r>
      <w:proofErr w:type="gramStart"/>
      <w:r>
        <w:rPr>
          <w:rFonts w:ascii="宋体" w:hAnsi="宋体" w:hint="eastAsia"/>
          <w:sz w:val="24"/>
        </w:rPr>
        <w:t>原基金</w:t>
      </w:r>
      <w:proofErr w:type="gramEnd"/>
      <w:r>
        <w:rPr>
          <w:rFonts w:ascii="宋体" w:hAnsi="宋体" w:hint="eastAsia"/>
          <w:sz w:val="24"/>
        </w:rPr>
        <w:t>管理人有关的名称字样。</w:t>
      </w:r>
    </w:p>
    <w:p w14:paraId="5D62A86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（二）基金托管人的更换</w:t>
      </w:r>
    </w:p>
    <w:p w14:paraId="2CE2A96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1、基金托管人的更换条件</w:t>
      </w:r>
    </w:p>
    <w:p w14:paraId="0E8A445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有下列情形之一的，基金托管人职责终止：</w:t>
      </w:r>
    </w:p>
    <w:p w14:paraId="696C889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（1）被依法取消基金托管资格；</w:t>
      </w:r>
    </w:p>
    <w:p w14:paraId="03C19BB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（2）被基金份额持有人大会解任；</w:t>
      </w:r>
    </w:p>
    <w:p w14:paraId="357EB90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（3）依法解散、被依法撤销或被依法宣告破产；</w:t>
      </w:r>
    </w:p>
    <w:p w14:paraId="598D38A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（4）法律法规及中国证监会规定的和《基金合同》约定的其他情形。</w:t>
      </w:r>
    </w:p>
    <w:p w14:paraId="19C43DB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2、基金托管人的更换程序</w:t>
      </w:r>
    </w:p>
    <w:p w14:paraId="1880221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（1）提名：</w:t>
      </w:r>
      <w:proofErr w:type="gramStart"/>
      <w:r>
        <w:rPr>
          <w:rFonts w:ascii="宋体" w:hAnsi="宋体" w:hint="eastAsia"/>
          <w:sz w:val="24"/>
        </w:rPr>
        <w:t>新任基金</w:t>
      </w:r>
      <w:proofErr w:type="gramEnd"/>
      <w:r>
        <w:rPr>
          <w:rFonts w:ascii="宋体" w:hAnsi="宋体" w:hint="eastAsia"/>
          <w:sz w:val="24"/>
        </w:rPr>
        <w:t>托管人由基金管理人或由单独或合计持有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w:t>
      </w:r>
      <w:r>
        <w:rPr>
          <w:rFonts w:ascii="宋体" w:hAnsi="宋体" w:hint="eastAsia"/>
          <w:bCs/>
          <w:sz w:val="24"/>
        </w:rPr>
        <w:t>份额</w:t>
      </w:r>
      <w:r>
        <w:rPr>
          <w:rFonts w:ascii="宋体" w:hAnsi="宋体" w:hint="eastAsia"/>
          <w:sz w:val="24"/>
        </w:rPr>
        <w:t>持有人提名；</w:t>
      </w:r>
    </w:p>
    <w:p w14:paraId="06A7D3C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（2）决议：基金份额持有人大会在基金托管人职责终止后</w:t>
      </w:r>
      <w:r>
        <w:rPr>
          <w:rFonts w:ascii="宋体" w:hAnsi="宋体" w:hint="eastAsia"/>
          <w:bCs/>
          <w:sz w:val="24"/>
        </w:rPr>
        <w:t>6</w:t>
      </w:r>
      <w:r>
        <w:rPr>
          <w:rFonts w:ascii="宋体" w:hAnsi="宋体" w:hint="eastAsia"/>
          <w:sz w:val="24"/>
        </w:rPr>
        <w:t>个月内对被提名的基金托管人形成决议，该决议需经参加大会的基金份额持有人所持表决权的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hint="eastAsia"/>
          <w:bCs/>
          <w:sz w:val="24"/>
        </w:rPr>
        <w:t>，决议自表决通过之日起生效</w:t>
      </w:r>
      <w:r>
        <w:rPr>
          <w:rFonts w:ascii="宋体" w:hAnsi="宋体" w:hint="eastAsia"/>
          <w:sz w:val="24"/>
        </w:rPr>
        <w:t>；</w:t>
      </w:r>
    </w:p>
    <w:p w14:paraId="6F7508F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（3）临时基金托管人：</w:t>
      </w:r>
      <w:proofErr w:type="gramStart"/>
      <w:r>
        <w:rPr>
          <w:rFonts w:ascii="宋体" w:hAnsi="宋体" w:hint="eastAsia"/>
          <w:sz w:val="24"/>
        </w:rPr>
        <w:t>新任基金</w:t>
      </w:r>
      <w:proofErr w:type="gramEnd"/>
      <w:r>
        <w:rPr>
          <w:rFonts w:ascii="宋体" w:hAnsi="宋体" w:hint="eastAsia"/>
          <w:sz w:val="24"/>
        </w:rPr>
        <w:t>托管人产生之前，由中国证监会指定临时基金托管人；</w:t>
      </w:r>
    </w:p>
    <w:p w14:paraId="77E6772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（4）备案：基金份额持有人大会更换基金托管人的决议须报中国证监会备案；</w:t>
      </w:r>
    </w:p>
    <w:p w14:paraId="5F75D14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（5）公告：基金托管人更换后，由基金管理人在更换基金托管人的基金份额持有人大会决议生效后</w:t>
      </w:r>
      <w:r>
        <w:rPr>
          <w:rFonts w:ascii="宋体" w:hAnsi="宋体"/>
          <w:sz w:val="24"/>
        </w:rPr>
        <w:t>2</w:t>
      </w:r>
      <w:r>
        <w:rPr>
          <w:rFonts w:ascii="宋体" w:hAnsi="宋体" w:hint="eastAsia"/>
          <w:sz w:val="24"/>
        </w:rPr>
        <w:t>日内在规定媒介公告。</w:t>
      </w:r>
    </w:p>
    <w:p w14:paraId="45EAA75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（6）交接：基金托管人职责终止的，应当妥善保管基金财产和基金托管业务资料，及时办理基金财产和基金托管业务的移交手续，</w:t>
      </w:r>
      <w:proofErr w:type="gramStart"/>
      <w:r>
        <w:rPr>
          <w:rFonts w:ascii="宋体" w:hAnsi="宋体" w:hint="eastAsia"/>
          <w:sz w:val="24"/>
        </w:rPr>
        <w:t>新任基金</w:t>
      </w:r>
      <w:proofErr w:type="gramEnd"/>
      <w:r>
        <w:rPr>
          <w:rFonts w:ascii="宋体" w:hAnsi="宋体" w:hint="eastAsia"/>
          <w:sz w:val="24"/>
        </w:rPr>
        <w:t>托管人或者临时基金托管人应当及时接收。</w:t>
      </w:r>
      <w:proofErr w:type="gramStart"/>
      <w:r>
        <w:rPr>
          <w:rFonts w:ascii="宋体" w:hAnsi="宋体" w:hint="eastAsia"/>
          <w:sz w:val="24"/>
        </w:rPr>
        <w:t>新任基金</w:t>
      </w:r>
      <w:proofErr w:type="gramEnd"/>
      <w:r>
        <w:rPr>
          <w:rFonts w:ascii="宋体" w:hAnsi="宋体" w:hint="eastAsia"/>
          <w:sz w:val="24"/>
        </w:rPr>
        <w:t>托管人</w:t>
      </w:r>
      <w:r>
        <w:rPr>
          <w:rFonts w:ascii="宋体" w:hAnsi="宋体" w:hint="eastAsia"/>
          <w:bCs/>
          <w:sz w:val="24"/>
        </w:rPr>
        <w:t>或者临时基金托管人应</w:t>
      </w:r>
      <w:r>
        <w:rPr>
          <w:rFonts w:ascii="宋体" w:hAnsi="宋体" w:hint="eastAsia"/>
          <w:sz w:val="24"/>
        </w:rPr>
        <w:t>与基金管理人核对基金资产总值</w:t>
      </w:r>
      <w:r>
        <w:rPr>
          <w:rFonts w:ascii="宋体" w:hAnsi="宋体"/>
          <w:bCs/>
          <w:sz w:val="24"/>
        </w:rPr>
        <w:t>和净值；</w:t>
      </w:r>
    </w:p>
    <w:p w14:paraId="5621F1C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（7）审计：基金托管人职责终止的，应当按照法律法规规定聘请</w:t>
      </w:r>
      <w:r>
        <w:rPr>
          <w:rFonts w:ascii="宋体" w:hAnsi="宋体" w:hint="eastAsia"/>
          <w:bCs/>
          <w:sz w:val="24"/>
        </w:rPr>
        <w:t>符合《中华</w:t>
      </w:r>
      <w:r>
        <w:rPr>
          <w:rFonts w:ascii="宋体" w:hAnsi="宋体" w:hint="eastAsia"/>
          <w:bCs/>
          <w:sz w:val="24"/>
        </w:rPr>
        <w:lastRenderedPageBreak/>
        <w:t>人民共和国证券法》规定的</w:t>
      </w:r>
      <w:r>
        <w:rPr>
          <w:rFonts w:ascii="宋体" w:hAnsi="宋体" w:hint="eastAsia"/>
          <w:sz w:val="24"/>
        </w:rPr>
        <w:t>会计师事务所对基金财产进行审计，并将审计结果予以公告，同时报中国证监会备案</w:t>
      </w:r>
      <w:r>
        <w:rPr>
          <w:rFonts w:ascii="宋体" w:hAnsi="宋体" w:hint="eastAsia"/>
          <w:bCs/>
          <w:sz w:val="24"/>
        </w:rPr>
        <w:t>，审计费用从基金财产中列支</w:t>
      </w:r>
      <w:r>
        <w:rPr>
          <w:rFonts w:ascii="宋体" w:hAnsi="宋体" w:hint="eastAsia"/>
          <w:sz w:val="24"/>
        </w:rPr>
        <w:t>。</w:t>
      </w:r>
    </w:p>
    <w:p w14:paraId="6F44EB8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3、基金管理人与基金托管人同时更换</w:t>
      </w:r>
    </w:p>
    <w:p w14:paraId="420BA50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（1）提名：如果基金管理人和基金托管人同时更换，由单独或合计持有基金总份额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）的基金份额持有人提名新的基金管理人和基金托管人；</w:t>
      </w:r>
    </w:p>
    <w:p w14:paraId="53C5FBF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）基金管理人和基金托管人的更换分别按上述程序进行；</w:t>
      </w:r>
    </w:p>
    <w:p w14:paraId="6D6116F0"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（3）公告：</w:t>
      </w:r>
      <w:proofErr w:type="gramStart"/>
      <w:r>
        <w:rPr>
          <w:rFonts w:ascii="宋体" w:hAnsi="宋体" w:hint="eastAsia"/>
          <w:sz w:val="24"/>
        </w:rPr>
        <w:t>新任基金</w:t>
      </w:r>
      <w:proofErr w:type="gramEnd"/>
      <w:r>
        <w:rPr>
          <w:rFonts w:ascii="宋体" w:hAnsi="宋体" w:hint="eastAsia"/>
          <w:sz w:val="24"/>
        </w:rPr>
        <w:t>管理人和</w:t>
      </w:r>
      <w:proofErr w:type="gramStart"/>
      <w:r>
        <w:rPr>
          <w:rFonts w:ascii="宋体" w:hAnsi="宋体" w:hint="eastAsia"/>
          <w:sz w:val="24"/>
        </w:rPr>
        <w:t>新任基金</w:t>
      </w:r>
      <w:proofErr w:type="gramEnd"/>
      <w:r>
        <w:rPr>
          <w:rFonts w:ascii="宋体" w:hAnsi="宋体" w:hint="eastAsia"/>
          <w:sz w:val="24"/>
        </w:rPr>
        <w:t>托管人应在更换基金管理人和基金托管人的基金份额持有人大会决议生效后</w:t>
      </w:r>
      <w:r>
        <w:rPr>
          <w:rFonts w:ascii="宋体" w:hAnsi="宋体"/>
          <w:sz w:val="24"/>
        </w:rPr>
        <w:t>2</w:t>
      </w:r>
      <w:r>
        <w:rPr>
          <w:rFonts w:ascii="宋体" w:hAnsi="宋体" w:hint="eastAsia"/>
          <w:sz w:val="24"/>
        </w:rPr>
        <w:t>日内在规定媒介上联合公告。</w:t>
      </w:r>
    </w:p>
    <w:p w14:paraId="40B9E2F5" w14:textId="77777777" w:rsidR="00E17FEC" w:rsidRDefault="00995857">
      <w:pPr>
        <w:spacing w:line="360" w:lineRule="auto"/>
        <w:ind w:firstLineChars="200" w:firstLine="480"/>
        <w:contextualSpacing/>
        <w:rPr>
          <w:rFonts w:ascii="宋体" w:hAnsi="宋体"/>
          <w:bCs/>
          <w:sz w:val="24"/>
        </w:rPr>
      </w:pPr>
      <w:r>
        <w:rPr>
          <w:rFonts w:ascii="宋体" w:hAnsi="宋体" w:hint="eastAsia"/>
          <w:sz w:val="24"/>
        </w:rPr>
        <w:t>（三）</w:t>
      </w:r>
      <w:r>
        <w:rPr>
          <w:rFonts w:ascii="宋体" w:hAnsi="宋体" w:hint="eastAsia"/>
          <w:bCs/>
          <w:sz w:val="24"/>
        </w:rPr>
        <w:t>新任或临时基金管理人接收基金管理业务，或新任或临时基金托管人接收基金财产和基金托管业务前，</w:t>
      </w:r>
      <w:proofErr w:type="gramStart"/>
      <w:r>
        <w:rPr>
          <w:rFonts w:ascii="宋体" w:hAnsi="宋体" w:hint="eastAsia"/>
          <w:bCs/>
          <w:sz w:val="24"/>
        </w:rPr>
        <w:t>原基金</w:t>
      </w:r>
      <w:proofErr w:type="gramEnd"/>
      <w:r>
        <w:rPr>
          <w:rFonts w:ascii="宋体" w:hAnsi="宋体" w:hint="eastAsia"/>
          <w:bCs/>
          <w:sz w:val="24"/>
        </w:rPr>
        <w:t>管理人或</w:t>
      </w:r>
      <w:proofErr w:type="gramStart"/>
      <w:r>
        <w:rPr>
          <w:rFonts w:ascii="宋体" w:hAnsi="宋体" w:hint="eastAsia"/>
          <w:bCs/>
          <w:sz w:val="24"/>
        </w:rPr>
        <w:t>原基金</w:t>
      </w:r>
      <w:proofErr w:type="gramEnd"/>
      <w:r>
        <w:rPr>
          <w:rFonts w:ascii="宋体" w:hAnsi="宋体" w:hint="eastAsia"/>
          <w:bCs/>
          <w:sz w:val="24"/>
        </w:rPr>
        <w:t>托管人应依据法律法规和《基金合同》的规定继续履行相关职责，并保证不对基金份额持有人的利益造成损害。</w:t>
      </w:r>
      <w:proofErr w:type="gramStart"/>
      <w:r>
        <w:rPr>
          <w:rFonts w:ascii="宋体" w:hAnsi="宋体" w:hint="eastAsia"/>
          <w:bCs/>
          <w:sz w:val="24"/>
        </w:rPr>
        <w:t>原基金</w:t>
      </w:r>
      <w:proofErr w:type="gramEnd"/>
      <w:r>
        <w:rPr>
          <w:rFonts w:ascii="宋体" w:hAnsi="宋体" w:hint="eastAsia"/>
          <w:bCs/>
          <w:sz w:val="24"/>
        </w:rPr>
        <w:t>管理人或</w:t>
      </w:r>
      <w:proofErr w:type="gramStart"/>
      <w:r>
        <w:rPr>
          <w:rFonts w:ascii="宋体" w:hAnsi="宋体" w:hint="eastAsia"/>
          <w:bCs/>
          <w:sz w:val="24"/>
        </w:rPr>
        <w:t>原基金</w:t>
      </w:r>
      <w:proofErr w:type="gramEnd"/>
      <w:r>
        <w:rPr>
          <w:rFonts w:ascii="宋体" w:hAnsi="宋体" w:hint="eastAsia"/>
          <w:bCs/>
          <w:sz w:val="24"/>
        </w:rPr>
        <w:t>托管人在继续履行相关职责期间，仍有权按照本基金合同的规定收取基金管理费或基金托管费。</w:t>
      </w:r>
    </w:p>
    <w:p w14:paraId="3644AEE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四</w:t>
      </w:r>
      <w:r>
        <w:rPr>
          <w:rFonts w:ascii="宋体" w:hAnsi="宋体" w:hint="eastAsia"/>
          <w:sz w:val="24"/>
        </w:rPr>
        <w:t>）其他事宜</w:t>
      </w:r>
      <w:proofErr w:type="gramStart"/>
      <w:r>
        <w:rPr>
          <w:rFonts w:ascii="宋体" w:hAnsi="宋体" w:hint="eastAsia"/>
          <w:sz w:val="24"/>
        </w:rPr>
        <w:t>见基金</w:t>
      </w:r>
      <w:proofErr w:type="gramEnd"/>
      <w:r>
        <w:rPr>
          <w:rFonts w:ascii="宋体" w:hAnsi="宋体" w:hint="eastAsia"/>
          <w:sz w:val="24"/>
        </w:rPr>
        <w:t>合同的相关约定。</w:t>
      </w:r>
    </w:p>
    <w:p w14:paraId="03F62B29" w14:textId="77777777" w:rsidR="00E17FEC" w:rsidRDefault="00E17FEC">
      <w:pPr>
        <w:spacing w:line="360" w:lineRule="auto"/>
        <w:ind w:firstLineChars="200" w:firstLine="480"/>
        <w:contextualSpacing/>
        <w:rPr>
          <w:rFonts w:ascii="宋体" w:hAnsi="宋体"/>
          <w:sz w:val="24"/>
        </w:rPr>
      </w:pPr>
    </w:p>
    <w:bookmarkEnd w:id="164"/>
    <w:p w14:paraId="15E27E91" w14:textId="77777777" w:rsidR="00E17FEC" w:rsidRDefault="00E17FEC">
      <w:pPr>
        <w:spacing w:line="360" w:lineRule="auto"/>
        <w:ind w:firstLineChars="200" w:firstLine="480"/>
        <w:contextualSpacing/>
        <w:rPr>
          <w:rFonts w:ascii="宋体" w:hAnsi="宋体"/>
          <w:sz w:val="24"/>
        </w:rPr>
        <w:sectPr w:rsidR="00E17FEC">
          <w:footerReference w:type="default" r:id="rId67"/>
          <w:pgSz w:w="11906" w:h="16838"/>
          <w:pgMar w:top="1418" w:right="1701" w:bottom="1418" w:left="1701" w:header="851" w:footer="992" w:gutter="0"/>
          <w:pgNumType w:start="1" w:chapStyle="1"/>
          <w:cols w:space="425"/>
          <w:docGrid w:type="lines" w:linePitch="312"/>
        </w:sectPr>
      </w:pPr>
    </w:p>
    <w:p w14:paraId="2D1E3CC5"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66" w:name="_Toc3276862"/>
      <w:bookmarkStart w:id="167" w:name="_Toc384992705"/>
      <w:bookmarkStart w:id="168" w:name="_Toc348082043"/>
      <w:bookmarkStart w:id="169" w:name="CLAUSE_08a667822ab64fa99425ccc1e6235624"/>
      <w:r>
        <w:rPr>
          <w:rFonts w:ascii="宋体" w:eastAsia="宋体" w:hAnsi="宋体"/>
        </w:rPr>
        <w:lastRenderedPageBreak/>
        <w:t xml:space="preserve"> </w:t>
      </w:r>
      <w:bookmarkStart w:id="170" w:name="CTS_08a667822ab64fa99425ccc1e6235624"/>
      <w:bookmarkEnd w:id="170"/>
      <w:r>
        <w:rPr>
          <w:rFonts w:ascii="宋体" w:eastAsia="宋体" w:hAnsi="宋体"/>
        </w:rPr>
        <w:t xml:space="preserve">   </w:t>
      </w:r>
      <w:r>
        <w:rPr>
          <w:rFonts w:ascii="宋体" w:eastAsia="宋体" w:hAnsi="宋体" w:hint="eastAsia"/>
        </w:rPr>
        <w:t>禁止行为</w:t>
      </w:r>
      <w:bookmarkEnd w:id="166"/>
      <w:bookmarkEnd w:id="167"/>
      <w:bookmarkEnd w:id="168"/>
    </w:p>
    <w:p w14:paraId="7C0E1EF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本协议当事人禁止从事的行为，包括但不限于：</w:t>
      </w:r>
    </w:p>
    <w:p w14:paraId="44C6DBE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（一）基金管理人、基金托管人将其固有财产或者他人财产混同于基金财产从事证券投资。</w:t>
      </w:r>
    </w:p>
    <w:p w14:paraId="1BEFBFA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（二）基金管理人不公平地对待其管理的不同基金财产，基金托管人不公平地对待其托管的不同基金财产。</w:t>
      </w:r>
    </w:p>
    <w:p w14:paraId="579952F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（三）基金管理人、基金托管人利用基金财产或职务之便为基金份额持有人以外的第三人牟取利益。</w:t>
      </w:r>
    </w:p>
    <w:p w14:paraId="3010EF5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（四）基金管理人、基金托管人向基金份额持有人违规承诺收益或者承担损失。</w:t>
      </w:r>
    </w:p>
    <w:p w14:paraId="14BB21D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（五）基金管理人、基金托管人对他人泄露基金运作和管理过程中任何尚未按法律法规规定的方式公开披露的信息。</w:t>
      </w:r>
    </w:p>
    <w:p w14:paraId="6A0D2BC2" w14:textId="77777777" w:rsidR="00E17FEC" w:rsidRDefault="00995857">
      <w:pPr>
        <w:pStyle w:val="a7"/>
        <w:adjustRightInd/>
        <w:snapToGrid/>
        <w:spacing w:line="360" w:lineRule="auto"/>
        <w:contextualSpacing/>
        <w:rPr>
          <w:rFonts w:ascii="宋体" w:eastAsia="宋体" w:hAnsi="宋体"/>
        </w:rPr>
      </w:pPr>
      <w:r>
        <w:rPr>
          <w:rFonts w:ascii="宋体" w:eastAsia="宋体" w:hAnsi="宋体" w:hint="eastAsia"/>
        </w:rPr>
        <w:t>（六）基金管理人在没有充足资金的情况下向基金托管人发出投资指令和付款指令，或违规向基金托管人发出指令。</w:t>
      </w:r>
    </w:p>
    <w:p w14:paraId="1654B3B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（七）基金管理人、基金托管人在行政上、财务上不独立，其高级管理人员和其他从业人员相互兼职。</w:t>
      </w:r>
    </w:p>
    <w:p w14:paraId="4A7ECE6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（八）基金托管人私自动用或处分基金财产，根据基金管理人的合法指令、基金合同或托管协议的规定进行处分的除外。</w:t>
      </w:r>
    </w:p>
    <w:p w14:paraId="7DC0AF8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（九）法律法规和基金合同禁止的其他行为，以及依照法律、行政法规有关规定，由中国证监会规定禁止基金管理人、基金托管人从事的其他行为。</w:t>
      </w:r>
    </w:p>
    <w:bookmarkEnd w:id="169"/>
    <w:p w14:paraId="641B1979" w14:textId="77777777" w:rsidR="00E17FEC" w:rsidRDefault="00E17FEC">
      <w:pPr>
        <w:spacing w:line="360" w:lineRule="auto"/>
        <w:ind w:firstLineChars="200" w:firstLine="480"/>
        <w:contextualSpacing/>
        <w:rPr>
          <w:rFonts w:ascii="宋体" w:hAnsi="宋体"/>
          <w:sz w:val="24"/>
        </w:rPr>
        <w:sectPr w:rsidR="00E17FEC">
          <w:footerReference w:type="default" r:id="rId68"/>
          <w:pgSz w:w="11906" w:h="16838"/>
          <w:pgMar w:top="1418" w:right="1701" w:bottom="1418" w:left="1701" w:header="851" w:footer="992" w:gutter="0"/>
          <w:pgNumType w:start="1" w:chapStyle="1"/>
          <w:cols w:space="425"/>
          <w:docGrid w:type="lines" w:linePitch="312"/>
        </w:sectPr>
      </w:pPr>
    </w:p>
    <w:p w14:paraId="7EAD16C9"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71" w:name="_Toc3276863"/>
      <w:bookmarkStart w:id="172" w:name="_Toc384992706"/>
      <w:bookmarkStart w:id="173" w:name="_Toc348082044"/>
      <w:bookmarkStart w:id="174" w:name="CLAUSE_caf10f8a7dd84769a7415b028c909c41"/>
      <w:r>
        <w:rPr>
          <w:rFonts w:ascii="宋体" w:eastAsia="宋体" w:hAnsi="宋体"/>
        </w:rPr>
        <w:lastRenderedPageBreak/>
        <w:t xml:space="preserve"> </w:t>
      </w:r>
      <w:bookmarkStart w:id="175" w:name="CTS_caf10f8a7dd84769a7415b028c909c41"/>
      <w:bookmarkEnd w:id="175"/>
      <w:r>
        <w:rPr>
          <w:rFonts w:ascii="宋体" w:eastAsia="宋体" w:hAnsi="宋体"/>
        </w:rPr>
        <w:t xml:space="preserve">   </w:t>
      </w:r>
      <w:r>
        <w:rPr>
          <w:rFonts w:ascii="宋体" w:eastAsia="宋体" w:hAnsi="宋体" w:hint="eastAsia"/>
        </w:rPr>
        <w:t>托管协议的变更、终止与基金财产的清算</w:t>
      </w:r>
      <w:bookmarkEnd w:id="171"/>
      <w:bookmarkEnd w:id="172"/>
      <w:bookmarkEnd w:id="173"/>
    </w:p>
    <w:p w14:paraId="5150296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（一）托管协议的变更程序</w:t>
      </w:r>
    </w:p>
    <w:p w14:paraId="0B52707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本协议双方当事人经协商一致，可以对协议进行修改。修改后的新协议，其内容不得与基金合同的规定有任何冲突。</w:t>
      </w:r>
    </w:p>
    <w:p w14:paraId="74B0BF8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（二）基金托管协议终止的情形</w:t>
      </w:r>
    </w:p>
    <w:p w14:paraId="3BB13A8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1、基金合同终止；</w:t>
      </w:r>
    </w:p>
    <w:p w14:paraId="191FDAD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2、基金托管人解散、依法被撤销、破产或由其他基金托管人接管基金资产；</w:t>
      </w:r>
    </w:p>
    <w:p w14:paraId="761C072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3、基金管理人解散、依法被撤销、破产或由其他基金管理人接管基金管理权；</w:t>
      </w:r>
    </w:p>
    <w:p w14:paraId="2C4A7BB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4、发生法律法规、中国证监会或基金合同规定的终止事项。</w:t>
      </w:r>
    </w:p>
    <w:p w14:paraId="4078152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（三）基金财产的清算</w:t>
      </w:r>
    </w:p>
    <w:p w14:paraId="59CF9F6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1、基金财产清算小组</w:t>
      </w:r>
    </w:p>
    <w:p w14:paraId="0D231B6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(1) 自出现《基金合同》终止事由之日起</w:t>
      </w:r>
      <w:r>
        <w:rPr>
          <w:rFonts w:ascii="宋体" w:hAnsi="宋体"/>
          <w:sz w:val="24"/>
        </w:rPr>
        <w:t>30</w:t>
      </w:r>
      <w:r>
        <w:rPr>
          <w:rFonts w:ascii="宋体" w:hAnsi="宋体" w:hint="eastAsia"/>
          <w:sz w:val="24"/>
        </w:rPr>
        <w:t>个工作日内成立清算小组，基金管理人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14:paraId="16DEB78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(2)</w:t>
      </w:r>
      <w:r>
        <w:rPr>
          <w:rFonts w:ascii="宋体" w:hAnsi="宋体" w:hint="eastAsia"/>
          <w:sz w:val="24"/>
          <w:szCs w:val="20"/>
        </w:rPr>
        <w:t xml:space="preserve"> </w:t>
      </w:r>
      <w:r>
        <w:rPr>
          <w:rFonts w:ascii="宋体" w:hAnsi="宋体" w:hint="eastAsia"/>
          <w:sz w:val="24"/>
        </w:rPr>
        <w:t>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14:paraId="7933749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)基金财产清算小组负责基金财产的保管、清理、估价、变现和分配。基金财产清算小组可以依法进行必要的民事活动。</w:t>
      </w:r>
    </w:p>
    <w:p w14:paraId="460D51D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2、基金财产清算程序</w:t>
      </w:r>
    </w:p>
    <w:p w14:paraId="0809CF4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14:paraId="7B6150F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）对基金财产和债权债务进行清理和确认；</w:t>
      </w:r>
    </w:p>
    <w:p w14:paraId="5F6B4DA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14:paraId="328F9FC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14:paraId="4AF10BB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14:paraId="1C5AC8A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14:paraId="61D003A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14:paraId="04293A3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lastRenderedPageBreak/>
        <w:t>3、基金财产清算的期限为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14:paraId="3CAA54CD" w14:textId="77777777" w:rsidR="00E17FEC" w:rsidRDefault="00995857">
      <w:pPr>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、清算费用</w:t>
      </w:r>
    </w:p>
    <w:p w14:paraId="6D83FEA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14:paraId="7BCC7599" w14:textId="77777777" w:rsidR="00E17FEC" w:rsidRDefault="00995857">
      <w:pPr>
        <w:spacing w:line="360" w:lineRule="auto"/>
        <w:ind w:firstLineChars="200" w:firstLine="480"/>
        <w:contextualSpacing/>
        <w:rPr>
          <w:rFonts w:ascii="宋体" w:hAnsi="宋体"/>
          <w:sz w:val="24"/>
        </w:rPr>
      </w:pPr>
      <w:r>
        <w:rPr>
          <w:rFonts w:ascii="宋体" w:hAnsi="宋体"/>
          <w:sz w:val="24"/>
        </w:rPr>
        <w:t>5</w:t>
      </w:r>
      <w:r>
        <w:rPr>
          <w:rFonts w:ascii="宋体" w:hAnsi="宋体" w:hint="eastAsia"/>
          <w:sz w:val="24"/>
        </w:rPr>
        <w:t>、基金财产按下列顺序清偿：</w:t>
      </w:r>
    </w:p>
    <w:p w14:paraId="6DC86C6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(1)支付清算费用；</w:t>
      </w:r>
    </w:p>
    <w:p w14:paraId="3CF2EAE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(2)交纳所欠税款；</w:t>
      </w:r>
    </w:p>
    <w:p w14:paraId="4E2A912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(3)清偿基金债务；</w:t>
      </w:r>
    </w:p>
    <w:p w14:paraId="520EB0C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(4)按基金份额持有人持有的基金份额比例进行分配。</w:t>
      </w:r>
    </w:p>
    <w:p w14:paraId="18A16E1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基金财产未按前款(1)－(3)项规定清偿前，不分配给基金份额持有人。</w:t>
      </w:r>
    </w:p>
    <w:p w14:paraId="0408EBA8" w14:textId="77777777" w:rsidR="00E17FEC" w:rsidRDefault="00995857">
      <w:pPr>
        <w:spacing w:line="360" w:lineRule="auto"/>
        <w:ind w:firstLineChars="200" w:firstLine="480"/>
        <w:contextualSpacing/>
        <w:rPr>
          <w:rFonts w:ascii="宋体" w:hAnsi="宋体"/>
          <w:sz w:val="24"/>
        </w:rPr>
      </w:pPr>
      <w:r>
        <w:rPr>
          <w:rFonts w:ascii="宋体" w:hAnsi="宋体"/>
          <w:sz w:val="24"/>
        </w:rPr>
        <w:t>6</w:t>
      </w:r>
      <w:r>
        <w:rPr>
          <w:rFonts w:ascii="宋体" w:hAnsi="宋体" w:hint="eastAsia"/>
          <w:sz w:val="24"/>
        </w:rPr>
        <w:t>、基金财产清算的公告</w:t>
      </w:r>
    </w:p>
    <w:p w14:paraId="65453F3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清算过程中的有关重大事项须及时公告；基金财产清算报告</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14:paraId="2C96B06B" w14:textId="77777777" w:rsidR="00E17FEC" w:rsidRDefault="00995857">
      <w:pPr>
        <w:spacing w:line="360" w:lineRule="auto"/>
        <w:ind w:firstLineChars="200" w:firstLine="480"/>
        <w:contextualSpacing/>
        <w:rPr>
          <w:rFonts w:ascii="宋体" w:hAnsi="宋体"/>
          <w:sz w:val="24"/>
        </w:rPr>
      </w:pPr>
      <w:r>
        <w:rPr>
          <w:rFonts w:ascii="宋体" w:hAnsi="宋体"/>
          <w:sz w:val="24"/>
        </w:rPr>
        <w:t>7</w:t>
      </w:r>
      <w:r>
        <w:rPr>
          <w:rFonts w:ascii="宋体" w:hAnsi="宋体" w:hint="eastAsia"/>
          <w:sz w:val="24"/>
        </w:rPr>
        <w:t>、基金财产清算账册及文件的保存</w:t>
      </w:r>
    </w:p>
    <w:p w14:paraId="2BFABC6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基金财产清算账册及有关文件由基金托管人保存，保存年限不低于法律法规规定的最低期限。</w:t>
      </w:r>
    </w:p>
    <w:p w14:paraId="4D19C854" w14:textId="77777777" w:rsidR="00E17FEC" w:rsidRDefault="00995857">
      <w:pPr>
        <w:spacing w:line="360" w:lineRule="auto"/>
        <w:ind w:firstLineChars="200" w:firstLine="480"/>
        <w:contextualSpacing/>
        <w:rPr>
          <w:rFonts w:ascii="宋体" w:hAnsi="宋体"/>
          <w:sz w:val="24"/>
        </w:rPr>
      </w:pPr>
      <w:r>
        <w:rPr>
          <w:rFonts w:ascii="宋体" w:hAnsi="宋体"/>
          <w:sz w:val="24"/>
        </w:rPr>
        <w:t>8</w:t>
      </w:r>
      <w:r>
        <w:rPr>
          <w:rFonts w:ascii="宋体" w:hAnsi="宋体" w:hint="eastAsia"/>
          <w:sz w:val="24"/>
        </w:rPr>
        <w:t>、基金财产账户销户</w:t>
      </w:r>
    </w:p>
    <w:p w14:paraId="7127185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基金财产清算完成后，基金托管人负责由指定人员办理资金账户、证券账户、债券托管专户的销户工作，销</w:t>
      </w:r>
      <w:proofErr w:type="gramStart"/>
      <w:r>
        <w:rPr>
          <w:rFonts w:ascii="宋体" w:hAnsi="宋体" w:hint="eastAsia"/>
          <w:sz w:val="24"/>
        </w:rPr>
        <w:t>户过程</w:t>
      </w:r>
      <w:proofErr w:type="gramEnd"/>
      <w:r>
        <w:rPr>
          <w:rFonts w:ascii="宋体" w:hAnsi="宋体" w:hint="eastAsia"/>
          <w:sz w:val="24"/>
        </w:rPr>
        <w:t>中基金管理人应给予必要的配合。</w:t>
      </w:r>
    </w:p>
    <w:bookmarkEnd w:id="174"/>
    <w:p w14:paraId="03DE2CBC" w14:textId="77777777" w:rsidR="00E17FEC" w:rsidRDefault="00E17FEC">
      <w:pPr>
        <w:spacing w:line="360" w:lineRule="auto"/>
        <w:ind w:firstLineChars="200" w:firstLine="480"/>
        <w:contextualSpacing/>
        <w:rPr>
          <w:rFonts w:ascii="宋体" w:hAnsi="宋体"/>
          <w:sz w:val="24"/>
        </w:rPr>
        <w:sectPr w:rsidR="00E17FEC">
          <w:footerReference w:type="default" r:id="rId69"/>
          <w:pgSz w:w="11906" w:h="16838"/>
          <w:pgMar w:top="1418" w:right="1701" w:bottom="1418" w:left="1701" w:header="851" w:footer="992" w:gutter="0"/>
          <w:pgNumType w:start="1" w:chapStyle="1"/>
          <w:cols w:space="425"/>
          <w:docGrid w:type="lines" w:linePitch="312"/>
        </w:sectPr>
      </w:pPr>
    </w:p>
    <w:p w14:paraId="7D66DB78" w14:textId="77777777" w:rsidR="00E17FEC" w:rsidRDefault="00995857">
      <w:pPr>
        <w:pStyle w:val="ac"/>
        <w:numPr>
          <w:ilvl w:val="0"/>
          <w:numId w:val="2"/>
        </w:numPr>
        <w:rPr>
          <w:rFonts w:ascii="宋体" w:eastAsia="宋体" w:hAnsi="宋体"/>
        </w:rPr>
      </w:pPr>
      <w:bookmarkStart w:id="176" w:name="_Toc384992707"/>
      <w:bookmarkStart w:id="177" w:name="_Toc348082045"/>
      <w:bookmarkStart w:id="178" w:name="_Toc3276864"/>
      <w:bookmarkStart w:id="179" w:name="CLAUSE_a4421962ac9445af887fcc890c50a95e"/>
      <w:r>
        <w:rPr>
          <w:rFonts w:ascii="宋体" w:eastAsia="宋体" w:hAnsi="宋体"/>
        </w:rPr>
        <w:lastRenderedPageBreak/>
        <w:t xml:space="preserve"> </w:t>
      </w:r>
      <w:bookmarkStart w:id="180" w:name="CTS_a4421962ac9445af887fcc890c50a95e"/>
      <w:bookmarkEnd w:id="180"/>
      <w:r>
        <w:rPr>
          <w:rFonts w:ascii="宋体" w:eastAsia="宋体" w:hAnsi="宋体"/>
        </w:rPr>
        <w:t xml:space="preserve">  </w:t>
      </w:r>
      <w:r>
        <w:rPr>
          <w:rFonts w:ascii="宋体" w:eastAsia="宋体" w:hAnsi="宋体" w:hint="eastAsia"/>
        </w:rPr>
        <w:t>违约责任</w:t>
      </w:r>
      <w:bookmarkEnd w:id="176"/>
      <w:bookmarkEnd w:id="177"/>
      <w:bookmarkEnd w:id="178"/>
    </w:p>
    <w:p w14:paraId="6DFE8D1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w:t>
      </w:r>
      <w:r>
        <w:rPr>
          <w:rFonts w:ascii="宋体" w:hAnsi="宋体"/>
          <w:sz w:val="24"/>
        </w:rPr>
        <w:t>基金管理人、基金托管人</w:t>
      </w:r>
      <w:r>
        <w:rPr>
          <w:rFonts w:ascii="宋体" w:hAnsi="宋体" w:hint="eastAsia"/>
          <w:sz w:val="24"/>
        </w:rPr>
        <w:t>不</w:t>
      </w:r>
      <w:r>
        <w:rPr>
          <w:rFonts w:ascii="宋体" w:hAnsi="宋体"/>
          <w:sz w:val="24"/>
        </w:rPr>
        <w:t>履行</w:t>
      </w:r>
      <w:r>
        <w:rPr>
          <w:rFonts w:ascii="宋体" w:hAnsi="宋体" w:hint="eastAsia"/>
          <w:sz w:val="24"/>
        </w:rPr>
        <w:t>本协议或履行本协议不符合约定的，应当承担违约责任。</w:t>
      </w:r>
    </w:p>
    <w:p w14:paraId="5978A1E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w:t>
      </w:r>
      <w:r>
        <w:rPr>
          <w:rFonts w:ascii="宋体" w:hAnsi="宋体"/>
          <w:sz w:val="24"/>
        </w:rPr>
        <w:t>基金管理人、基金托管人在履行各自职责的过程中，违反</w:t>
      </w:r>
      <w:r>
        <w:rPr>
          <w:rFonts w:ascii="宋体" w:hAnsi="宋体" w:hint="eastAsia"/>
          <w:sz w:val="24"/>
        </w:rPr>
        <w:t>《基金法》等法律法规的规定、《基金合同》和本托管协议</w:t>
      </w:r>
      <w:r>
        <w:rPr>
          <w:rFonts w:ascii="宋体" w:hAnsi="宋体"/>
          <w:sz w:val="24"/>
        </w:rPr>
        <w:t>约定，给基金财产或者基金份额持有人造成损害的，应当分别对各自的行为依法承担赔偿责任；因共同行为给基金财产或者基金份额持有人造成损害的，</w:t>
      </w:r>
      <w:r>
        <w:rPr>
          <w:rFonts w:ascii="宋体" w:hAnsi="宋体"/>
          <w:color w:val="000000"/>
          <w:sz w:val="24"/>
        </w:rPr>
        <w:t>应当承担连带赔偿责任。对损失的赔偿，仅限于直接损失</w:t>
      </w:r>
      <w:r>
        <w:rPr>
          <w:rFonts w:ascii="宋体" w:hAnsi="宋体"/>
          <w:sz w:val="24"/>
        </w:rPr>
        <w:t>。</w:t>
      </w:r>
    </w:p>
    <w:p w14:paraId="03E8B57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（三）一方当事人违约，给另一方当事人或基金财产造成损失的，应就直接损失进行赔偿，另一方当事人有权利及义务代表基金向违约方追偿。但是如发生下列情况，当事人免责：</w:t>
      </w:r>
    </w:p>
    <w:p w14:paraId="1186BB87"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w:t>
      </w:r>
      <w:r>
        <w:rPr>
          <w:rFonts w:ascii="宋体" w:hAnsi="宋体"/>
          <w:sz w:val="24"/>
        </w:rPr>
        <w:t>基金管理人</w:t>
      </w:r>
      <w:r>
        <w:rPr>
          <w:rFonts w:ascii="宋体" w:hAnsi="宋体" w:hint="eastAsia"/>
          <w:sz w:val="24"/>
        </w:rPr>
        <w:t>和/或</w:t>
      </w:r>
      <w:r>
        <w:rPr>
          <w:rFonts w:ascii="宋体" w:hAnsi="宋体"/>
          <w:sz w:val="24"/>
        </w:rPr>
        <w:t>基金托管人按照</w:t>
      </w:r>
      <w:r>
        <w:rPr>
          <w:rFonts w:ascii="宋体" w:hAnsi="宋体" w:hint="eastAsia"/>
          <w:sz w:val="24"/>
        </w:rPr>
        <w:t>届时</w:t>
      </w:r>
      <w:r>
        <w:rPr>
          <w:rFonts w:ascii="宋体" w:hAnsi="宋体"/>
          <w:sz w:val="24"/>
        </w:rPr>
        <w:t>有效的法律法规或中国证监会的规定作为或不作为而造成的损失等；</w:t>
      </w:r>
    </w:p>
    <w:p w14:paraId="78D4D1FA"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基金管理人由于按照《基金合同》规定的投资原则而行使或不行使其投资权而造成的损失等；</w:t>
      </w:r>
    </w:p>
    <w:p w14:paraId="17885CE8" w14:textId="77777777" w:rsidR="00E17FEC" w:rsidRDefault="00995857">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w:t>
      </w:r>
      <w:r>
        <w:rPr>
          <w:rFonts w:ascii="宋体" w:hAnsi="宋体"/>
          <w:sz w:val="24"/>
        </w:rPr>
        <w:t>不可抗力</w:t>
      </w:r>
      <w:r>
        <w:rPr>
          <w:rFonts w:ascii="宋体" w:hAnsi="宋体" w:hint="eastAsia"/>
          <w:sz w:val="24"/>
        </w:rPr>
        <w:t>。</w:t>
      </w:r>
    </w:p>
    <w:p w14:paraId="6560F82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41C37F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（五）违约行为虽已发生，但本托管协议能够继续履行的，在最大限度地保护基金份额持有人利益的前提下，基金管理人和基金托管人应当继续履行本协议。</w:t>
      </w:r>
      <w:proofErr w:type="gramStart"/>
      <w:r>
        <w:rPr>
          <w:rFonts w:ascii="宋体" w:hAnsi="宋体" w:hint="eastAsia"/>
          <w:sz w:val="24"/>
        </w:rPr>
        <w:t>若基金</w:t>
      </w:r>
      <w:proofErr w:type="gramEnd"/>
      <w:r>
        <w:rPr>
          <w:rFonts w:ascii="宋体" w:hAnsi="宋体" w:hint="eastAsia"/>
          <w:sz w:val="24"/>
        </w:rPr>
        <w:t>管理人或基金托管人因履行本协议而被起诉，另一方应提供合理的必要支持。</w:t>
      </w:r>
    </w:p>
    <w:p w14:paraId="599C1C74" w14:textId="77777777" w:rsidR="00E17FEC" w:rsidRDefault="00995857">
      <w:pPr>
        <w:spacing w:line="360" w:lineRule="auto"/>
        <w:ind w:firstLineChars="200" w:firstLine="480"/>
        <w:contextualSpacing/>
        <w:rPr>
          <w:rFonts w:ascii="宋体" w:hAnsi="宋体"/>
          <w:sz w:val="24"/>
        </w:rPr>
        <w:sectPr w:rsidR="00E17FEC">
          <w:footerReference w:type="default" r:id="rId70"/>
          <w:pgSz w:w="11906" w:h="16838"/>
          <w:pgMar w:top="1418" w:right="1701" w:bottom="1418" w:left="1701" w:header="851" w:footer="992" w:gutter="0"/>
          <w:pgNumType w:start="1" w:chapStyle="1"/>
          <w:cols w:space="425"/>
          <w:docGrid w:type="lines" w:linePitch="312"/>
        </w:sectPr>
      </w:pPr>
      <w:r>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54FC758A" w14:textId="77777777" w:rsidR="00E17FEC" w:rsidRDefault="00E17FEC">
      <w:pPr>
        <w:spacing w:line="360" w:lineRule="auto"/>
        <w:ind w:firstLineChars="200" w:firstLine="480"/>
        <w:contextualSpacing/>
        <w:rPr>
          <w:rFonts w:ascii="宋体" w:hAnsi="宋体"/>
          <w:sz w:val="24"/>
        </w:rPr>
      </w:pPr>
    </w:p>
    <w:p w14:paraId="74362272"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81" w:name="_Toc348082046"/>
      <w:bookmarkStart w:id="182" w:name="_Toc3276865"/>
      <w:bookmarkStart w:id="183" w:name="_Toc384992708"/>
      <w:r>
        <w:rPr>
          <w:rFonts w:ascii="宋体" w:eastAsia="宋体" w:hAnsi="宋体"/>
        </w:rPr>
        <w:lastRenderedPageBreak/>
        <w:t xml:space="preserve">   </w:t>
      </w:r>
      <w:r>
        <w:rPr>
          <w:rFonts w:ascii="宋体" w:eastAsia="宋体" w:hAnsi="宋体" w:hint="eastAsia"/>
        </w:rPr>
        <w:t>争议解决方式</w:t>
      </w:r>
      <w:bookmarkEnd w:id="181"/>
      <w:bookmarkEnd w:id="182"/>
      <w:bookmarkEnd w:id="183"/>
    </w:p>
    <w:p w14:paraId="5BD45E2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双方当事人同意，因本协议而产生的或与本协议有关的一切争议，如经友好协商未能解决的，任何一方均有权将争议提交</w:t>
      </w:r>
      <w:r>
        <w:rPr>
          <w:rFonts w:hint="eastAsia"/>
          <w:bCs/>
          <w:sz w:val="24"/>
        </w:rPr>
        <w:t>中国国际经济贸易仲裁委员会</w:t>
      </w:r>
      <w:r>
        <w:rPr>
          <w:rFonts w:ascii="宋体" w:hAnsi="宋体" w:hint="eastAsia"/>
          <w:sz w:val="24"/>
        </w:rPr>
        <w:t>，按照其届时有效的仲裁规则进行仲裁。仲裁地点为北京市。仲裁裁决是终局的，对双方当事人均有约束力。除非仲裁裁决另有决定，仲裁费由败诉方承担。</w:t>
      </w:r>
    </w:p>
    <w:p w14:paraId="7D2D105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44D9352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本协议受中华人民共和国法律（不含港澳台立法）管辖并从其解释。</w:t>
      </w:r>
    </w:p>
    <w:p w14:paraId="5BD8AE5F" w14:textId="77777777" w:rsidR="00E17FEC" w:rsidRDefault="00E17FEC">
      <w:pPr>
        <w:spacing w:line="360" w:lineRule="auto"/>
        <w:ind w:firstLineChars="200" w:firstLine="480"/>
        <w:contextualSpacing/>
        <w:rPr>
          <w:rFonts w:ascii="宋体" w:hAnsi="宋体"/>
          <w:sz w:val="24"/>
        </w:rPr>
      </w:pPr>
    </w:p>
    <w:bookmarkEnd w:id="179"/>
    <w:p w14:paraId="22A65BDD" w14:textId="77777777" w:rsidR="00E17FEC" w:rsidRDefault="00E17FEC">
      <w:pPr>
        <w:spacing w:line="360" w:lineRule="auto"/>
        <w:ind w:firstLineChars="200" w:firstLine="480"/>
        <w:contextualSpacing/>
        <w:rPr>
          <w:rFonts w:ascii="宋体" w:hAnsi="宋体"/>
          <w:sz w:val="24"/>
        </w:rPr>
        <w:sectPr w:rsidR="00E17FEC">
          <w:footerReference w:type="default" r:id="rId71"/>
          <w:type w:val="continuous"/>
          <w:pgSz w:w="11906" w:h="16838"/>
          <w:pgMar w:top="1418" w:right="1701" w:bottom="1418" w:left="1701" w:header="851" w:footer="992" w:gutter="0"/>
          <w:pgNumType w:start="1" w:chapStyle="1"/>
          <w:cols w:space="425"/>
          <w:docGrid w:type="lines" w:linePitch="312"/>
        </w:sectPr>
      </w:pPr>
    </w:p>
    <w:p w14:paraId="631EEF98"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84" w:name="_Toc348082047"/>
      <w:bookmarkStart w:id="185" w:name="_Toc3276866"/>
      <w:bookmarkStart w:id="186" w:name="_Toc384992709"/>
      <w:bookmarkStart w:id="187" w:name="CLAUSE_0edbdfc79ee74f15b2a5095eb68f0827"/>
      <w:r>
        <w:rPr>
          <w:rFonts w:ascii="宋体" w:eastAsia="宋体" w:hAnsi="宋体"/>
        </w:rPr>
        <w:lastRenderedPageBreak/>
        <w:t xml:space="preserve"> </w:t>
      </w:r>
      <w:bookmarkStart w:id="188" w:name="CTS_0edbdfc79ee74f15b2a5095eb68f0827"/>
      <w:bookmarkEnd w:id="188"/>
      <w:r>
        <w:rPr>
          <w:rFonts w:ascii="宋体" w:eastAsia="宋体" w:hAnsi="宋体"/>
        </w:rPr>
        <w:t xml:space="preserve">   </w:t>
      </w:r>
      <w:r>
        <w:rPr>
          <w:rFonts w:ascii="宋体" w:eastAsia="宋体" w:hAnsi="宋体" w:hint="eastAsia"/>
        </w:rPr>
        <w:t>托管协议的效力</w:t>
      </w:r>
      <w:bookmarkEnd w:id="184"/>
      <w:bookmarkEnd w:id="185"/>
      <w:bookmarkEnd w:id="186"/>
    </w:p>
    <w:p w14:paraId="34DA90E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双方对托管协议的效力约定如下：</w:t>
      </w:r>
    </w:p>
    <w:p w14:paraId="3FF5E35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基金管理人在向中国证监会申请基金募集注册时提交的托管协议，应经托管协议当事人双方盖章以及双方法定代表人或授权代表签字或盖章，协议当事人双方根据中国证监会的意见修改并正式签署托管协议。托管协议以中国证监会注册的文本为正式文本。</w:t>
      </w:r>
    </w:p>
    <w:p w14:paraId="571EFF8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5B3ED5F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（三）托管协议自生效之日起对托管协议当事人具有同等的法律约束力。</w:t>
      </w:r>
    </w:p>
    <w:p w14:paraId="14A2FD0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（四）本协议一式三份，协议双方各持一份，由基金管理人根据需要上报监管机构一份，每份具有同等法律效力。</w:t>
      </w:r>
    </w:p>
    <w:bookmarkEnd w:id="187"/>
    <w:p w14:paraId="4BD109DF" w14:textId="77777777" w:rsidR="00E17FEC" w:rsidRDefault="00E17FEC">
      <w:pPr>
        <w:spacing w:line="360" w:lineRule="auto"/>
        <w:ind w:firstLineChars="200" w:firstLine="480"/>
        <w:contextualSpacing/>
        <w:rPr>
          <w:rFonts w:ascii="宋体" w:hAnsi="宋体"/>
          <w:sz w:val="24"/>
        </w:rPr>
        <w:sectPr w:rsidR="00E17FEC">
          <w:footerReference w:type="default" r:id="rId72"/>
          <w:pgSz w:w="11906" w:h="16838"/>
          <w:pgMar w:top="1418" w:right="1701" w:bottom="1418" w:left="1701" w:header="851" w:footer="992" w:gutter="0"/>
          <w:pgNumType w:start="1" w:chapStyle="1"/>
          <w:cols w:space="425"/>
          <w:docGrid w:type="lines" w:linePitch="312"/>
        </w:sectPr>
      </w:pPr>
    </w:p>
    <w:p w14:paraId="2D74892E"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89" w:name="_Toc384992710"/>
      <w:bookmarkStart w:id="190" w:name="_Toc3276867"/>
      <w:bookmarkStart w:id="191" w:name="_Toc348082048"/>
      <w:bookmarkStart w:id="192" w:name="CLAUSE_ef77158db4244c4896d00920fd2b4b7b"/>
      <w:r>
        <w:rPr>
          <w:rFonts w:ascii="宋体" w:eastAsia="宋体" w:hAnsi="宋体"/>
        </w:rPr>
        <w:lastRenderedPageBreak/>
        <w:t xml:space="preserve"> </w:t>
      </w:r>
      <w:bookmarkStart w:id="193" w:name="CTS_ef77158db4244c4896d00920fd2b4b7b"/>
      <w:bookmarkEnd w:id="193"/>
      <w:r>
        <w:rPr>
          <w:rFonts w:ascii="宋体" w:eastAsia="宋体" w:hAnsi="宋体"/>
        </w:rPr>
        <w:t xml:space="preserve">   </w:t>
      </w:r>
      <w:r>
        <w:rPr>
          <w:rFonts w:ascii="宋体" w:eastAsia="宋体" w:hAnsi="宋体" w:hint="eastAsia"/>
        </w:rPr>
        <w:t>其他事项</w:t>
      </w:r>
      <w:bookmarkEnd w:id="189"/>
      <w:bookmarkEnd w:id="190"/>
      <w:bookmarkEnd w:id="191"/>
    </w:p>
    <w:p w14:paraId="6ABF630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如发生有权司法机关依法冻结基金份额持有人的基金份额时，基金管理人应予以配合，承担司法协助义务。</w:t>
      </w:r>
    </w:p>
    <w:p w14:paraId="4B47020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除本协议有明确定义外，本协议的用语定义适用基金合同的约定。本协议未尽事宜，当事人依据基金合同、有关法律法规等规定协商办理。</w:t>
      </w:r>
    </w:p>
    <w:p w14:paraId="7E256B0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本协议附件构成本协议不可分割的组成部分。</w:t>
      </w:r>
    </w:p>
    <w:bookmarkEnd w:id="192"/>
    <w:p w14:paraId="7C87FD5A" w14:textId="77777777" w:rsidR="00E17FEC" w:rsidRDefault="00E17FEC">
      <w:pPr>
        <w:spacing w:line="360" w:lineRule="auto"/>
        <w:ind w:firstLineChars="200" w:firstLine="480"/>
        <w:contextualSpacing/>
        <w:rPr>
          <w:rFonts w:ascii="宋体" w:hAnsi="宋体"/>
          <w:sz w:val="24"/>
        </w:rPr>
        <w:sectPr w:rsidR="00E17FEC">
          <w:footerReference w:type="default" r:id="rId73"/>
          <w:pgSz w:w="11906" w:h="16838"/>
          <w:pgMar w:top="1418" w:right="1701" w:bottom="1418" w:left="1701" w:header="851" w:footer="992" w:gutter="0"/>
          <w:pgNumType w:start="1" w:chapStyle="1"/>
          <w:cols w:space="425"/>
          <w:docGrid w:type="lines" w:linePitch="312"/>
        </w:sectPr>
      </w:pPr>
    </w:p>
    <w:p w14:paraId="080F51D2"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94" w:name="_Toc348082049"/>
      <w:bookmarkStart w:id="195" w:name="_Toc384992711"/>
      <w:bookmarkStart w:id="196" w:name="_Toc3276868"/>
      <w:bookmarkStart w:id="197" w:name="CLAUSE_21b2d0fce39e458b881a6acf05e113ec"/>
      <w:r>
        <w:rPr>
          <w:rFonts w:ascii="宋体" w:eastAsia="宋体" w:hAnsi="宋体"/>
        </w:rPr>
        <w:lastRenderedPageBreak/>
        <w:t xml:space="preserve"> </w:t>
      </w:r>
      <w:bookmarkStart w:id="198" w:name="CTS_21b2d0fce39e458b881a6acf05e113ec"/>
      <w:bookmarkEnd w:id="198"/>
      <w:r>
        <w:rPr>
          <w:rFonts w:ascii="宋体" w:eastAsia="宋体" w:hAnsi="宋体"/>
        </w:rPr>
        <w:t xml:space="preserve">   </w:t>
      </w:r>
      <w:r>
        <w:rPr>
          <w:rFonts w:ascii="宋体" w:eastAsia="宋体" w:hAnsi="宋体" w:hint="eastAsia"/>
        </w:rPr>
        <w:t>托管协议的签订</w:t>
      </w:r>
      <w:bookmarkEnd w:id="194"/>
      <w:bookmarkEnd w:id="195"/>
      <w:bookmarkEnd w:id="196"/>
    </w:p>
    <w:p w14:paraId="4EC29CF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本协议双方法定代表人或授权代表人签章、签订地、签订日。</w:t>
      </w:r>
    </w:p>
    <w:p w14:paraId="1B0C61A3" w14:textId="77777777" w:rsidR="00E17FEC" w:rsidRDefault="00E17FEC">
      <w:pPr>
        <w:spacing w:line="360" w:lineRule="auto"/>
        <w:contextualSpacing/>
        <w:rPr>
          <w:rFonts w:ascii="宋体" w:hAnsi="宋体"/>
          <w:sz w:val="24"/>
        </w:rPr>
      </w:pPr>
    </w:p>
    <w:bookmarkEnd w:id="10"/>
    <w:bookmarkEnd w:id="11"/>
    <w:bookmarkEnd w:id="12"/>
    <w:bookmarkEnd w:id="197"/>
    <w:p w14:paraId="450A5CA4" w14:textId="77777777" w:rsidR="00E17FEC" w:rsidRDefault="00E17FEC">
      <w:pPr>
        <w:spacing w:line="360" w:lineRule="auto"/>
        <w:ind w:firstLineChars="200" w:firstLine="480"/>
        <w:contextualSpacing/>
        <w:rPr>
          <w:rFonts w:ascii="宋体" w:hAnsi="宋体"/>
          <w:sz w:val="24"/>
        </w:rPr>
        <w:sectPr w:rsidR="00E17FEC">
          <w:footerReference w:type="default" r:id="rId74"/>
          <w:pgSz w:w="11906" w:h="16838"/>
          <w:pgMar w:top="1418" w:right="1701" w:bottom="1418" w:left="1701" w:header="851" w:footer="992" w:gutter="0"/>
          <w:pgNumType w:start="1" w:chapStyle="1"/>
          <w:cols w:space="425"/>
          <w:docGrid w:type="lines" w:linePitch="312"/>
        </w:sectPr>
      </w:pPr>
    </w:p>
    <w:p w14:paraId="3990E2C9" w14:textId="6806F2A1" w:rsidR="00E17FEC" w:rsidRDefault="0093014E" w:rsidP="0093014E">
      <w:pPr>
        <w:spacing w:line="360" w:lineRule="auto"/>
        <w:contextualSpacing/>
        <w:jc w:val="center"/>
        <w:rPr>
          <w:rFonts w:ascii="宋体" w:hAnsi="宋体"/>
          <w:szCs w:val="21"/>
        </w:rPr>
      </w:pPr>
      <w:bookmarkStart w:id="199" w:name="CTS_6eae47de7a574b50b4ae849139c98b19"/>
      <w:bookmarkStart w:id="200" w:name="CLAUSE_6eae47de7a574b50b4ae849139c98b19"/>
      <w:bookmarkEnd w:id="199"/>
      <w:r>
        <w:rPr>
          <w:rFonts w:ascii="宋体" w:hAnsi="宋体" w:hint="eastAsia"/>
          <w:szCs w:val="21"/>
        </w:rPr>
        <w:lastRenderedPageBreak/>
        <w:t>（本页为《东方阿尔法瑞丰混合型发起式证券投资基金托管协议</w:t>
      </w:r>
      <w:r w:rsidR="00995857">
        <w:rPr>
          <w:rFonts w:ascii="宋体" w:hAnsi="宋体" w:hint="eastAsia"/>
          <w:szCs w:val="21"/>
        </w:rPr>
        <w:t>》签署页，无正文）</w:t>
      </w:r>
    </w:p>
    <w:p w14:paraId="0658FF62" w14:textId="77777777" w:rsidR="00E17FEC" w:rsidRDefault="00E17FEC">
      <w:pPr>
        <w:widowControl/>
        <w:jc w:val="left"/>
        <w:rPr>
          <w:rFonts w:ascii="宋体" w:hAnsi="宋体"/>
        </w:rPr>
      </w:pPr>
    </w:p>
    <w:p w14:paraId="1F49F539" w14:textId="77777777" w:rsidR="00E17FEC" w:rsidRDefault="00E17FEC">
      <w:pPr>
        <w:adjustRightInd w:val="0"/>
        <w:snapToGrid w:val="0"/>
        <w:spacing w:line="360" w:lineRule="auto"/>
        <w:ind w:firstLineChars="200" w:firstLine="562"/>
        <w:rPr>
          <w:rFonts w:ascii="宋体" w:hAnsi="宋体" w:cs="Arial"/>
          <w:b/>
          <w:sz w:val="28"/>
          <w:szCs w:val="28"/>
        </w:rPr>
      </w:pPr>
    </w:p>
    <w:p w14:paraId="73513C08" w14:textId="77777777" w:rsidR="00E17FEC" w:rsidRDefault="00E17FEC">
      <w:pPr>
        <w:adjustRightInd w:val="0"/>
        <w:snapToGrid w:val="0"/>
        <w:spacing w:line="360" w:lineRule="auto"/>
        <w:ind w:firstLineChars="200" w:firstLine="562"/>
        <w:rPr>
          <w:rFonts w:ascii="宋体" w:hAnsi="宋体" w:cs="Arial"/>
          <w:b/>
          <w:sz w:val="28"/>
          <w:szCs w:val="28"/>
        </w:rPr>
      </w:pPr>
    </w:p>
    <w:p w14:paraId="0E79052E" w14:textId="77777777" w:rsidR="00E17FEC" w:rsidRDefault="00995857">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基金管理人：</w:t>
      </w:r>
      <w:r>
        <w:rPr>
          <w:rFonts w:ascii="宋体" w:hAnsi="宋体" w:cs="Arial" w:hint="eastAsia"/>
          <w:sz w:val="28"/>
          <w:szCs w:val="28"/>
        </w:rPr>
        <w:t>东方阿尔法基金管理有限公司</w:t>
      </w:r>
      <w:r>
        <w:rPr>
          <w:rFonts w:ascii="宋体" w:hAnsi="宋体" w:cs="Arial"/>
          <w:sz w:val="28"/>
          <w:szCs w:val="28"/>
        </w:rPr>
        <w:t xml:space="preserve"> </w:t>
      </w:r>
      <w:r>
        <w:rPr>
          <w:rFonts w:ascii="宋体" w:hAnsi="宋体" w:cs="Arial" w:hint="eastAsia"/>
          <w:sz w:val="28"/>
          <w:szCs w:val="28"/>
        </w:rPr>
        <w:t>（公章）</w:t>
      </w:r>
    </w:p>
    <w:p w14:paraId="53C87C5E" w14:textId="77777777" w:rsidR="00E17FEC" w:rsidRDefault="00E17FEC">
      <w:pPr>
        <w:adjustRightInd w:val="0"/>
        <w:snapToGrid w:val="0"/>
        <w:spacing w:line="360" w:lineRule="auto"/>
        <w:ind w:firstLineChars="200" w:firstLine="562"/>
        <w:rPr>
          <w:rFonts w:ascii="宋体" w:hAnsi="宋体" w:cs="Arial"/>
          <w:b/>
          <w:sz w:val="28"/>
          <w:szCs w:val="28"/>
        </w:rPr>
      </w:pPr>
    </w:p>
    <w:p w14:paraId="4D580700" w14:textId="77777777" w:rsidR="00E17FEC" w:rsidRDefault="00E17FEC">
      <w:pPr>
        <w:adjustRightInd w:val="0"/>
        <w:snapToGrid w:val="0"/>
        <w:spacing w:line="360" w:lineRule="auto"/>
        <w:ind w:firstLineChars="200" w:firstLine="562"/>
        <w:rPr>
          <w:rFonts w:ascii="宋体" w:hAnsi="宋体" w:cs="Arial"/>
          <w:b/>
          <w:sz w:val="28"/>
          <w:szCs w:val="28"/>
        </w:rPr>
      </w:pPr>
    </w:p>
    <w:p w14:paraId="45117792" w14:textId="77777777" w:rsidR="00E17FEC" w:rsidRDefault="00995857">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法定代表人或授权代表（签字或盖章）：</w:t>
      </w:r>
      <w:r>
        <w:rPr>
          <w:rFonts w:ascii="宋体" w:hAnsi="宋体" w:cs="Arial"/>
          <w:b/>
          <w:sz w:val="28"/>
          <w:szCs w:val="28"/>
        </w:rPr>
        <w:t xml:space="preserve">                   </w:t>
      </w:r>
    </w:p>
    <w:p w14:paraId="4A24FD72" w14:textId="77777777" w:rsidR="00E17FEC" w:rsidRDefault="00E17FEC">
      <w:pPr>
        <w:adjustRightInd w:val="0"/>
        <w:snapToGrid w:val="0"/>
        <w:spacing w:line="360" w:lineRule="auto"/>
        <w:ind w:firstLineChars="200" w:firstLine="562"/>
        <w:rPr>
          <w:rFonts w:ascii="宋体" w:hAnsi="宋体" w:cs="Arial"/>
          <w:b/>
          <w:sz w:val="28"/>
          <w:szCs w:val="28"/>
        </w:rPr>
      </w:pPr>
    </w:p>
    <w:p w14:paraId="081BDD5A" w14:textId="77777777" w:rsidR="00E17FEC" w:rsidRDefault="00E17FEC">
      <w:pPr>
        <w:adjustRightInd w:val="0"/>
        <w:snapToGrid w:val="0"/>
        <w:spacing w:line="360" w:lineRule="auto"/>
        <w:ind w:firstLineChars="200" w:firstLine="562"/>
        <w:rPr>
          <w:rFonts w:ascii="宋体" w:hAnsi="宋体" w:cs="Arial"/>
          <w:b/>
          <w:sz w:val="28"/>
          <w:szCs w:val="28"/>
        </w:rPr>
      </w:pPr>
    </w:p>
    <w:p w14:paraId="30077E7E" w14:textId="77777777" w:rsidR="00E17FEC" w:rsidRDefault="00995857">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签订日期：</w:t>
      </w:r>
      <w:r>
        <w:rPr>
          <w:rFonts w:ascii="宋体" w:hAnsi="宋体" w:cs="Arial"/>
          <w:b/>
          <w:sz w:val="28"/>
          <w:szCs w:val="28"/>
        </w:rPr>
        <w:t xml:space="preserve">          </w:t>
      </w:r>
      <w:r>
        <w:rPr>
          <w:rFonts w:ascii="宋体" w:hAnsi="宋体" w:cs="Arial" w:hint="eastAsia"/>
          <w:sz w:val="28"/>
          <w:szCs w:val="28"/>
        </w:rPr>
        <w:t>年</w:t>
      </w:r>
      <w:r>
        <w:rPr>
          <w:rFonts w:ascii="宋体" w:hAnsi="宋体" w:cs="Arial"/>
          <w:sz w:val="28"/>
          <w:szCs w:val="28"/>
        </w:rPr>
        <w:t xml:space="preserve">     月    日</w:t>
      </w:r>
    </w:p>
    <w:p w14:paraId="2A8C757A" w14:textId="77777777" w:rsidR="00E17FEC" w:rsidRDefault="00995857">
      <w:pPr>
        <w:adjustRightInd w:val="0"/>
        <w:snapToGrid w:val="0"/>
        <w:spacing w:line="360" w:lineRule="auto"/>
        <w:ind w:firstLineChars="200" w:firstLine="562"/>
        <w:rPr>
          <w:rFonts w:ascii="宋体" w:hAnsi="宋体" w:cs="Arial"/>
          <w:b/>
          <w:sz w:val="28"/>
          <w:szCs w:val="28"/>
        </w:rPr>
      </w:pPr>
      <w:r>
        <w:rPr>
          <w:rFonts w:ascii="宋体" w:hAnsi="宋体" w:cs="Arial"/>
          <w:b/>
          <w:sz w:val="28"/>
          <w:szCs w:val="28"/>
        </w:rPr>
        <w:t>签署地</w:t>
      </w:r>
      <w:r>
        <w:rPr>
          <w:rFonts w:ascii="宋体" w:hAnsi="宋体" w:cs="Arial" w:hint="eastAsia"/>
          <w:b/>
          <w:sz w:val="28"/>
          <w:szCs w:val="28"/>
        </w:rPr>
        <w:t>：</w:t>
      </w:r>
    </w:p>
    <w:p w14:paraId="69838AA8" w14:textId="77777777" w:rsidR="00E17FEC" w:rsidRDefault="00E17FEC">
      <w:pPr>
        <w:adjustRightInd w:val="0"/>
        <w:snapToGrid w:val="0"/>
        <w:spacing w:line="360" w:lineRule="auto"/>
        <w:ind w:firstLineChars="200" w:firstLine="562"/>
        <w:rPr>
          <w:rFonts w:ascii="宋体" w:hAnsi="宋体" w:cs="Arial"/>
          <w:b/>
          <w:sz w:val="28"/>
          <w:szCs w:val="28"/>
        </w:rPr>
      </w:pPr>
    </w:p>
    <w:p w14:paraId="766B37DA" w14:textId="77777777" w:rsidR="00E17FEC" w:rsidRDefault="00E17FEC">
      <w:pPr>
        <w:adjustRightInd w:val="0"/>
        <w:snapToGrid w:val="0"/>
        <w:spacing w:line="360" w:lineRule="auto"/>
        <w:ind w:firstLineChars="200" w:firstLine="562"/>
        <w:rPr>
          <w:rFonts w:ascii="宋体" w:hAnsi="宋体" w:cs="Arial"/>
          <w:b/>
          <w:sz w:val="28"/>
          <w:szCs w:val="28"/>
        </w:rPr>
      </w:pPr>
    </w:p>
    <w:p w14:paraId="0A4AAAD2" w14:textId="77777777" w:rsidR="00E17FEC" w:rsidRDefault="00E17FEC">
      <w:pPr>
        <w:adjustRightInd w:val="0"/>
        <w:snapToGrid w:val="0"/>
        <w:spacing w:line="360" w:lineRule="auto"/>
        <w:ind w:firstLineChars="200" w:firstLine="562"/>
        <w:rPr>
          <w:rFonts w:ascii="宋体" w:hAnsi="宋体" w:cs="Arial"/>
          <w:b/>
          <w:sz w:val="28"/>
          <w:szCs w:val="28"/>
        </w:rPr>
      </w:pPr>
    </w:p>
    <w:p w14:paraId="6D88013E" w14:textId="77777777" w:rsidR="00E17FEC" w:rsidRDefault="00995857">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基金托管人：</w:t>
      </w:r>
      <w:r>
        <w:rPr>
          <w:rFonts w:ascii="宋体" w:hAnsi="宋体" w:cs="Arial" w:hint="eastAsia"/>
          <w:sz w:val="28"/>
          <w:szCs w:val="28"/>
        </w:rPr>
        <w:t>中国农业银行股份有限公司</w:t>
      </w:r>
      <w:r>
        <w:rPr>
          <w:rFonts w:ascii="宋体" w:hAnsi="宋体" w:cs="Arial"/>
          <w:sz w:val="28"/>
          <w:szCs w:val="28"/>
        </w:rPr>
        <w:t xml:space="preserve"> </w:t>
      </w:r>
      <w:r>
        <w:rPr>
          <w:rFonts w:ascii="宋体" w:hAnsi="宋体" w:cs="Arial" w:hint="eastAsia"/>
          <w:sz w:val="28"/>
          <w:szCs w:val="28"/>
        </w:rPr>
        <w:t>（公章）</w:t>
      </w:r>
    </w:p>
    <w:p w14:paraId="15A4A841" w14:textId="77777777" w:rsidR="00E17FEC" w:rsidRDefault="00E17FEC">
      <w:pPr>
        <w:adjustRightInd w:val="0"/>
        <w:snapToGrid w:val="0"/>
        <w:spacing w:line="360" w:lineRule="auto"/>
        <w:ind w:firstLineChars="200" w:firstLine="562"/>
        <w:rPr>
          <w:rFonts w:ascii="宋体" w:hAnsi="宋体" w:cs="Arial"/>
          <w:b/>
          <w:sz w:val="28"/>
          <w:szCs w:val="28"/>
        </w:rPr>
      </w:pPr>
    </w:p>
    <w:p w14:paraId="68D77B7C" w14:textId="77777777" w:rsidR="00E17FEC" w:rsidRDefault="00E17FEC">
      <w:pPr>
        <w:adjustRightInd w:val="0"/>
        <w:snapToGrid w:val="0"/>
        <w:spacing w:line="360" w:lineRule="auto"/>
        <w:ind w:firstLineChars="200" w:firstLine="562"/>
        <w:rPr>
          <w:rFonts w:ascii="宋体" w:hAnsi="宋体" w:cs="Arial"/>
          <w:b/>
          <w:sz w:val="28"/>
          <w:szCs w:val="28"/>
        </w:rPr>
      </w:pPr>
    </w:p>
    <w:p w14:paraId="2DA934E4" w14:textId="77777777" w:rsidR="00E17FEC" w:rsidRDefault="00995857">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法定代表人或授权代表（签字或盖章）：</w:t>
      </w:r>
      <w:r>
        <w:rPr>
          <w:rFonts w:ascii="宋体" w:hAnsi="宋体" w:cs="Arial"/>
          <w:b/>
          <w:sz w:val="28"/>
          <w:szCs w:val="28"/>
        </w:rPr>
        <w:t xml:space="preserve">                   </w:t>
      </w:r>
    </w:p>
    <w:p w14:paraId="4F5ED76F" w14:textId="77777777" w:rsidR="00E17FEC" w:rsidRDefault="00E17FEC">
      <w:pPr>
        <w:adjustRightInd w:val="0"/>
        <w:snapToGrid w:val="0"/>
        <w:spacing w:line="360" w:lineRule="auto"/>
        <w:ind w:firstLineChars="200" w:firstLine="562"/>
        <w:rPr>
          <w:rFonts w:ascii="宋体" w:hAnsi="宋体" w:cs="Arial"/>
          <w:b/>
          <w:sz w:val="28"/>
          <w:szCs w:val="28"/>
        </w:rPr>
      </w:pPr>
    </w:p>
    <w:p w14:paraId="047B978B" w14:textId="77777777" w:rsidR="00E17FEC" w:rsidRDefault="00E17FEC">
      <w:pPr>
        <w:adjustRightInd w:val="0"/>
        <w:snapToGrid w:val="0"/>
        <w:spacing w:line="360" w:lineRule="auto"/>
        <w:ind w:firstLineChars="200" w:firstLine="562"/>
        <w:rPr>
          <w:rFonts w:ascii="宋体" w:hAnsi="宋体" w:cs="Arial"/>
          <w:b/>
          <w:sz w:val="28"/>
          <w:szCs w:val="28"/>
        </w:rPr>
      </w:pPr>
    </w:p>
    <w:p w14:paraId="14715749" w14:textId="77777777" w:rsidR="00E17FEC" w:rsidRDefault="00995857">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签订日期：</w:t>
      </w:r>
      <w:r>
        <w:rPr>
          <w:rFonts w:ascii="宋体" w:hAnsi="宋体" w:cs="Arial"/>
          <w:b/>
          <w:sz w:val="28"/>
          <w:szCs w:val="28"/>
        </w:rPr>
        <w:t xml:space="preserve">          </w:t>
      </w:r>
      <w:r>
        <w:rPr>
          <w:rFonts w:ascii="宋体" w:hAnsi="宋体" w:cs="Arial" w:hint="eastAsia"/>
          <w:sz w:val="28"/>
          <w:szCs w:val="28"/>
        </w:rPr>
        <w:t>年</w:t>
      </w:r>
      <w:r>
        <w:rPr>
          <w:rFonts w:ascii="宋体" w:hAnsi="宋体" w:cs="Arial"/>
          <w:sz w:val="28"/>
          <w:szCs w:val="28"/>
        </w:rPr>
        <w:t xml:space="preserve">     </w:t>
      </w:r>
      <w:r>
        <w:rPr>
          <w:rFonts w:ascii="宋体" w:hAnsi="宋体" w:cs="Arial" w:hint="eastAsia"/>
          <w:sz w:val="28"/>
          <w:szCs w:val="28"/>
        </w:rPr>
        <w:t>月</w:t>
      </w:r>
      <w:r>
        <w:rPr>
          <w:rFonts w:ascii="宋体" w:hAnsi="宋体" w:cs="Arial"/>
          <w:sz w:val="28"/>
          <w:szCs w:val="28"/>
        </w:rPr>
        <w:t xml:space="preserve">    </w:t>
      </w:r>
      <w:r>
        <w:rPr>
          <w:rFonts w:ascii="宋体" w:hAnsi="宋体" w:cs="Arial" w:hint="eastAsia"/>
          <w:sz w:val="28"/>
          <w:szCs w:val="28"/>
        </w:rPr>
        <w:t>日</w:t>
      </w:r>
    </w:p>
    <w:p w14:paraId="5B2E504D" w14:textId="77777777" w:rsidR="00E17FEC" w:rsidRDefault="00995857">
      <w:pPr>
        <w:adjustRightInd w:val="0"/>
        <w:snapToGrid w:val="0"/>
        <w:spacing w:line="360" w:lineRule="auto"/>
        <w:ind w:firstLineChars="200" w:firstLine="562"/>
        <w:rPr>
          <w:rFonts w:ascii="宋体" w:hAnsi="宋体"/>
          <w:b/>
        </w:rPr>
      </w:pPr>
      <w:r>
        <w:rPr>
          <w:rFonts w:ascii="宋体" w:hAnsi="宋体" w:cs="Arial"/>
          <w:b/>
          <w:sz w:val="28"/>
          <w:szCs w:val="28"/>
        </w:rPr>
        <w:t>签署地</w:t>
      </w:r>
      <w:r>
        <w:rPr>
          <w:rFonts w:ascii="宋体" w:hAnsi="宋体" w:cs="Arial" w:hint="eastAsia"/>
          <w:b/>
          <w:sz w:val="28"/>
          <w:szCs w:val="28"/>
        </w:rPr>
        <w:t>：</w:t>
      </w:r>
      <w:bookmarkEnd w:id="200"/>
    </w:p>
    <w:sectPr w:rsidR="00E17FEC">
      <w:footerReference w:type="default" r:id="rId75"/>
      <w:pgSz w:w="11906" w:h="16838"/>
      <w:pgMar w:top="1440" w:right="1800" w:bottom="1440" w:left="1800" w:header="851" w:footer="992" w:gutter="0"/>
      <w:pgNumType w:start="1"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1B7D4" w14:textId="77777777" w:rsidR="00E97A67" w:rsidRDefault="00E97A67">
      <w:r>
        <w:separator/>
      </w:r>
    </w:p>
  </w:endnote>
  <w:endnote w:type="continuationSeparator" w:id="0">
    <w:p w14:paraId="4540DF8C" w14:textId="77777777" w:rsidR="00E97A67" w:rsidRDefault="00E9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CA35D" w14:textId="3909C1B9" w:rsidR="00E17FEC" w:rsidRDefault="00995857">
    <w:pPr>
      <w:pStyle w:val="a9"/>
      <w:jc w:val="center"/>
    </w:pPr>
    <w:r>
      <w:fldChar w:fldCharType="begin"/>
    </w:r>
    <w:r>
      <w:instrText>PAGE   \* MERGEFORMAT</w:instrText>
    </w:r>
    <w:r>
      <w:fldChar w:fldCharType="separate"/>
    </w:r>
    <w:r w:rsidR="00806A42" w:rsidRPr="00806A42">
      <w:rPr>
        <w:noProof/>
        <w:lang w:val="zh-CN"/>
      </w:rPr>
      <w:t>II</w:t>
    </w:r>
    <w:r>
      <w:fldChar w:fldCharType="end"/>
    </w:r>
  </w:p>
  <w:p w14:paraId="48D4196D" w14:textId="77777777" w:rsidR="00E17FEC" w:rsidRDefault="00E17FEC">
    <w:pPr>
      <w:pStyle w:val="a9"/>
      <w:ind w:left="420"/>
    </w:pPr>
  </w:p>
  <w:p w14:paraId="0BE04125" w14:textId="77777777" w:rsidR="00E17FEC" w:rsidRDefault="00E17FEC">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BB851" w14:textId="11009805" w:rsidR="00E17FEC" w:rsidRDefault="00995857">
    <w:pPr>
      <w:pStyle w:val="a9"/>
      <w:numPr>
        <w:ilvl w:val="0"/>
        <w:numId w:val="1"/>
      </w:numPr>
      <w:ind w:left="0" w:firstLineChars="2200" w:firstLine="3960"/>
    </w:pPr>
    <w:r>
      <w:fldChar w:fldCharType="begin"/>
    </w:r>
    <w:r>
      <w:instrText>PAGE   \* MERGEFORMAT</w:instrText>
    </w:r>
    <w:r>
      <w:fldChar w:fldCharType="separate"/>
    </w:r>
    <w:r w:rsidR="00806A42" w:rsidRPr="00806A42">
      <w:rPr>
        <w:noProof/>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DD491" w14:textId="4B25BBF9" w:rsidR="00E17FEC" w:rsidRDefault="00995857">
    <w:pPr>
      <w:pStyle w:val="a9"/>
      <w:numPr>
        <w:ilvl w:val="0"/>
        <w:numId w:val="1"/>
      </w:numPr>
      <w:tabs>
        <w:tab w:val="clear" w:pos="8306"/>
        <w:tab w:val="right" w:pos="4253"/>
      </w:tabs>
      <w:ind w:left="0" w:firstLineChars="2220" w:firstLine="3996"/>
    </w:pPr>
    <w:r>
      <w:fldChar w:fldCharType="begin"/>
    </w:r>
    <w:r>
      <w:instrText>PAGE   \* MERGEFORMAT</w:instrText>
    </w:r>
    <w:r>
      <w:fldChar w:fldCharType="separate"/>
    </w:r>
    <w:r w:rsidR="00806A42" w:rsidRPr="00806A42">
      <w:rPr>
        <w:noProof/>
        <w:lang w:val="zh-CN"/>
      </w:rP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A0B82" w14:textId="0DF6C79E" w:rsidR="00E17FEC" w:rsidRDefault="00995857">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806A42" w:rsidRPr="00806A42">
      <w:rPr>
        <w:noProof/>
        <w:lang w:val="zh-CN"/>
      </w:rPr>
      <w:t>2</w:t>
    </w:r>
    <w:r>
      <w:fldChar w:fldCharType="end"/>
    </w:r>
  </w:p>
  <w:p w14:paraId="386854E4" w14:textId="77777777" w:rsidR="00E17FEC" w:rsidRDefault="00E17FEC">
    <w:pPr>
      <w:pStyle w:val="a9"/>
      <w:ind w:left="42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4A804" w14:textId="4DFF65C1" w:rsidR="00E17FEC" w:rsidRDefault="00995857">
    <w:pPr>
      <w:pStyle w:val="a9"/>
      <w:numPr>
        <w:ilvl w:val="0"/>
        <w:numId w:val="1"/>
      </w:numPr>
      <w:tabs>
        <w:tab w:val="clear" w:pos="8306"/>
        <w:tab w:val="right" w:pos="4253"/>
      </w:tabs>
      <w:ind w:left="0" w:firstLineChars="2220" w:firstLine="3996"/>
    </w:pPr>
    <w:r>
      <w:fldChar w:fldCharType="begin"/>
    </w:r>
    <w:r>
      <w:instrText>PAGE   \* MERGEFORMAT</w:instrText>
    </w:r>
    <w:r>
      <w:fldChar w:fldCharType="separate"/>
    </w:r>
    <w:r w:rsidR="00806A42" w:rsidRPr="00806A42">
      <w:rPr>
        <w:noProof/>
        <w:lang w:val="zh-CN"/>
      </w:rPr>
      <w:t>1</w:t>
    </w:r>
    <w:r>
      <w:fldChar w:fldCharType="end"/>
    </w:r>
  </w:p>
  <w:p w14:paraId="2C2E9A2A" w14:textId="77777777" w:rsidR="00E17FEC" w:rsidRDefault="00E17FEC">
    <w:pPr>
      <w:pStyle w:val="a9"/>
      <w:ind w:left="4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40496" w14:textId="02E19A14" w:rsidR="00E17FEC" w:rsidRDefault="00995857">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806A42" w:rsidRPr="00806A42">
      <w:rPr>
        <w:noProof/>
        <w:lang w:val="zh-CN"/>
      </w:rPr>
      <w:t>1</w:t>
    </w:r>
    <w:r>
      <w:fldChar w:fldCharType="end"/>
    </w:r>
  </w:p>
  <w:p w14:paraId="6350B97E" w14:textId="77777777" w:rsidR="00E17FEC" w:rsidRDefault="00E17FEC">
    <w:pPr>
      <w:pStyle w:val="a9"/>
      <w:ind w:left="4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DB243" w14:textId="3A900C50" w:rsidR="00E17FEC" w:rsidRDefault="00995857">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806A42" w:rsidRPr="00806A42">
      <w:rPr>
        <w:noProof/>
        <w:lang w:val="zh-CN"/>
      </w:rPr>
      <w:t>3</w:t>
    </w:r>
    <w:r>
      <w:fldChar w:fldCharType="end"/>
    </w:r>
  </w:p>
  <w:p w14:paraId="704C851C" w14:textId="77777777" w:rsidR="00E17FEC" w:rsidRDefault="00E17FEC">
    <w:pPr>
      <w:pStyle w:val="a9"/>
      <w:ind w:left="4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2184B" w14:textId="4A67DB4D" w:rsidR="00E17FEC" w:rsidRDefault="00995857">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806A42" w:rsidRPr="00806A42">
      <w:rPr>
        <w:noProof/>
        <w:lang w:val="zh-CN"/>
      </w:rPr>
      <w:t>1</w:t>
    </w:r>
    <w:r>
      <w:fldChar w:fldCharType="end"/>
    </w:r>
  </w:p>
  <w:p w14:paraId="1F9AE9D6" w14:textId="77777777" w:rsidR="00E17FEC" w:rsidRDefault="00E17FEC">
    <w:pPr>
      <w:pStyle w:val="a9"/>
      <w:ind w:left="42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00E1E" w14:textId="542AAA11" w:rsidR="00E17FEC" w:rsidRDefault="00995857">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806A42" w:rsidRPr="00806A42">
      <w:rPr>
        <w:noProof/>
        <w:lang w:val="zh-CN"/>
      </w:rPr>
      <w:t>2</w:t>
    </w:r>
    <w:r>
      <w:fldChar w:fldCharType="end"/>
    </w:r>
  </w:p>
  <w:p w14:paraId="368A4F6B" w14:textId="77777777" w:rsidR="00E17FEC" w:rsidRDefault="00E17FEC">
    <w:pPr>
      <w:pStyle w:val="a9"/>
      <w:ind w:left="4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21F9" w14:textId="77777777" w:rsidR="00E17FEC" w:rsidRDefault="00995857">
    <w:pPr>
      <w:pStyle w:val="a9"/>
      <w:numPr>
        <w:ilvl w:val="0"/>
        <w:numId w:val="1"/>
      </w:numPr>
      <w:tabs>
        <w:tab w:val="clear" w:pos="8306"/>
        <w:tab w:val="right" w:pos="4253"/>
      </w:tabs>
      <w:ind w:left="0" w:firstLineChars="2200" w:firstLine="3960"/>
    </w:pPr>
    <w:r>
      <w:t>1</w:t>
    </w:r>
  </w:p>
  <w:p w14:paraId="4C91189C" w14:textId="77777777" w:rsidR="00E17FEC" w:rsidRDefault="00E17FEC">
    <w:pPr>
      <w:pStyle w:val="a9"/>
      <w:ind w:left="42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A70F9" w14:textId="77777777" w:rsidR="00E17FEC" w:rsidRDefault="00995857">
    <w:pPr>
      <w:pStyle w:val="a9"/>
      <w:numPr>
        <w:ilvl w:val="0"/>
        <w:numId w:val="1"/>
      </w:numPr>
      <w:tabs>
        <w:tab w:val="clear" w:pos="8306"/>
        <w:tab w:val="right" w:pos="4253"/>
      </w:tabs>
      <w:ind w:left="0" w:firstLineChars="2200" w:firstLine="3960"/>
    </w:pPr>
    <w:r>
      <w:t>1</w:t>
    </w:r>
  </w:p>
  <w:p w14:paraId="28ECF86B" w14:textId="77777777" w:rsidR="00E17FEC" w:rsidRDefault="00E17FEC">
    <w:pPr>
      <w:pStyle w:val="a9"/>
      <w:ind w:lef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6C5A0" w14:textId="7A84255D" w:rsidR="00E17FEC" w:rsidRDefault="00995857">
    <w:pPr>
      <w:pStyle w:val="a9"/>
      <w:numPr>
        <w:ilvl w:val="0"/>
        <w:numId w:val="1"/>
      </w:numPr>
      <w:ind w:left="0" w:firstLineChars="2220" w:firstLine="3996"/>
    </w:pPr>
    <w:r>
      <w:fldChar w:fldCharType="begin"/>
    </w:r>
    <w:r>
      <w:instrText>PAGE   \* MERGEFORMAT</w:instrText>
    </w:r>
    <w:r>
      <w:fldChar w:fldCharType="separate"/>
    </w:r>
    <w:r w:rsidR="00806A42" w:rsidRPr="00806A42">
      <w:rPr>
        <w:noProof/>
        <w:lang w:val="zh-CN"/>
      </w:rPr>
      <w:t>1</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F3676" w14:textId="7445EFF6" w:rsidR="00E17FEC" w:rsidRDefault="00995857">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806A42" w:rsidRPr="00806A42">
      <w:rPr>
        <w:noProof/>
        <w:lang w:val="zh-CN"/>
      </w:rPr>
      <w:t>1</w:t>
    </w:r>
    <w:r>
      <w:fldChar w:fldCharType="end"/>
    </w:r>
  </w:p>
  <w:p w14:paraId="46193A7D" w14:textId="77777777" w:rsidR="00E17FEC" w:rsidRDefault="00E17FEC">
    <w:pPr>
      <w:pStyle w:val="a9"/>
      <w:ind w:left="4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FC520" w14:textId="1C75D050" w:rsidR="00E17FEC" w:rsidRDefault="00995857">
    <w:pPr>
      <w:pStyle w:val="a9"/>
      <w:numPr>
        <w:ilvl w:val="0"/>
        <w:numId w:val="1"/>
      </w:numPr>
      <w:tabs>
        <w:tab w:val="clear" w:pos="4153"/>
        <w:tab w:val="clear" w:pos="8306"/>
        <w:tab w:val="center" w:pos="4253"/>
      </w:tabs>
      <w:ind w:left="0" w:firstLineChars="2200" w:firstLine="3960"/>
    </w:pPr>
    <w:r>
      <w:fldChar w:fldCharType="begin"/>
    </w:r>
    <w:r>
      <w:instrText>PAGE   \* MERGEFORMAT</w:instrText>
    </w:r>
    <w:r>
      <w:fldChar w:fldCharType="separate"/>
    </w:r>
    <w:r w:rsidR="00806A42" w:rsidRPr="00806A42">
      <w:rPr>
        <w:noProof/>
        <w:lang w:val="zh-CN"/>
      </w:rPr>
      <w:t>1</w:t>
    </w:r>
    <w:r>
      <w:fldChar w:fldCharType="end"/>
    </w:r>
  </w:p>
  <w:p w14:paraId="24CA1AAB" w14:textId="77777777" w:rsidR="00E17FEC" w:rsidRDefault="00E17FEC">
    <w:pPr>
      <w:pStyle w:val="a9"/>
      <w:tabs>
        <w:tab w:val="clear" w:pos="8306"/>
        <w:tab w:val="right" w:pos="4253"/>
      </w:tabs>
      <w:ind w:left="4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B5E0" w14:textId="202FE0F9" w:rsidR="00E17FEC" w:rsidRDefault="00995857">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806A42" w:rsidRPr="00806A42">
      <w:rPr>
        <w:noProof/>
        <w:lang w:val="zh-CN"/>
      </w:rPr>
      <w:t>1</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48B2" w14:textId="77777777" w:rsidR="00E17FEC" w:rsidRDefault="00E17FEC">
    <w:pPr>
      <w:pStyle w:val="a9"/>
      <w:ind w:left="3906"/>
    </w:pPr>
  </w:p>
  <w:p w14:paraId="18CBA2AB" w14:textId="77777777" w:rsidR="00E17FEC" w:rsidRDefault="00E17FE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039E7" w14:textId="029842DA" w:rsidR="00E17FEC" w:rsidRDefault="00995857">
    <w:pPr>
      <w:pStyle w:val="a9"/>
      <w:numPr>
        <w:ilvl w:val="0"/>
        <w:numId w:val="1"/>
      </w:numPr>
      <w:ind w:left="0" w:firstLineChars="2200" w:firstLine="3960"/>
    </w:pPr>
    <w:r>
      <w:fldChar w:fldCharType="begin"/>
    </w:r>
    <w:r>
      <w:instrText>PAGE   \* MERGEFORMAT</w:instrText>
    </w:r>
    <w:r>
      <w:fldChar w:fldCharType="separate"/>
    </w:r>
    <w:r w:rsidR="00806A42" w:rsidRPr="00806A42">
      <w:rPr>
        <w:noProof/>
        <w:lang w:val="zh-CN"/>
      </w:rPr>
      <w:t>1</w:t>
    </w:r>
    <w:r>
      <w:fldChar w:fldCharType="end"/>
    </w:r>
  </w:p>
  <w:p w14:paraId="10CA10D0" w14:textId="77777777" w:rsidR="00E17FEC" w:rsidRDefault="00E17FEC">
    <w:pPr>
      <w:pStyle w:val="a9"/>
      <w:ind w:left="420"/>
    </w:pPr>
  </w:p>
  <w:p w14:paraId="32F3B063" w14:textId="77777777" w:rsidR="00E17FEC" w:rsidRDefault="00E17FE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CCFC2" w14:textId="35E1868D" w:rsidR="00E17FEC" w:rsidRDefault="00995857">
    <w:pPr>
      <w:pStyle w:val="a9"/>
      <w:numPr>
        <w:ilvl w:val="0"/>
        <w:numId w:val="1"/>
      </w:numPr>
      <w:ind w:left="0" w:firstLineChars="2220" w:firstLine="3996"/>
    </w:pPr>
    <w:r>
      <w:fldChar w:fldCharType="begin"/>
    </w:r>
    <w:r>
      <w:instrText>PAGE   \* MERGEFORMAT</w:instrText>
    </w:r>
    <w:r>
      <w:fldChar w:fldCharType="separate"/>
    </w:r>
    <w:r w:rsidR="00806A42" w:rsidRPr="00806A42">
      <w:rPr>
        <w:noProof/>
        <w:lang w:val="zh-CN"/>
      </w:rPr>
      <w:t>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26082" w14:textId="6E8CCE96" w:rsidR="00E17FEC" w:rsidRDefault="00995857">
    <w:pPr>
      <w:pStyle w:val="a9"/>
      <w:numPr>
        <w:ilvl w:val="0"/>
        <w:numId w:val="1"/>
      </w:numPr>
      <w:ind w:left="0" w:firstLineChars="2200" w:firstLine="3960"/>
    </w:pPr>
    <w:r>
      <w:fldChar w:fldCharType="begin"/>
    </w:r>
    <w:r>
      <w:instrText>PAGE   \* MERGEFORMAT</w:instrText>
    </w:r>
    <w:r>
      <w:fldChar w:fldCharType="separate"/>
    </w:r>
    <w:r w:rsidR="00806A42" w:rsidRPr="00806A42">
      <w:rPr>
        <w:noProof/>
        <w:lang w:val="zh-CN"/>
      </w:rPr>
      <w:t>1</w:t>
    </w:r>
    <w:r>
      <w:fldChar w:fldCharType="end"/>
    </w:r>
  </w:p>
  <w:p w14:paraId="177D0D95" w14:textId="77777777" w:rsidR="00E17FEC" w:rsidRDefault="00E17FEC">
    <w:pPr>
      <w:pStyle w:val="a9"/>
      <w:ind w:left="420"/>
    </w:pPr>
  </w:p>
  <w:p w14:paraId="337EC301" w14:textId="77777777" w:rsidR="00E17FEC" w:rsidRDefault="00E17FE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E7213" w14:textId="402B727F" w:rsidR="00E17FEC" w:rsidRDefault="00995857">
    <w:pPr>
      <w:pStyle w:val="a9"/>
      <w:numPr>
        <w:ilvl w:val="0"/>
        <w:numId w:val="1"/>
      </w:numPr>
      <w:ind w:left="0" w:firstLineChars="2200" w:firstLine="3960"/>
    </w:pPr>
    <w:r>
      <w:fldChar w:fldCharType="begin"/>
    </w:r>
    <w:r>
      <w:instrText>PAGE   \* MERGEFORMAT</w:instrText>
    </w:r>
    <w:r>
      <w:fldChar w:fldCharType="separate"/>
    </w:r>
    <w:r w:rsidR="00806A42" w:rsidRPr="00806A42">
      <w:rPr>
        <w:noProof/>
        <w:lang w:val="zh-CN"/>
      </w:rPr>
      <w:t>4</w:t>
    </w:r>
    <w:r>
      <w:fldChar w:fldCharType="end"/>
    </w:r>
  </w:p>
  <w:p w14:paraId="4B6B1D1E" w14:textId="77777777" w:rsidR="00E17FEC" w:rsidRDefault="00E17FEC">
    <w:pPr>
      <w:pStyle w:val="a9"/>
      <w:ind w:left="420"/>
    </w:pPr>
  </w:p>
  <w:p w14:paraId="6748D60C" w14:textId="77777777" w:rsidR="00E17FEC" w:rsidRDefault="00E17FE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CC54" w14:textId="167F6D9A" w:rsidR="00E17FEC" w:rsidRDefault="00995857">
    <w:pPr>
      <w:pStyle w:val="a9"/>
      <w:numPr>
        <w:ilvl w:val="0"/>
        <w:numId w:val="1"/>
      </w:numPr>
      <w:ind w:left="0" w:firstLineChars="2200" w:firstLine="3960"/>
    </w:pPr>
    <w:r>
      <w:fldChar w:fldCharType="begin"/>
    </w:r>
    <w:r>
      <w:instrText>PAGE   \* MERGEFORMAT</w:instrText>
    </w:r>
    <w:r>
      <w:fldChar w:fldCharType="separate"/>
    </w:r>
    <w:r w:rsidR="00806A42" w:rsidRPr="00806A42">
      <w:rPr>
        <w:noProof/>
        <w:lang w:val="zh-CN"/>
      </w:rPr>
      <w:t>4</w:t>
    </w:r>
    <w:r>
      <w:fldChar w:fldCharType="end"/>
    </w:r>
  </w:p>
  <w:p w14:paraId="333B6CBC" w14:textId="77777777" w:rsidR="00E17FEC" w:rsidRDefault="00E17FEC">
    <w:pPr>
      <w:pStyle w:val="a9"/>
      <w:ind w:left="420"/>
    </w:pPr>
  </w:p>
  <w:p w14:paraId="09C7474F" w14:textId="77777777" w:rsidR="00E17FEC" w:rsidRDefault="00E17FE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2DBCF" w14:textId="311297E2" w:rsidR="00E17FEC" w:rsidRDefault="00995857">
    <w:pPr>
      <w:pStyle w:val="a9"/>
      <w:numPr>
        <w:ilvl w:val="0"/>
        <w:numId w:val="1"/>
      </w:numPr>
      <w:ind w:left="0" w:firstLineChars="2200" w:firstLine="3960"/>
    </w:pPr>
    <w:r>
      <w:fldChar w:fldCharType="begin"/>
    </w:r>
    <w:r>
      <w:instrText>PAGE   \* MERGEFORMAT</w:instrText>
    </w:r>
    <w:r>
      <w:fldChar w:fldCharType="separate"/>
    </w:r>
    <w:r w:rsidR="00806A42" w:rsidRPr="00806A42">
      <w:rPr>
        <w:noProof/>
        <w:lang w:val="zh-CN"/>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76EBC" w14:textId="20ADD9E1" w:rsidR="00E17FEC" w:rsidRDefault="00995857">
    <w:pPr>
      <w:pStyle w:val="a9"/>
      <w:numPr>
        <w:ilvl w:val="0"/>
        <w:numId w:val="1"/>
      </w:numPr>
      <w:ind w:left="0" w:firstLineChars="2200" w:firstLine="3960"/>
    </w:pPr>
    <w:r>
      <w:fldChar w:fldCharType="begin"/>
    </w:r>
    <w:r>
      <w:instrText>PAGE   \* MERGEFORMAT</w:instrText>
    </w:r>
    <w:r>
      <w:fldChar w:fldCharType="separate"/>
    </w:r>
    <w:r w:rsidR="00806A42" w:rsidRPr="00806A42">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B4AF3" w14:textId="77777777" w:rsidR="00E97A67" w:rsidRDefault="00E97A67">
      <w:r>
        <w:separator/>
      </w:r>
    </w:p>
  </w:footnote>
  <w:footnote w:type="continuationSeparator" w:id="0">
    <w:p w14:paraId="3C28E783" w14:textId="77777777" w:rsidR="00E97A67" w:rsidRDefault="00E97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5565D" w14:textId="55FE4684" w:rsidR="00E17FEC" w:rsidRDefault="00995857">
    <w:pPr>
      <w:pStyle w:val="aa"/>
      <w:jc w:val="right"/>
      <w:rPr>
        <w:rFonts w:ascii="宋体" w:hAnsi="宋体"/>
      </w:rPr>
    </w:pPr>
    <w:r>
      <w:rPr>
        <w:rFonts w:ascii="宋体" w:hAnsi="宋体" w:cs="宋体" w:hint="eastAsia"/>
      </w:rPr>
      <w:t>东方阿尔法瑞丰混合型发起式</w:t>
    </w:r>
    <w:r>
      <w:rPr>
        <w:rFonts w:ascii="宋体" w:hAnsi="宋体" w:hint="eastAsia"/>
      </w:rPr>
      <w:t>证券投资基金托管协议</w:t>
    </w:r>
    <w:r w:rsidR="00D96132">
      <w:rPr>
        <w:rFonts w:ascii="宋体" w:hAnsi="宋体" w:hint="eastAsia"/>
      </w:rPr>
      <w:t>（2</w:t>
    </w:r>
    <w:r w:rsidR="00D96132">
      <w:rPr>
        <w:rFonts w:ascii="宋体" w:hAnsi="宋体"/>
      </w:rPr>
      <w:t>023年</w:t>
    </w:r>
    <w:r w:rsidR="00D96132">
      <w:rPr>
        <w:rFonts w:ascii="宋体" w:hAnsi="宋体" w:hint="eastAsia"/>
      </w:rPr>
      <w:t>8月修订）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E6B8C" w14:textId="447044B2" w:rsidR="00E17FEC" w:rsidRDefault="00995857">
    <w:pPr>
      <w:pStyle w:val="aa"/>
      <w:ind w:right="180"/>
      <w:jc w:val="right"/>
      <w:rPr>
        <w:rFonts w:ascii="宋体" w:hAnsi="宋体"/>
      </w:rPr>
    </w:pPr>
    <w:r>
      <w:rPr>
        <w:rFonts w:ascii="宋体" w:hAnsi="宋体" w:cs="宋体" w:hint="eastAsia"/>
      </w:rPr>
      <w:t>东方阿尔法瑞丰混合型发起式</w:t>
    </w:r>
    <w:r w:rsidR="0093014E">
      <w:rPr>
        <w:rFonts w:ascii="宋体" w:hAnsi="宋体" w:hint="eastAsia"/>
      </w:rPr>
      <w:t>证券投资基金托管协议</w:t>
    </w:r>
    <w:r w:rsidR="00D96132">
      <w:rPr>
        <w:rFonts w:ascii="宋体" w:hAnsi="宋体" w:hint="eastAsia"/>
      </w:rPr>
      <w:t>（2</w:t>
    </w:r>
    <w:r w:rsidR="00D96132">
      <w:rPr>
        <w:rFonts w:ascii="宋体" w:hAnsi="宋体"/>
      </w:rPr>
      <w:t>023年</w:t>
    </w:r>
    <w:r w:rsidR="00D96132">
      <w:rPr>
        <w:rFonts w:ascii="宋体" w:hAnsi="宋体" w:hint="eastAsia"/>
      </w:rPr>
      <w:t>8月修订）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8D53D"/>
    <w:multiLevelType w:val="singleLevel"/>
    <w:tmpl w:val="0F78D53D"/>
    <w:lvl w:ilvl="0">
      <w:start w:val="2"/>
      <w:numFmt w:val="chineseCounting"/>
      <w:suff w:val="nothing"/>
      <w:lvlText w:val="（%1）"/>
      <w:lvlJc w:val="left"/>
      <w:rPr>
        <w:rFonts w:hint="eastAsia"/>
      </w:rPr>
    </w:lvl>
  </w:abstractNum>
  <w:abstractNum w:abstractNumId="1">
    <w:nsid w:val="526244A3"/>
    <w:multiLevelType w:val="multilevel"/>
    <w:tmpl w:val="526244A3"/>
    <w:lvl w:ilvl="0">
      <w:start w:val="1"/>
      <w:numFmt w:val="decimal"/>
      <w:lvlText w:val="%1-"/>
      <w:lvlJc w:val="left"/>
      <w:pPr>
        <w:ind w:left="7083" w:hanging="4248"/>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5D2231EA"/>
    <w:multiLevelType w:val="multilevel"/>
    <w:tmpl w:val="5D2231EA"/>
    <w:lvl w:ilvl="0">
      <w:start w:val="1"/>
      <w:numFmt w:val="chineseCountingThousand"/>
      <w:lvlText w:val="第%1部分"/>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xNTllODEyNmQ2Y2E2N2Q0ZDBhNjk2MzczYzdmMTcifQ=="/>
  </w:docVars>
  <w:rsids>
    <w:rsidRoot w:val="00172A27"/>
    <w:rsid w:val="00000D9D"/>
    <w:rsid w:val="00001AB6"/>
    <w:rsid w:val="00001E42"/>
    <w:rsid w:val="00002977"/>
    <w:rsid w:val="00003DDD"/>
    <w:rsid w:val="00004215"/>
    <w:rsid w:val="000051CC"/>
    <w:rsid w:val="00007C2F"/>
    <w:rsid w:val="00010125"/>
    <w:rsid w:val="0001044F"/>
    <w:rsid w:val="00014D21"/>
    <w:rsid w:val="00016A01"/>
    <w:rsid w:val="00017201"/>
    <w:rsid w:val="00020201"/>
    <w:rsid w:val="000218F2"/>
    <w:rsid w:val="00022D6C"/>
    <w:rsid w:val="00023EE9"/>
    <w:rsid w:val="00024205"/>
    <w:rsid w:val="000263ED"/>
    <w:rsid w:val="00027D10"/>
    <w:rsid w:val="0003094D"/>
    <w:rsid w:val="00031A4E"/>
    <w:rsid w:val="00031D78"/>
    <w:rsid w:val="00031D96"/>
    <w:rsid w:val="00035380"/>
    <w:rsid w:val="00035F02"/>
    <w:rsid w:val="0003716D"/>
    <w:rsid w:val="00041EA9"/>
    <w:rsid w:val="00042898"/>
    <w:rsid w:val="000441B2"/>
    <w:rsid w:val="00045017"/>
    <w:rsid w:val="00045690"/>
    <w:rsid w:val="00046DB8"/>
    <w:rsid w:val="00047948"/>
    <w:rsid w:val="00047EDD"/>
    <w:rsid w:val="00052827"/>
    <w:rsid w:val="00052BEE"/>
    <w:rsid w:val="00052D58"/>
    <w:rsid w:val="00053108"/>
    <w:rsid w:val="00064E77"/>
    <w:rsid w:val="00066315"/>
    <w:rsid w:val="00066AA1"/>
    <w:rsid w:val="0006703B"/>
    <w:rsid w:val="0006718A"/>
    <w:rsid w:val="00067DA7"/>
    <w:rsid w:val="00071723"/>
    <w:rsid w:val="000719D4"/>
    <w:rsid w:val="000720FA"/>
    <w:rsid w:val="00072176"/>
    <w:rsid w:val="0007281A"/>
    <w:rsid w:val="00073C1A"/>
    <w:rsid w:val="00074758"/>
    <w:rsid w:val="00074F42"/>
    <w:rsid w:val="00076C89"/>
    <w:rsid w:val="0007714A"/>
    <w:rsid w:val="00080AFA"/>
    <w:rsid w:val="00080E58"/>
    <w:rsid w:val="0008111E"/>
    <w:rsid w:val="00082FA8"/>
    <w:rsid w:val="0009016D"/>
    <w:rsid w:val="00090707"/>
    <w:rsid w:val="00091E90"/>
    <w:rsid w:val="0009373C"/>
    <w:rsid w:val="00093F64"/>
    <w:rsid w:val="0009481B"/>
    <w:rsid w:val="00095055"/>
    <w:rsid w:val="00096097"/>
    <w:rsid w:val="00097239"/>
    <w:rsid w:val="000A1593"/>
    <w:rsid w:val="000A1777"/>
    <w:rsid w:val="000A20C8"/>
    <w:rsid w:val="000A5690"/>
    <w:rsid w:val="000B165E"/>
    <w:rsid w:val="000B3268"/>
    <w:rsid w:val="000B46F2"/>
    <w:rsid w:val="000B6AA8"/>
    <w:rsid w:val="000B7ED2"/>
    <w:rsid w:val="000C100E"/>
    <w:rsid w:val="000C1D2F"/>
    <w:rsid w:val="000C1FA6"/>
    <w:rsid w:val="000C26FF"/>
    <w:rsid w:val="000C38BD"/>
    <w:rsid w:val="000C3CD6"/>
    <w:rsid w:val="000C5514"/>
    <w:rsid w:val="000C5A20"/>
    <w:rsid w:val="000C6767"/>
    <w:rsid w:val="000C68E7"/>
    <w:rsid w:val="000C6E67"/>
    <w:rsid w:val="000C6FAD"/>
    <w:rsid w:val="000D0C00"/>
    <w:rsid w:val="000D1838"/>
    <w:rsid w:val="000D2DC4"/>
    <w:rsid w:val="000D38A7"/>
    <w:rsid w:val="000D7E47"/>
    <w:rsid w:val="000E35CB"/>
    <w:rsid w:val="000E5A57"/>
    <w:rsid w:val="000E6573"/>
    <w:rsid w:val="000E7A28"/>
    <w:rsid w:val="000F0E6F"/>
    <w:rsid w:val="000F28B6"/>
    <w:rsid w:val="000F2B08"/>
    <w:rsid w:val="000F3622"/>
    <w:rsid w:val="000F3A96"/>
    <w:rsid w:val="00100945"/>
    <w:rsid w:val="00101318"/>
    <w:rsid w:val="00101B58"/>
    <w:rsid w:val="00101B7F"/>
    <w:rsid w:val="00102071"/>
    <w:rsid w:val="0010485A"/>
    <w:rsid w:val="00105067"/>
    <w:rsid w:val="001051B2"/>
    <w:rsid w:val="00105310"/>
    <w:rsid w:val="001061A0"/>
    <w:rsid w:val="00110704"/>
    <w:rsid w:val="00113B59"/>
    <w:rsid w:val="00115064"/>
    <w:rsid w:val="00117512"/>
    <w:rsid w:val="00117827"/>
    <w:rsid w:val="0011783B"/>
    <w:rsid w:val="00120287"/>
    <w:rsid w:val="001202DC"/>
    <w:rsid w:val="00120ABE"/>
    <w:rsid w:val="0012207D"/>
    <w:rsid w:val="001229D4"/>
    <w:rsid w:val="001230A8"/>
    <w:rsid w:val="00123A37"/>
    <w:rsid w:val="00124047"/>
    <w:rsid w:val="001244CF"/>
    <w:rsid w:val="00126670"/>
    <w:rsid w:val="00130A39"/>
    <w:rsid w:val="00131569"/>
    <w:rsid w:val="00132D3A"/>
    <w:rsid w:val="00133130"/>
    <w:rsid w:val="0013367F"/>
    <w:rsid w:val="00133C5C"/>
    <w:rsid w:val="00134CB2"/>
    <w:rsid w:val="00135008"/>
    <w:rsid w:val="00135F72"/>
    <w:rsid w:val="00136679"/>
    <w:rsid w:val="00140CFC"/>
    <w:rsid w:val="00141356"/>
    <w:rsid w:val="0014144E"/>
    <w:rsid w:val="00143922"/>
    <w:rsid w:val="001451B1"/>
    <w:rsid w:val="00146246"/>
    <w:rsid w:val="001474E7"/>
    <w:rsid w:val="0015269B"/>
    <w:rsid w:val="00153191"/>
    <w:rsid w:val="00153CD2"/>
    <w:rsid w:val="00154524"/>
    <w:rsid w:val="0015665A"/>
    <w:rsid w:val="00156A3F"/>
    <w:rsid w:val="00157A64"/>
    <w:rsid w:val="00160684"/>
    <w:rsid w:val="00160700"/>
    <w:rsid w:val="00161DD2"/>
    <w:rsid w:val="00163E74"/>
    <w:rsid w:val="00165121"/>
    <w:rsid w:val="00170A79"/>
    <w:rsid w:val="00172530"/>
    <w:rsid w:val="00172A27"/>
    <w:rsid w:val="0017370E"/>
    <w:rsid w:val="001744A2"/>
    <w:rsid w:val="00174565"/>
    <w:rsid w:val="001748DD"/>
    <w:rsid w:val="001750E6"/>
    <w:rsid w:val="00175369"/>
    <w:rsid w:val="00176684"/>
    <w:rsid w:val="00182D88"/>
    <w:rsid w:val="001831E9"/>
    <w:rsid w:val="00183963"/>
    <w:rsid w:val="001842F4"/>
    <w:rsid w:val="00184DF0"/>
    <w:rsid w:val="00185465"/>
    <w:rsid w:val="00185825"/>
    <w:rsid w:val="00185AD1"/>
    <w:rsid w:val="0018653A"/>
    <w:rsid w:val="00187DF8"/>
    <w:rsid w:val="001903E2"/>
    <w:rsid w:val="001918AE"/>
    <w:rsid w:val="0019194A"/>
    <w:rsid w:val="001945D9"/>
    <w:rsid w:val="00195CFB"/>
    <w:rsid w:val="001961E4"/>
    <w:rsid w:val="00197C29"/>
    <w:rsid w:val="001A243A"/>
    <w:rsid w:val="001A27BB"/>
    <w:rsid w:val="001A31BA"/>
    <w:rsid w:val="001A4014"/>
    <w:rsid w:val="001A4100"/>
    <w:rsid w:val="001A4E81"/>
    <w:rsid w:val="001A6734"/>
    <w:rsid w:val="001A7C0D"/>
    <w:rsid w:val="001B07DD"/>
    <w:rsid w:val="001B3B5D"/>
    <w:rsid w:val="001B4EB8"/>
    <w:rsid w:val="001C044F"/>
    <w:rsid w:val="001C0471"/>
    <w:rsid w:val="001C2010"/>
    <w:rsid w:val="001C2A8E"/>
    <w:rsid w:val="001C3C95"/>
    <w:rsid w:val="001C5B7E"/>
    <w:rsid w:val="001C7718"/>
    <w:rsid w:val="001D0D88"/>
    <w:rsid w:val="001D25D0"/>
    <w:rsid w:val="001D2820"/>
    <w:rsid w:val="001D4655"/>
    <w:rsid w:val="001D46C2"/>
    <w:rsid w:val="001D5CCB"/>
    <w:rsid w:val="001D66FD"/>
    <w:rsid w:val="001D695B"/>
    <w:rsid w:val="001D747C"/>
    <w:rsid w:val="001D7716"/>
    <w:rsid w:val="001E2E4D"/>
    <w:rsid w:val="001E53F7"/>
    <w:rsid w:val="001E5F15"/>
    <w:rsid w:val="001F0F63"/>
    <w:rsid w:val="001F2D81"/>
    <w:rsid w:val="001F31FB"/>
    <w:rsid w:val="001F4169"/>
    <w:rsid w:val="001F4B60"/>
    <w:rsid w:val="001F6F44"/>
    <w:rsid w:val="00200167"/>
    <w:rsid w:val="002009F5"/>
    <w:rsid w:val="00200A19"/>
    <w:rsid w:val="002019B6"/>
    <w:rsid w:val="00201BFB"/>
    <w:rsid w:val="00201FEC"/>
    <w:rsid w:val="00202B5A"/>
    <w:rsid w:val="002061DE"/>
    <w:rsid w:val="00206847"/>
    <w:rsid w:val="002071A9"/>
    <w:rsid w:val="00213778"/>
    <w:rsid w:val="002145EE"/>
    <w:rsid w:val="00215314"/>
    <w:rsid w:val="00216CAA"/>
    <w:rsid w:val="002171CB"/>
    <w:rsid w:val="0021785E"/>
    <w:rsid w:val="00217A77"/>
    <w:rsid w:val="00220573"/>
    <w:rsid w:val="002215D2"/>
    <w:rsid w:val="002216E7"/>
    <w:rsid w:val="00221872"/>
    <w:rsid w:val="00222341"/>
    <w:rsid w:val="00222498"/>
    <w:rsid w:val="00230087"/>
    <w:rsid w:val="002306C9"/>
    <w:rsid w:val="00231B62"/>
    <w:rsid w:val="002326BC"/>
    <w:rsid w:val="002330CA"/>
    <w:rsid w:val="002332D3"/>
    <w:rsid w:val="00234248"/>
    <w:rsid w:val="002379E0"/>
    <w:rsid w:val="00237AD7"/>
    <w:rsid w:val="0024032B"/>
    <w:rsid w:val="00241451"/>
    <w:rsid w:val="00242261"/>
    <w:rsid w:val="00242944"/>
    <w:rsid w:val="00242E69"/>
    <w:rsid w:val="00246B69"/>
    <w:rsid w:val="00247982"/>
    <w:rsid w:val="00247986"/>
    <w:rsid w:val="00247FC1"/>
    <w:rsid w:val="00253856"/>
    <w:rsid w:val="0025406A"/>
    <w:rsid w:val="00256DD5"/>
    <w:rsid w:val="002574E5"/>
    <w:rsid w:val="0026065F"/>
    <w:rsid w:val="002631C1"/>
    <w:rsid w:val="00264185"/>
    <w:rsid w:val="0026421A"/>
    <w:rsid w:val="00265601"/>
    <w:rsid w:val="00267009"/>
    <w:rsid w:val="00271A77"/>
    <w:rsid w:val="00272689"/>
    <w:rsid w:val="002759C1"/>
    <w:rsid w:val="00275EA7"/>
    <w:rsid w:val="00276CBA"/>
    <w:rsid w:val="002778F9"/>
    <w:rsid w:val="00280AE5"/>
    <w:rsid w:val="00280CA4"/>
    <w:rsid w:val="0028292F"/>
    <w:rsid w:val="00282C55"/>
    <w:rsid w:val="00284894"/>
    <w:rsid w:val="00285E1A"/>
    <w:rsid w:val="0028655B"/>
    <w:rsid w:val="00286B7E"/>
    <w:rsid w:val="00287B07"/>
    <w:rsid w:val="00287DD6"/>
    <w:rsid w:val="00290F28"/>
    <w:rsid w:val="00291ACE"/>
    <w:rsid w:val="00292831"/>
    <w:rsid w:val="00292A48"/>
    <w:rsid w:val="0029563B"/>
    <w:rsid w:val="002961C9"/>
    <w:rsid w:val="002A0B4E"/>
    <w:rsid w:val="002A2BDE"/>
    <w:rsid w:val="002A790E"/>
    <w:rsid w:val="002A7E73"/>
    <w:rsid w:val="002B11CF"/>
    <w:rsid w:val="002B19DD"/>
    <w:rsid w:val="002B2AD4"/>
    <w:rsid w:val="002B39E6"/>
    <w:rsid w:val="002B3F62"/>
    <w:rsid w:val="002B56C3"/>
    <w:rsid w:val="002B6EA9"/>
    <w:rsid w:val="002B7266"/>
    <w:rsid w:val="002B7527"/>
    <w:rsid w:val="002C06EA"/>
    <w:rsid w:val="002C2B27"/>
    <w:rsid w:val="002C6520"/>
    <w:rsid w:val="002C6DF2"/>
    <w:rsid w:val="002C78A3"/>
    <w:rsid w:val="002C7C3C"/>
    <w:rsid w:val="002D0C6B"/>
    <w:rsid w:val="002D155A"/>
    <w:rsid w:val="002D1D4F"/>
    <w:rsid w:val="002D1F8A"/>
    <w:rsid w:val="002D204F"/>
    <w:rsid w:val="002D2977"/>
    <w:rsid w:val="002E05C3"/>
    <w:rsid w:val="002E185B"/>
    <w:rsid w:val="002E3683"/>
    <w:rsid w:val="002E3DED"/>
    <w:rsid w:val="002E46D7"/>
    <w:rsid w:val="002E54B5"/>
    <w:rsid w:val="002E73AA"/>
    <w:rsid w:val="002F1E2E"/>
    <w:rsid w:val="002F2074"/>
    <w:rsid w:val="002F211E"/>
    <w:rsid w:val="002F2273"/>
    <w:rsid w:val="002F3083"/>
    <w:rsid w:val="002F3F6D"/>
    <w:rsid w:val="002F545C"/>
    <w:rsid w:val="002F5D64"/>
    <w:rsid w:val="002F66B1"/>
    <w:rsid w:val="002F68F6"/>
    <w:rsid w:val="002F6BE0"/>
    <w:rsid w:val="00301784"/>
    <w:rsid w:val="003026F5"/>
    <w:rsid w:val="00302701"/>
    <w:rsid w:val="00306429"/>
    <w:rsid w:val="0031082D"/>
    <w:rsid w:val="0031096A"/>
    <w:rsid w:val="003123ED"/>
    <w:rsid w:val="003126AA"/>
    <w:rsid w:val="003137F2"/>
    <w:rsid w:val="0031445C"/>
    <w:rsid w:val="00314BC1"/>
    <w:rsid w:val="003154CF"/>
    <w:rsid w:val="003160DE"/>
    <w:rsid w:val="00317638"/>
    <w:rsid w:val="0031786C"/>
    <w:rsid w:val="00317929"/>
    <w:rsid w:val="00320987"/>
    <w:rsid w:val="00322A50"/>
    <w:rsid w:val="00323511"/>
    <w:rsid w:val="00324D62"/>
    <w:rsid w:val="0032522B"/>
    <w:rsid w:val="00330931"/>
    <w:rsid w:val="003336F7"/>
    <w:rsid w:val="00334F74"/>
    <w:rsid w:val="003369A7"/>
    <w:rsid w:val="00342DF8"/>
    <w:rsid w:val="00343168"/>
    <w:rsid w:val="003431C7"/>
    <w:rsid w:val="00345036"/>
    <w:rsid w:val="00347257"/>
    <w:rsid w:val="00350717"/>
    <w:rsid w:val="003532E6"/>
    <w:rsid w:val="003533AB"/>
    <w:rsid w:val="00353894"/>
    <w:rsid w:val="00354F15"/>
    <w:rsid w:val="00355528"/>
    <w:rsid w:val="00355FD9"/>
    <w:rsid w:val="003571CB"/>
    <w:rsid w:val="00360142"/>
    <w:rsid w:val="00360258"/>
    <w:rsid w:val="00360840"/>
    <w:rsid w:val="00360FE3"/>
    <w:rsid w:val="003659AF"/>
    <w:rsid w:val="0037101B"/>
    <w:rsid w:val="00371CDD"/>
    <w:rsid w:val="003726C2"/>
    <w:rsid w:val="00383076"/>
    <w:rsid w:val="0038366A"/>
    <w:rsid w:val="00387900"/>
    <w:rsid w:val="003936BA"/>
    <w:rsid w:val="0039446D"/>
    <w:rsid w:val="0039673F"/>
    <w:rsid w:val="003979A1"/>
    <w:rsid w:val="003A0E59"/>
    <w:rsid w:val="003A1410"/>
    <w:rsid w:val="003A30E5"/>
    <w:rsid w:val="003A4492"/>
    <w:rsid w:val="003A45C3"/>
    <w:rsid w:val="003A4F07"/>
    <w:rsid w:val="003A6B7B"/>
    <w:rsid w:val="003A726C"/>
    <w:rsid w:val="003B1C76"/>
    <w:rsid w:val="003B5DEA"/>
    <w:rsid w:val="003B6C38"/>
    <w:rsid w:val="003C02BF"/>
    <w:rsid w:val="003C0916"/>
    <w:rsid w:val="003C104A"/>
    <w:rsid w:val="003C29ED"/>
    <w:rsid w:val="003C5DC5"/>
    <w:rsid w:val="003C756C"/>
    <w:rsid w:val="003D3A28"/>
    <w:rsid w:val="003D49AD"/>
    <w:rsid w:val="003D4BBC"/>
    <w:rsid w:val="003D5389"/>
    <w:rsid w:val="003D7BA3"/>
    <w:rsid w:val="003E0139"/>
    <w:rsid w:val="003E0AD5"/>
    <w:rsid w:val="003E16F3"/>
    <w:rsid w:val="003E172C"/>
    <w:rsid w:val="003E21A2"/>
    <w:rsid w:val="003E337F"/>
    <w:rsid w:val="003E38F3"/>
    <w:rsid w:val="003E46C5"/>
    <w:rsid w:val="003E5056"/>
    <w:rsid w:val="003E57E8"/>
    <w:rsid w:val="003F5756"/>
    <w:rsid w:val="003F62DF"/>
    <w:rsid w:val="003F784C"/>
    <w:rsid w:val="004008A7"/>
    <w:rsid w:val="00401C64"/>
    <w:rsid w:val="004038C3"/>
    <w:rsid w:val="00405405"/>
    <w:rsid w:val="00405438"/>
    <w:rsid w:val="004071F8"/>
    <w:rsid w:val="0040782C"/>
    <w:rsid w:val="00407946"/>
    <w:rsid w:val="00407EAB"/>
    <w:rsid w:val="00411088"/>
    <w:rsid w:val="00411A7B"/>
    <w:rsid w:val="00412D2C"/>
    <w:rsid w:val="00413681"/>
    <w:rsid w:val="00414208"/>
    <w:rsid w:val="004142E4"/>
    <w:rsid w:val="00414E41"/>
    <w:rsid w:val="00416DA4"/>
    <w:rsid w:val="00423845"/>
    <w:rsid w:val="004255F7"/>
    <w:rsid w:val="00425D01"/>
    <w:rsid w:val="004265DC"/>
    <w:rsid w:val="004275E3"/>
    <w:rsid w:val="00427FD7"/>
    <w:rsid w:val="004300A8"/>
    <w:rsid w:val="00430BC5"/>
    <w:rsid w:val="00431AC3"/>
    <w:rsid w:val="00431F66"/>
    <w:rsid w:val="004324F7"/>
    <w:rsid w:val="00434945"/>
    <w:rsid w:val="004359C6"/>
    <w:rsid w:val="004365D5"/>
    <w:rsid w:val="00437913"/>
    <w:rsid w:val="00440182"/>
    <w:rsid w:val="00440E3A"/>
    <w:rsid w:val="0044103D"/>
    <w:rsid w:val="00442664"/>
    <w:rsid w:val="0044382F"/>
    <w:rsid w:val="00443C07"/>
    <w:rsid w:val="0044539E"/>
    <w:rsid w:val="0044748B"/>
    <w:rsid w:val="00450FE9"/>
    <w:rsid w:val="00451F7B"/>
    <w:rsid w:val="0045247A"/>
    <w:rsid w:val="004535FF"/>
    <w:rsid w:val="00455436"/>
    <w:rsid w:val="0045668B"/>
    <w:rsid w:val="00457443"/>
    <w:rsid w:val="004607BB"/>
    <w:rsid w:val="004610F6"/>
    <w:rsid w:val="00461DD4"/>
    <w:rsid w:val="00461F61"/>
    <w:rsid w:val="00464303"/>
    <w:rsid w:val="004655D3"/>
    <w:rsid w:val="00467DCB"/>
    <w:rsid w:val="00470498"/>
    <w:rsid w:val="00470E62"/>
    <w:rsid w:val="0047119A"/>
    <w:rsid w:val="0047221F"/>
    <w:rsid w:val="00473797"/>
    <w:rsid w:val="00473B5C"/>
    <w:rsid w:val="00475541"/>
    <w:rsid w:val="00476249"/>
    <w:rsid w:val="00476933"/>
    <w:rsid w:val="0048026F"/>
    <w:rsid w:val="00482691"/>
    <w:rsid w:val="0048352D"/>
    <w:rsid w:val="00483841"/>
    <w:rsid w:val="0048566E"/>
    <w:rsid w:val="00485B11"/>
    <w:rsid w:val="00486012"/>
    <w:rsid w:val="0048671F"/>
    <w:rsid w:val="0048715E"/>
    <w:rsid w:val="0049049F"/>
    <w:rsid w:val="00492BCA"/>
    <w:rsid w:val="00493296"/>
    <w:rsid w:val="00493DC8"/>
    <w:rsid w:val="00494817"/>
    <w:rsid w:val="004A4931"/>
    <w:rsid w:val="004A5543"/>
    <w:rsid w:val="004A7B50"/>
    <w:rsid w:val="004B0ED0"/>
    <w:rsid w:val="004B144E"/>
    <w:rsid w:val="004B2C2F"/>
    <w:rsid w:val="004B31DB"/>
    <w:rsid w:val="004B5BF4"/>
    <w:rsid w:val="004B5DF7"/>
    <w:rsid w:val="004B6573"/>
    <w:rsid w:val="004B752C"/>
    <w:rsid w:val="004B7C6E"/>
    <w:rsid w:val="004C007C"/>
    <w:rsid w:val="004C030B"/>
    <w:rsid w:val="004C0E0F"/>
    <w:rsid w:val="004C1423"/>
    <w:rsid w:val="004C2330"/>
    <w:rsid w:val="004C491E"/>
    <w:rsid w:val="004C5801"/>
    <w:rsid w:val="004C707D"/>
    <w:rsid w:val="004D2553"/>
    <w:rsid w:val="004D2A62"/>
    <w:rsid w:val="004D2E26"/>
    <w:rsid w:val="004D2FCF"/>
    <w:rsid w:val="004D563C"/>
    <w:rsid w:val="004D5ACC"/>
    <w:rsid w:val="004E0F7D"/>
    <w:rsid w:val="004E1291"/>
    <w:rsid w:val="004E14CC"/>
    <w:rsid w:val="004E2AAF"/>
    <w:rsid w:val="004E4C55"/>
    <w:rsid w:val="004E7184"/>
    <w:rsid w:val="004F4237"/>
    <w:rsid w:val="004F42C1"/>
    <w:rsid w:val="004F52DE"/>
    <w:rsid w:val="004F6344"/>
    <w:rsid w:val="005006F3"/>
    <w:rsid w:val="00503D3F"/>
    <w:rsid w:val="00504AC5"/>
    <w:rsid w:val="00505AC7"/>
    <w:rsid w:val="00510C61"/>
    <w:rsid w:val="00511C6C"/>
    <w:rsid w:val="005143A9"/>
    <w:rsid w:val="005158FA"/>
    <w:rsid w:val="00515D94"/>
    <w:rsid w:val="00521B52"/>
    <w:rsid w:val="0052319D"/>
    <w:rsid w:val="00524082"/>
    <w:rsid w:val="005248B6"/>
    <w:rsid w:val="00524C77"/>
    <w:rsid w:val="00526015"/>
    <w:rsid w:val="00527783"/>
    <w:rsid w:val="00527B02"/>
    <w:rsid w:val="00541673"/>
    <w:rsid w:val="00541BD4"/>
    <w:rsid w:val="005451F9"/>
    <w:rsid w:val="005502D9"/>
    <w:rsid w:val="00550F23"/>
    <w:rsid w:val="00552526"/>
    <w:rsid w:val="00556EE6"/>
    <w:rsid w:val="00562DAF"/>
    <w:rsid w:val="00562DD1"/>
    <w:rsid w:val="005630A4"/>
    <w:rsid w:val="00563CCA"/>
    <w:rsid w:val="00564D50"/>
    <w:rsid w:val="005660EE"/>
    <w:rsid w:val="0056678C"/>
    <w:rsid w:val="00570215"/>
    <w:rsid w:val="00570851"/>
    <w:rsid w:val="00571B4A"/>
    <w:rsid w:val="00574EE6"/>
    <w:rsid w:val="00580351"/>
    <w:rsid w:val="00580A4E"/>
    <w:rsid w:val="005822B8"/>
    <w:rsid w:val="00582659"/>
    <w:rsid w:val="00583F43"/>
    <w:rsid w:val="005849A4"/>
    <w:rsid w:val="00586368"/>
    <w:rsid w:val="00586675"/>
    <w:rsid w:val="00586E7B"/>
    <w:rsid w:val="00587C97"/>
    <w:rsid w:val="0059090B"/>
    <w:rsid w:val="00591A25"/>
    <w:rsid w:val="00591E65"/>
    <w:rsid w:val="00593932"/>
    <w:rsid w:val="00594A4C"/>
    <w:rsid w:val="005A06D7"/>
    <w:rsid w:val="005A41FF"/>
    <w:rsid w:val="005A7140"/>
    <w:rsid w:val="005B018F"/>
    <w:rsid w:val="005B060E"/>
    <w:rsid w:val="005B1738"/>
    <w:rsid w:val="005B240C"/>
    <w:rsid w:val="005B2D96"/>
    <w:rsid w:val="005B4925"/>
    <w:rsid w:val="005B6483"/>
    <w:rsid w:val="005B66FD"/>
    <w:rsid w:val="005B685B"/>
    <w:rsid w:val="005B6A9D"/>
    <w:rsid w:val="005C0810"/>
    <w:rsid w:val="005C2546"/>
    <w:rsid w:val="005C4FF8"/>
    <w:rsid w:val="005C545E"/>
    <w:rsid w:val="005C7F22"/>
    <w:rsid w:val="005D1432"/>
    <w:rsid w:val="005D1F7A"/>
    <w:rsid w:val="005D3BFB"/>
    <w:rsid w:val="005D58AE"/>
    <w:rsid w:val="005D6727"/>
    <w:rsid w:val="005D6AE2"/>
    <w:rsid w:val="005D7F1C"/>
    <w:rsid w:val="005E339E"/>
    <w:rsid w:val="005E3DA6"/>
    <w:rsid w:val="005E6CEE"/>
    <w:rsid w:val="005E6E86"/>
    <w:rsid w:val="005F0B76"/>
    <w:rsid w:val="005F0EBB"/>
    <w:rsid w:val="005F20E0"/>
    <w:rsid w:val="005F288F"/>
    <w:rsid w:val="005F290B"/>
    <w:rsid w:val="005F2B6C"/>
    <w:rsid w:val="005F2BCB"/>
    <w:rsid w:val="005F3385"/>
    <w:rsid w:val="005F3898"/>
    <w:rsid w:val="005F3B5B"/>
    <w:rsid w:val="005F3CC2"/>
    <w:rsid w:val="005F3E7C"/>
    <w:rsid w:val="005F625F"/>
    <w:rsid w:val="005F688D"/>
    <w:rsid w:val="006033FA"/>
    <w:rsid w:val="006046D0"/>
    <w:rsid w:val="0060476E"/>
    <w:rsid w:val="00607523"/>
    <w:rsid w:val="006100CE"/>
    <w:rsid w:val="0061136C"/>
    <w:rsid w:val="006114C3"/>
    <w:rsid w:val="00611B88"/>
    <w:rsid w:val="00611F48"/>
    <w:rsid w:val="00613F8A"/>
    <w:rsid w:val="00613FA0"/>
    <w:rsid w:val="00615A06"/>
    <w:rsid w:val="00616760"/>
    <w:rsid w:val="00621321"/>
    <w:rsid w:val="00622090"/>
    <w:rsid w:val="006256CA"/>
    <w:rsid w:val="00626E0F"/>
    <w:rsid w:val="00627EBE"/>
    <w:rsid w:val="006309BC"/>
    <w:rsid w:val="00630D2C"/>
    <w:rsid w:val="0063207C"/>
    <w:rsid w:val="0063393F"/>
    <w:rsid w:val="00634C70"/>
    <w:rsid w:val="00635FBE"/>
    <w:rsid w:val="00636F17"/>
    <w:rsid w:val="0064031C"/>
    <w:rsid w:val="00644B26"/>
    <w:rsid w:val="0064682D"/>
    <w:rsid w:val="006475D5"/>
    <w:rsid w:val="00651993"/>
    <w:rsid w:val="006520C3"/>
    <w:rsid w:val="00652128"/>
    <w:rsid w:val="00652650"/>
    <w:rsid w:val="00652DBF"/>
    <w:rsid w:val="00660A76"/>
    <w:rsid w:val="00663B13"/>
    <w:rsid w:val="006645ED"/>
    <w:rsid w:val="00665AD5"/>
    <w:rsid w:val="00665D4D"/>
    <w:rsid w:val="00667E4B"/>
    <w:rsid w:val="00670047"/>
    <w:rsid w:val="00670B94"/>
    <w:rsid w:val="00671C50"/>
    <w:rsid w:val="0067266D"/>
    <w:rsid w:val="00672A62"/>
    <w:rsid w:val="00673714"/>
    <w:rsid w:val="0067725F"/>
    <w:rsid w:val="00677614"/>
    <w:rsid w:val="0068079E"/>
    <w:rsid w:val="00681481"/>
    <w:rsid w:val="006830C5"/>
    <w:rsid w:val="00683282"/>
    <w:rsid w:val="00683A15"/>
    <w:rsid w:val="006841EB"/>
    <w:rsid w:val="00685EC8"/>
    <w:rsid w:val="00687CB8"/>
    <w:rsid w:val="00687E6D"/>
    <w:rsid w:val="00691621"/>
    <w:rsid w:val="0069385D"/>
    <w:rsid w:val="00694C3B"/>
    <w:rsid w:val="00696B97"/>
    <w:rsid w:val="00696ED4"/>
    <w:rsid w:val="006975FC"/>
    <w:rsid w:val="006976F9"/>
    <w:rsid w:val="0069780E"/>
    <w:rsid w:val="006A2CB1"/>
    <w:rsid w:val="006A4448"/>
    <w:rsid w:val="006A54A7"/>
    <w:rsid w:val="006A6D16"/>
    <w:rsid w:val="006A7D48"/>
    <w:rsid w:val="006B027E"/>
    <w:rsid w:val="006B0417"/>
    <w:rsid w:val="006B08E9"/>
    <w:rsid w:val="006B1AB9"/>
    <w:rsid w:val="006B28E2"/>
    <w:rsid w:val="006B2978"/>
    <w:rsid w:val="006B42CE"/>
    <w:rsid w:val="006B61D0"/>
    <w:rsid w:val="006B6A5C"/>
    <w:rsid w:val="006B7B59"/>
    <w:rsid w:val="006C0EC4"/>
    <w:rsid w:val="006C614A"/>
    <w:rsid w:val="006C797D"/>
    <w:rsid w:val="006C7BF9"/>
    <w:rsid w:val="006C7C04"/>
    <w:rsid w:val="006D1968"/>
    <w:rsid w:val="006D2279"/>
    <w:rsid w:val="006D2E21"/>
    <w:rsid w:val="006D4FD1"/>
    <w:rsid w:val="006D5FE6"/>
    <w:rsid w:val="006D62EB"/>
    <w:rsid w:val="006E463B"/>
    <w:rsid w:val="006E56FE"/>
    <w:rsid w:val="006E5ECE"/>
    <w:rsid w:val="006E72D9"/>
    <w:rsid w:val="006E73CD"/>
    <w:rsid w:val="006E7E3E"/>
    <w:rsid w:val="006F1996"/>
    <w:rsid w:val="006F2464"/>
    <w:rsid w:val="006F2AD7"/>
    <w:rsid w:val="006F2C40"/>
    <w:rsid w:val="006F484B"/>
    <w:rsid w:val="00701585"/>
    <w:rsid w:val="007030BF"/>
    <w:rsid w:val="00703FD5"/>
    <w:rsid w:val="0070609D"/>
    <w:rsid w:val="00711AF5"/>
    <w:rsid w:val="007124F5"/>
    <w:rsid w:val="0071396E"/>
    <w:rsid w:val="007154C1"/>
    <w:rsid w:val="00717934"/>
    <w:rsid w:val="00720669"/>
    <w:rsid w:val="00720BB4"/>
    <w:rsid w:val="00722A46"/>
    <w:rsid w:val="007244D7"/>
    <w:rsid w:val="00725D15"/>
    <w:rsid w:val="00725F0B"/>
    <w:rsid w:val="0072643A"/>
    <w:rsid w:val="00731589"/>
    <w:rsid w:val="00731EEA"/>
    <w:rsid w:val="007328E1"/>
    <w:rsid w:val="00732CE8"/>
    <w:rsid w:val="00733512"/>
    <w:rsid w:val="00734A9B"/>
    <w:rsid w:val="00735EE5"/>
    <w:rsid w:val="00737389"/>
    <w:rsid w:val="007413F9"/>
    <w:rsid w:val="0074155D"/>
    <w:rsid w:val="00741591"/>
    <w:rsid w:val="00745084"/>
    <w:rsid w:val="0074672D"/>
    <w:rsid w:val="00746CAE"/>
    <w:rsid w:val="0075272C"/>
    <w:rsid w:val="00752925"/>
    <w:rsid w:val="0075647E"/>
    <w:rsid w:val="00756BF1"/>
    <w:rsid w:val="00756E58"/>
    <w:rsid w:val="00757919"/>
    <w:rsid w:val="00757EF2"/>
    <w:rsid w:val="0076074D"/>
    <w:rsid w:val="0076471D"/>
    <w:rsid w:val="007662C0"/>
    <w:rsid w:val="00766662"/>
    <w:rsid w:val="00766773"/>
    <w:rsid w:val="00766CC7"/>
    <w:rsid w:val="00766F04"/>
    <w:rsid w:val="00771F0C"/>
    <w:rsid w:val="0077494E"/>
    <w:rsid w:val="00774D42"/>
    <w:rsid w:val="007801DE"/>
    <w:rsid w:val="00780560"/>
    <w:rsid w:val="00781111"/>
    <w:rsid w:val="0078152B"/>
    <w:rsid w:val="007817D8"/>
    <w:rsid w:val="0078195F"/>
    <w:rsid w:val="00785A06"/>
    <w:rsid w:val="007861DB"/>
    <w:rsid w:val="0078628A"/>
    <w:rsid w:val="00787792"/>
    <w:rsid w:val="007911F6"/>
    <w:rsid w:val="007927A4"/>
    <w:rsid w:val="00792AAD"/>
    <w:rsid w:val="00792AD7"/>
    <w:rsid w:val="00793C1F"/>
    <w:rsid w:val="00794132"/>
    <w:rsid w:val="007960C0"/>
    <w:rsid w:val="00796B3C"/>
    <w:rsid w:val="00796DD2"/>
    <w:rsid w:val="00797097"/>
    <w:rsid w:val="00797644"/>
    <w:rsid w:val="007A0AE8"/>
    <w:rsid w:val="007A33EB"/>
    <w:rsid w:val="007A351B"/>
    <w:rsid w:val="007A3F9F"/>
    <w:rsid w:val="007A6E8B"/>
    <w:rsid w:val="007A7FB5"/>
    <w:rsid w:val="007B02F4"/>
    <w:rsid w:val="007B0E25"/>
    <w:rsid w:val="007B2B86"/>
    <w:rsid w:val="007B2DFC"/>
    <w:rsid w:val="007B2EB0"/>
    <w:rsid w:val="007B47E8"/>
    <w:rsid w:val="007B4881"/>
    <w:rsid w:val="007B6529"/>
    <w:rsid w:val="007B65FA"/>
    <w:rsid w:val="007B6A4E"/>
    <w:rsid w:val="007C0329"/>
    <w:rsid w:val="007C1033"/>
    <w:rsid w:val="007C10A4"/>
    <w:rsid w:val="007C14CA"/>
    <w:rsid w:val="007C503F"/>
    <w:rsid w:val="007C7465"/>
    <w:rsid w:val="007D2175"/>
    <w:rsid w:val="007D5C10"/>
    <w:rsid w:val="007E1AC2"/>
    <w:rsid w:val="007E53FF"/>
    <w:rsid w:val="007E5CBC"/>
    <w:rsid w:val="007E6F7F"/>
    <w:rsid w:val="007E7A88"/>
    <w:rsid w:val="007F0197"/>
    <w:rsid w:val="007F0C87"/>
    <w:rsid w:val="007F24EB"/>
    <w:rsid w:val="007F64C0"/>
    <w:rsid w:val="007F7FA4"/>
    <w:rsid w:val="0080033D"/>
    <w:rsid w:val="00800682"/>
    <w:rsid w:val="00800858"/>
    <w:rsid w:val="00800A9F"/>
    <w:rsid w:val="00801335"/>
    <w:rsid w:val="008016EE"/>
    <w:rsid w:val="00802ADF"/>
    <w:rsid w:val="008044EE"/>
    <w:rsid w:val="00805C2A"/>
    <w:rsid w:val="00805F2E"/>
    <w:rsid w:val="00806A42"/>
    <w:rsid w:val="00806BB3"/>
    <w:rsid w:val="00806BE9"/>
    <w:rsid w:val="00807072"/>
    <w:rsid w:val="00807401"/>
    <w:rsid w:val="008104A0"/>
    <w:rsid w:val="00810902"/>
    <w:rsid w:val="00811A25"/>
    <w:rsid w:val="00811B28"/>
    <w:rsid w:val="00811F94"/>
    <w:rsid w:val="00812583"/>
    <w:rsid w:val="008132DD"/>
    <w:rsid w:val="00813A33"/>
    <w:rsid w:val="008150CF"/>
    <w:rsid w:val="00815297"/>
    <w:rsid w:val="008155F1"/>
    <w:rsid w:val="008164E2"/>
    <w:rsid w:val="00816C8E"/>
    <w:rsid w:val="00817F7E"/>
    <w:rsid w:val="00820A94"/>
    <w:rsid w:val="0082124A"/>
    <w:rsid w:val="00822FD6"/>
    <w:rsid w:val="0082507C"/>
    <w:rsid w:val="008268A7"/>
    <w:rsid w:val="00826953"/>
    <w:rsid w:val="008274A4"/>
    <w:rsid w:val="00830F1B"/>
    <w:rsid w:val="00832DBF"/>
    <w:rsid w:val="008334AE"/>
    <w:rsid w:val="00836508"/>
    <w:rsid w:val="00836E06"/>
    <w:rsid w:val="00842A4E"/>
    <w:rsid w:val="0084364F"/>
    <w:rsid w:val="0084367A"/>
    <w:rsid w:val="00843C14"/>
    <w:rsid w:val="008460EA"/>
    <w:rsid w:val="00846296"/>
    <w:rsid w:val="00852396"/>
    <w:rsid w:val="008546A6"/>
    <w:rsid w:val="00854772"/>
    <w:rsid w:val="0085557E"/>
    <w:rsid w:val="00860E5A"/>
    <w:rsid w:val="008626A6"/>
    <w:rsid w:val="008632B4"/>
    <w:rsid w:val="00863871"/>
    <w:rsid w:val="00865AA6"/>
    <w:rsid w:val="00866036"/>
    <w:rsid w:val="00870568"/>
    <w:rsid w:val="0087067E"/>
    <w:rsid w:val="00870727"/>
    <w:rsid w:val="00870B9A"/>
    <w:rsid w:val="0087191A"/>
    <w:rsid w:val="00874D56"/>
    <w:rsid w:val="00875DDC"/>
    <w:rsid w:val="00876005"/>
    <w:rsid w:val="0088000D"/>
    <w:rsid w:val="00880B97"/>
    <w:rsid w:val="00880D4D"/>
    <w:rsid w:val="00883850"/>
    <w:rsid w:val="00884A40"/>
    <w:rsid w:val="00884ADE"/>
    <w:rsid w:val="0088517F"/>
    <w:rsid w:val="0088608E"/>
    <w:rsid w:val="00891901"/>
    <w:rsid w:val="00895499"/>
    <w:rsid w:val="0089558B"/>
    <w:rsid w:val="00895C7C"/>
    <w:rsid w:val="00897577"/>
    <w:rsid w:val="008A0ABE"/>
    <w:rsid w:val="008A0D1F"/>
    <w:rsid w:val="008A0EC8"/>
    <w:rsid w:val="008A2276"/>
    <w:rsid w:val="008A2DBE"/>
    <w:rsid w:val="008A381C"/>
    <w:rsid w:val="008A475E"/>
    <w:rsid w:val="008A4AF8"/>
    <w:rsid w:val="008A4F88"/>
    <w:rsid w:val="008A5737"/>
    <w:rsid w:val="008A583E"/>
    <w:rsid w:val="008A5B6B"/>
    <w:rsid w:val="008A654B"/>
    <w:rsid w:val="008A732B"/>
    <w:rsid w:val="008A7E71"/>
    <w:rsid w:val="008B007A"/>
    <w:rsid w:val="008B0E25"/>
    <w:rsid w:val="008B1A90"/>
    <w:rsid w:val="008B2160"/>
    <w:rsid w:val="008B35A5"/>
    <w:rsid w:val="008B3600"/>
    <w:rsid w:val="008B4216"/>
    <w:rsid w:val="008C0FCB"/>
    <w:rsid w:val="008C115C"/>
    <w:rsid w:val="008C3381"/>
    <w:rsid w:val="008C3733"/>
    <w:rsid w:val="008C5C9A"/>
    <w:rsid w:val="008D1B5E"/>
    <w:rsid w:val="008D2326"/>
    <w:rsid w:val="008D251D"/>
    <w:rsid w:val="008D3DBB"/>
    <w:rsid w:val="008D3E61"/>
    <w:rsid w:val="008D71DD"/>
    <w:rsid w:val="008D765C"/>
    <w:rsid w:val="008E6C96"/>
    <w:rsid w:val="008E74EC"/>
    <w:rsid w:val="008F2631"/>
    <w:rsid w:val="008F2B93"/>
    <w:rsid w:val="008F4D52"/>
    <w:rsid w:val="008F61C4"/>
    <w:rsid w:val="00900BD8"/>
    <w:rsid w:val="009045B4"/>
    <w:rsid w:val="00907862"/>
    <w:rsid w:val="0090792E"/>
    <w:rsid w:val="00907D99"/>
    <w:rsid w:val="00910249"/>
    <w:rsid w:val="00912228"/>
    <w:rsid w:val="00912E45"/>
    <w:rsid w:val="00912F9F"/>
    <w:rsid w:val="00913B61"/>
    <w:rsid w:val="00914B56"/>
    <w:rsid w:val="00916837"/>
    <w:rsid w:val="00917ABB"/>
    <w:rsid w:val="0092043E"/>
    <w:rsid w:val="009207A4"/>
    <w:rsid w:val="00920C72"/>
    <w:rsid w:val="00921C43"/>
    <w:rsid w:val="00921F94"/>
    <w:rsid w:val="00923A95"/>
    <w:rsid w:val="00923ADD"/>
    <w:rsid w:val="00923E8E"/>
    <w:rsid w:val="00925601"/>
    <w:rsid w:val="00925CD6"/>
    <w:rsid w:val="009261AE"/>
    <w:rsid w:val="00926997"/>
    <w:rsid w:val="00926B86"/>
    <w:rsid w:val="00927286"/>
    <w:rsid w:val="0093014E"/>
    <w:rsid w:val="00931CA3"/>
    <w:rsid w:val="00932E80"/>
    <w:rsid w:val="00935656"/>
    <w:rsid w:val="0093571F"/>
    <w:rsid w:val="00935BE1"/>
    <w:rsid w:val="0094000A"/>
    <w:rsid w:val="0094102D"/>
    <w:rsid w:val="009420E5"/>
    <w:rsid w:val="0094215C"/>
    <w:rsid w:val="009428D7"/>
    <w:rsid w:val="009447D8"/>
    <w:rsid w:val="00944BA7"/>
    <w:rsid w:val="009454F9"/>
    <w:rsid w:val="0094778B"/>
    <w:rsid w:val="00950757"/>
    <w:rsid w:val="00950F26"/>
    <w:rsid w:val="00952181"/>
    <w:rsid w:val="00952965"/>
    <w:rsid w:val="00952B6F"/>
    <w:rsid w:val="00953D84"/>
    <w:rsid w:val="00954499"/>
    <w:rsid w:val="00954EED"/>
    <w:rsid w:val="009556C6"/>
    <w:rsid w:val="00955893"/>
    <w:rsid w:val="00957CFA"/>
    <w:rsid w:val="009615C7"/>
    <w:rsid w:val="00961AF3"/>
    <w:rsid w:val="00962DED"/>
    <w:rsid w:val="00963735"/>
    <w:rsid w:val="0096429B"/>
    <w:rsid w:val="0096585A"/>
    <w:rsid w:val="00966A97"/>
    <w:rsid w:val="00966E0D"/>
    <w:rsid w:val="00967974"/>
    <w:rsid w:val="00971C82"/>
    <w:rsid w:val="00971F2C"/>
    <w:rsid w:val="0097369D"/>
    <w:rsid w:val="0097648F"/>
    <w:rsid w:val="00977F16"/>
    <w:rsid w:val="00980FD0"/>
    <w:rsid w:val="00981211"/>
    <w:rsid w:val="00981EF2"/>
    <w:rsid w:val="00982B83"/>
    <w:rsid w:val="00983463"/>
    <w:rsid w:val="0098566E"/>
    <w:rsid w:val="00985BCB"/>
    <w:rsid w:val="00987B0E"/>
    <w:rsid w:val="0099009F"/>
    <w:rsid w:val="0099216A"/>
    <w:rsid w:val="00992E0F"/>
    <w:rsid w:val="00995857"/>
    <w:rsid w:val="00996942"/>
    <w:rsid w:val="009969AC"/>
    <w:rsid w:val="00997863"/>
    <w:rsid w:val="009A3982"/>
    <w:rsid w:val="009A3A62"/>
    <w:rsid w:val="009A3ED6"/>
    <w:rsid w:val="009A4C7F"/>
    <w:rsid w:val="009B18AE"/>
    <w:rsid w:val="009B2078"/>
    <w:rsid w:val="009B26B2"/>
    <w:rsid w:val="009B3884"/>
    <w:rsid w:val="009B3EC3"/>
    <w:rsid w:val="009B41D2"/>
    <w:rsid w:val="009B4212"/>
    <w:rsid w:val="009B4760"/>
    <w:rsid w:val="009B57E0"/>
    <w:rsid w:val="009B6196"/>
    <w:rsid w:val="009B7A78"/>
    <w:rsid w:val="009C08FE"/>
    <w:rsid w:val="009C3F7E"/>
    <w:rsid w:val="009C4AAE"/>
    <w:rsid w:val="009C4DE8"/>
    <w:rsid w:val="009C4F2C"/>
    <w:rsid w:val="009C6C94"/>
    <w:rsid w:val="009C6D89"/>
    <w:rsid w:val="009C7626"/>
    <w:rsid w:val="009C7B0A"/>
    <w:rsid w:val="009D0F20"/>
    <w:rsid w:val="009D2609"/>
    <w:rsid w:val="009D6F1B"/>
    <w:rsid w:val="009D78E5"/>
    <w:rsid w:val="009E1622"/>
    <w:rsid w:val="009E1E56"/>
    <w:rsid w:val="009E2853"/>
    <w:rsid w:val="009E411C"/>
    <w:rsid w:val="009E59D7"/>
    <w:rsid w:val="009E59DF"/>
    <w:rsid w:val="009E5B23"/>
    <w:rsid w:val="009F0F8E"/>
    <w:rsid w:val="009F1F57"/>
    <w:rsid w:val="009F25A2"/>
    <w:rsid w:val="009F25AC"/>
    <w:rsid w:val="009F3FE1"/>
    <w:rsid w:val="009F44BF"/>
    <w:rsid w:val="009F4BB9"/>
    <w:rsid w:val="009F53A5"/>
    <w:rsid w:val="009F6C51"/>
    <w:rsid w:val="009F6D35"/>
    <w:rsid w:val="009F7828"/>
    <w:rsid w:val="009F7D62"/>
    <w:rsid w:val="00A01902"/>
    <w:rsid w:val="00A01C18"/>
    <w:rsid w:val="00A04270"/>
    <w:rsid w:val="00A0506D"/>
    <w:rsid w:val="00A063D0"/>
    <w:rsid w:val="00A064E1"/>
    <w:rsid w:val="00A07668"/>
    <w:rsid w:val="00A101E3"/>
    <w:rsid w:val="00A10943"/>
    <w:rsid w:val="00A13F97"/>
    <w:rsid w:val="00A15F89"/>
    <w:rsid w:val="00A16593"/>
    <w:rsid w:val="00A21CE1"/>
    <w:rsid w:val="00A23188"/>
    <w:rsid w:val="00A246A9"/>
    <w:rsid w:val="00A26AB3"/>
    <w:rsid w:val="00A27125"/>
    <w:rsid w:val="00A27BEE"/>
    <w:rsid w:val="00A32231"/>
    <w:rsid w:val="00A352A1"/>
    <w:rsid w:val="00A36248"/>
    <w:rsid w:val="00A41504"/>
    <w:rsid w:val="00A419E5"/>
    <w:rsid w:val="00A43156"/>
    <w:rsid w:val="00A47A31"/>
    <w:rsid w:val="00A47A6A"/>
    <w:rsid w:val="00A50139"/>
    <w:rsid w:val="00A5644B"/>
    <w:rsid w:val="00A603BB"/>
    <w:rsid w:val="00A6202F"/>
    <w:rsid w:val="00A620DD"/>
    <w:rsid w:val="00A64BBA"/>
    <w:rsid w:val="00A67C15"/>
    <w:rsid w:val="00A7031D"/>
    <w:rsid w:val="00A723EA"/>
    <w:rsid w:val="00A73353"/>
    <w:rsid w:val="00A81138"/>
    <w:rsid w:val="00A82F76"/>
    <w:rsid w:val="00A83D75"/>
    <w:rsid w:val="00A84443"/>
    <w:rsid w:val="00A84AB9"/>
    <w:rsid w:val="00A86851"/>
    <w:rsid w:val="00A86D15"/>
    <w:rsid w:val="00A86DBF"/>
    <w:rsid w:val="00A90182"/>
    <w:rsid w:val="00A903EA"/>
    <w:rsid w:val="00A91344"/>
    <w:rsid w:val="00A93209"/>
    <w:rsid w:val="00A93473"/>
    <w:rsid w:val="00A96A42"/>
    <w:rsid w:val="00A97B21"/>
    <w:rsid w:val="00AA062D"/>
    <w:rsid w:val="00AA0844"/>
    <w:rsid w:val="00AA30E5"/>
    <w:rsid w:val="00AA3CE7"/>
    <w:rsid w:val="00AA44BE"/>
    <w:rsid w:val="00AA453D"/>
    <w:rsid w:val="00AA71F2"/>
    <w:rsid w:val="00AA797F"/>
    <w:rsid w:val="00AA7E18"/>
    <w:rsid w:val="00AB0771"/>
    <w:rsid w:val="00AB09A1"/>
    <w:rsid w:val="00AB1D9C"/>
    <w:rsid w:val="00AB3D14"/>
    <w:rsid w:val="00AB4940"/>
    <w:rsid w:val="00AB611F"/>
    <w:rsid w:val="00AB65AE"/>
    <w:rsid w:val="00AB6A43"/>
    <w:rsid w:val="00AC20F3"/>
    <w:rsid w:val="00AC23B1"/>
    <w:rsid w:val="00AC32FA"/>
    <w:rsid w:val="00AC4BB2"/>
    <w:rsid w:val="00AC54D8"/>
    <w:rsid w:val="00AC7BE3"/>
    <w:rsid w:val="00AD065B"/>
    <w:rsid w:val="00AD2850"/>
    <w:rsid w:val="00AD3616"/>
    <w:rsid w:val="00AD397F"/>
    <w:rsid w:val="00AD5004"/>
    <w:rsid w:val="00AD57B5"/>
    <w:rsid w:val="00AD5CF0"/>
    <w:rsid w:val="00AE0A46"/>
    <w:rsid w:val="00AE0D59"/>
    <w:rsid w:val="00AE2549"/>
    <w:rsid w:val="00AE27C3"/>
    <w:rsid w:val="00AE2D7D"/>
    <w:rsid w:val="00AE4141"/>
    <w:rsid w:val="00AE4C6E"/>
    <w:rsid w:val="00AE735D"/>
    <w:rsid w:val="00AE7F08"/>
    <w:rsid w:val="00AF17A7"/>
    <w:rsid w:val="00AF2353"/>
    <w:rsid w:val="00AF29BA"/>
    <w:rsid w:val="00AF29CE"/>
    <w:rsid w:val="00AF3911"/>
    <w:rsid w:val="00B0090E"/>
    <w:rsid w:val="00B00B62"/>
    <w:rsid w:val="00B02A6A"/>
    <w:rsid w:val="00B03923"/>
    <w:rsid w:val="00B04D30"/>
    <w:rsid w:val="00B05AA6"/>
    <w:rsid w:val="00B06D85"/>
    <w:rsid w:val="00B07244"/>
    <w:rsid w:val="00B112C7"/>
    <w:rsid w:val="00B1198E"/>
    <w:rsid w:val="00B204A8"/>
    <w:rsid w:val="00B207C7"/>
    <w:rsid w:val="00B21114"/>
    <w:rsid w:val="00B21652"/>
    <w:rsid w:val="00B21B5A"/>
    <w:rsid w:val="00B2251C"/>
    <w:rsid w:val="00B23A73"/>
    <w:rsid w:val="00B23FF4"/>
    <w:rsid w:val="00B255F4"/>
    <w:rsid w:val="00B25671"/>
    <w:rsid w:val="00B25AA6"/>
    <w:rsid w:val="00B30763"/>
    <w:rsid w:val="00B30863"/>
    <w:rsid w:val="00B32C0D"/>
    <w:rsid w:val="00B34ED0"/>
    <w:rsid w:val="00B3563B"/>
    <w:rsid w:val="00B361BB"/>
    <w:rsid w:val="00B368D9"/>
    <w:rsid w:val="00B37C57"/>
    <w:rsid w:val="00B37D2D"/>
    <w:rsid w:val="00B4022D"/>
    <w:rsid w:val="00B40CBF"/>
    <w:rsid w:val="00B43092"/>
    <w:rsid w:val="00B44EEC"/>
    <w:rsid w:val="00B45456"/>
    <w:rsid w:val="00B5336D"/>
    <w:rsid w:val="00B544D6"/>
    <w:rsid w:val="00B5762B"/>
    <w:rsid w:val="00B61804"/>
    <w:rsid w:val="00B623F2"/>
    <w:rsid w:val="00B6306F"/>
    <w:rsid w:val="00B7051B"/>
    <w:rsid w:val="00B70976"/>
    <w:rsid w:val="00B70B29"/>
    <w:rsid w:val="00B71C1F"/>
    <w:rsid w:val="00B74B7A"/>
    <w:rsid w:val="00B755D0"/>
    <w:rsid w:val="00B76A3B"/>
    <w:rsid w:val="00B76F54"/>
    <w:rsid w:val="00B80807"/>
    <w:rsid w:val="00B839FC"/>
    <w:rsid w:val="00B83C04"/>
    <w:rsid w:val="00B859F1"/>
    <w:rsid w:val="00B85DA7"/>
    <w:rsid w:val="00B862CC"/>
    <w:rsid w:val="00B86630"/>
    <w:rsid w:val="00B90D94"/>
    <w:rsid w:val="00B924D6"/>
    <w:rsid w:val="00B93FC3"/>
    <w:rsid w:val="00B9518F"/>
    <w:rsid w:val="00B95CFC"/>
    <w:rsid w:val="00B96881"/>
    <w:rsid w:val="00B97FF4"/>
    <w:rsid w:val="00BA10C2"/>
    <w:rsid w:val="00BA42D7"/>
    <w:rsid w:val="00BA5181"/>
    <w:rsid w:val="00BA6A0F"/>
    <w:rsid w:val="00BB0623"/>
    <w:rsid w:val="00BB204F"/>
    <w:rsid w:val="00BB5CD5"/>
    <w:rsid w:val="00BB7F82"/>
    <w:rsid w:val="00BC005C"/>
    <w:rsid w:val="00BC1462"/>
    <w:rsid w:val="00BC2AB2"/>
    <w:rsid w:val="00BC37F4"/>
    <w:rsid w:val="00BC4115"/>
    <w:rsid w:val="00BC4F68"/>
    <w:rsid w:val="00BC66EB"/>
    <w:rsid w:val="00BC6922"/>
    <w:rsid w:val="00BC751E"/>
    <w:rsid w:val="00BD0295"/>
    <w:rsid w:val="00BD27C8"/>
    <w:rsid w:val="00BD2D7E"/>
    <w:rsid w:val="00BD310C"/>
    <w:rsid w:val="00BD3A23"/>
    <w:rsid w:val="00BD4FD3"/>
    <w:rsid w:val="00BD777B"/>
    <w:rsid w:val="00BD7F7F"/>
    <w:rsid w:val="00BE0C37"/>
    <w:rsid w:val="00BE1FE7"/>
    <w:rsid w:val="00BE21CA"/>
    <w:rsid w:val="00BE32ED"/>
    <w:rsid w:val="00BE3551"/>
    <w:rsid w:val="00BE3691"/>
    <w:rsid w:val="00BE4978"/>
    <w:rsid w:val="00BE4A3A"/>
    <w:rsid w:val="00BE552A"/>
    <w:rsid w:val="00BE6C84"/>
    <w:rsid w:val="00BF24DC"/>
    <w:rsid w:val="00BF2AC2"/>
    <w:rsid w:val="00BF2C5A"/>
    <w:rsid w:val="00BF3A23"/>
    <w:rsid w:val="00BF41DA"/>
    <w:rsid w:val="00BF4345"/>
    <w:rsid w:val="00BF4FB5"/>
    <w:rsid w:val="00BF5A45"/>
    <w:rsid w:val="00BF5C40"/>
    <w:rsid w:val="00BF666F"/>
    <w:rsid w:val="00BF6E03"/>
    <w:rsid w:val="00BF6FF0"/>
    <w:rsid w:val="00C00AA3"/>
    <w:rsid w:val="00C0157E"/>
    <w:rsid w:val="00C01E9C"/>
    <w:rsid w:val="00C024D8"/>
    <w:rsid w:val="00C03C15"/>
    <w:rsid w:val="00C04595"/>
    <w:rsid w:val="00C06268"/>
    <w:rsid w:val="00C072C8"/>
    <w:rsid w:val="00C079FF"/>
    <w:rsid w:val="00C10685"/>
    <w:rsid w:val="00C10926"/>
    <w:rsid w:val="00C114A2"/>
    <w:rsid w:val="00C120AC"/>
    <w:rsid w:val="00C13A5F"/>
    <w:rsid w:val="00C15231"/>
    <w:rsid w:val="00C242E8"/>
    <w:rsid w:val="00C267AD"/>
    <w:rsid w:val="00C312FC"/>
    <w:rsid w:val="00C329D4"/>
    <w:rsid w:val="00C33905"/>
    <w:rsid w:val="00C342C2"/>
    <w:rsid w:val="00C34FE9"/>
    <w:rsid w:val="00C35D67"/>
    <w:rsid w:val="00C405A7"/>
    <w:rsid w:val="00C41223"/>
    <w:rsid w:val="00C44C70"/>
    <w:rsid w:val="00C451DC"/>
    <w:rsid w:val="00C45B44"/>
    <w:rsid w:val="00C46966"/>
    <w:rsid w:val="00C479DB"/>
    <w:rsid w:val="00C51DC0"/>
    <w:rsid w:val="00C5361F"/>
    <w:rsid w:val="00C55A43"/>
    <w:rsid w:val="00C56C9A"/>
    <w:rsid w:val="00C60E74"/>
    <w:rsid w:val="00C61973"/>
    <w:rsid w:val="00C66C23"/>
    <w:rsid w:val="00C66EA3"/>
    <w:rsid w:val="00C72CDC"/>
    <w:rsid w:val="00C73BD5"/>
    <w:rsid w:val="00C7563D"/>
    <w:rsid w:val="00C7566F"/>
    <w:rsid w:val="00C756FE"/>
    <w:rsid w:val="00C7641F"/>
    <w:rsid w:val="00C77CA7"/>
    <w:rsid w:val="00C77D41"/>
    <w:rsid w:val="00C77D59"/>
    <w:rsid w:val="00C8101F"/>
    <w:rsid w:val="00C81E26"/>
    <w:rsid w:val="00C82637"/>
    <w:rsid w:val="00C82765"/>
    <w:rsid w:val="00C8304B"/>
    <w:rsid w:val="00C83466"/>
    <w:rsid w:val="00C861CA"/>
    <w:rsid w:val="00C928F5"/>
    <w:rsid w:val="00C92F34"/>
    <w:rsid w:val="00C9303A"/>
    <w:rsid w:val="00C937F0"/>
    <w:rsid w:val="00C9397B"/>
    <w:rsid w:val="00C94905"/>
    <w:rsid w:val="00C94AA3"/>
    <w:rsid w:val="00CA13E6"/>
    <w:rsid w:val="00CA1E16"/>
    <w:rsid w:val="00CA2396"/>
    <w:rsid w:val="00CA2560"/>
    <w:rsid w:val="00CA58AA"/>
    <w:rsid w:val="00CB174C"/>
    <w:rsid w:val="00CB2D8D"/>
    <w:rsid w:val="00CB34D9"/>
    <w:rsid w:val="00CB40E0"/>
    <w:rsid w:val="00CB5002"/>
    <w:rsid w:val="00CB51C0"/>
    <w:rsid w:val="00CB5BC9"/>
    <w:rsid w:val="00CB6149"/>
    <w:rsid w:val="00CC13D2"/>
    <w:rsid w:val="00CC2A6E"/>
    <w:rsid w:val="00CC4287"/>
    <w:rsid w:val="00CC4451"/>
    <w:rsid w:val="00CC4D5E"/>
    <w:rsid w:val="00CC5A8B"/>
    <w:rsid w:val="00CC6B8D"/>
    <w:rsid w:val="00CC7F18"/>
    <w:rsid w:val="00CD012C"/>
    <w:rsid w:val="00CD08D1"/>
    <w:rsid w:val="00CD15F0"/>
    <w:rsid w:val="00CD4109"/>
    <w:rsid w:val="00CD4651"/>
    <w:rsid w:val="00CD5FFC"/>
    <w:rsid w:val="00CD6141"/>
    <w:rsid w:val="00CD75C0"/>
    <w:rsid w:val="00CE276D"/>
    <w:rsid w:val="00CE28E9"/>
    <w:rsid w:val="00CE4180"/>
    <w:rsid w:val="00CE606A"/>
    <w:rsid w:val="00CE6D88"/>
    <w:rsid w:val="00CE7CC4"/>
    <w:rsid w:val="00CF070D"/>
    <w:rsid w:val="00CF0A27"/>
    <w:rsid w:val="00CF2FDE"/>
    <w:rsid w:val="00CF5676"/>
    <w:rsid w:val="00CF6DD7"/>
    <w:rsid w:val="00CF7A06"/>
    <w:rsid w:val="00CF7C44"/>
    <w:rsid w:val="00D01BCE"/>
    <w:rsid w:val="00D028A0"/>
    <w:rsid w:val="00D04EBF"/>
    <w:rsid w:val="00D076A4"/>
    <w:rsid w:val="00D11BB0"/>
    <w:rsid w:val="00D12043"/>
    <w:rsid w:val="00D1282F"/>
    <w:rsid w:val="00D13508"/>
    <w:rsid w:val="00D13AC5"/>
    <w:rsid w:val="00D145A0"/>
    <w:rsid w:val="00D160B9"/>
    <w:rsid w:val="00D16D15"/>
    <w:rsid w:val="00D16FD0"/>
    <w:rsid w:val="00D204A6"/>
    <w:rsid w:val="00D20847"/>
    <w:rsid w:val="00D21730"/>
    <w:rsid w:val="00D219DF"/>
    <w:rsid w:val="00D21EC3"/>
    <w:rsid w:val="00D235CA"/>
    <w:rsid w:val="00D2395F"/>
    <w:rsid w:val="00D24A96"/>
    <w:rsid w:val="00D2621F"/>
    <w:rsid w:val="00D27602"/>
    <w:rsid w:val="00D31034"/>
    <w:rsid w:val="00D31995"/>
    <w:rsid w:val="00D34969"/>
    <w:rsid w:val="00D35187"/>
    <w:rsid w:val="00D438F7"/>
    <w:rsid w:val="00D46506"/>
    <w:rsid w:val="00D47B40"/>
    <w:rsid w:val="00D51987"/>
    <w:rsid w:val="00D520A3"/>
    <w:rsid w:val="00D52505"/>
    <w:rsid w:val="00D531CD"/>
    <w:rsid w:val="00D55C41"/>
    <w:rsid w:val="00D56F1F"/>
    <w:rsid w:val="00D64D49"/>
    <w:rsid w:val="00D664D8"/>
    <w:rsid w:val="00D700EA"/>
    <w:rsid w:val="00D748CF"/>
    <w:rsid w:val="00D74CE7"/>
    <w:rsid w:val="00D75701"/>
    <w:rsid w:val="00D7640E"/>
    <w:rsid w:val="00D766FD"/>
    <w:rsid w:val="00D76F14"/>
    <w:rsid w:val="00D77360"/>
    <w:rsid w:val="00D80573"/>
    <w:rsid w:val="00D81BE8"/>
    <w:rsid w:val="00D83F65"/>
    <w:rsid w:val="00D86069"/>
    <w:rsid w:val="00D871F7"/>
    <w:rsid w:val="00D87857"/>
    <w:rsid w:val="00D879AD"/>
    <w:rsid w:val="00D87D8C"/>
    <w:rsid w:val="00D907C7"/>
    <w:rsid w:val="00D90928"/>
    <w:rsid w:val="00D91382"/>
    <w:rsid w:val="00D94926"/>
    <w:rsid w:val="00D94A1E"/>
    <w:rsid w:val="00D95044"/>
    <w:rsid w:val="00D950C6"/>
    <w:rsid w:val="00D954A3"/>
    <w:rsid w:val="00D95676"/>
    <w:rsid w:val="00D958F4"/>
    <w:rsid w:val="00D95DCA"/>
    <w:rsid w:val="00D95EFC"/>
    <w:rsid w:val="00D96132"/>
    <w:rsid w:val="00DA1768"/>
    <w:rsid w:val="00DA19C3"/>
    <w:rsid w:val="00DA31C9"/>
    <w:rsid w:val="00DA3242"/>
    <w:rsid w:val="00DA4514"/>
    <w:rsid w:val="00DA4D85"/>
    <w:rsid w:val="00DA5F3F"/>
    <w:rsid w:val="00DA614E"/>
    <w:rsid w:val="00DA77D3"/>
    <w:rsid w:val="00DB17CD"/>
    <w:rsid w:val="00DB2644"/>
    <w:rsid w:val="00DB3BE4"/>
    <w:rsid w:val="00DB4AE5"/>
    <w:rsid w:val="00DB5DC9"/>
    <w:rsid w:val="00DB5EF4"/>
    <w:rsid w:val="00DB7853"/>
    <w:rsid w:val="00DC0C3C"/>
    <w:rsid w:val="00DC18DD"/>
    <w:rsid w:val="00DC3796"/>
    <w:rsid w:val="00DC43E2"/>
    <w:rsid w:val="00DC63EF"/>
    <w:rsid w:val="00DC6EC1"/>
    <w:rsid w:val="00DC7E74"/>
    <w:rsid w:val="00DD0660"/>
    <w:rsid w:val="00DD06E3"/>
    <w:rsid w:val="00DD25A5"/>
    <w:rsid w:val="00DD363B"/>
    <w:rsid w:val="00DD568D"/>
    <w:rsid w:val="00DD7ACF"/>
    <w:rsid w:val="00DE0439"/>
    <w:rsid w:val="00DE3267"/>
    <w:rsid w:val="00DE3DEA"/>
    <w:rsid w:val="00DE4F7C"/>
    <w:rsid w:val="00DE7E91"/>
    <w:rsid w:val="00DF2AB8"/>
    <w:rsid w:val="00DF3717"/>
    <w:rsid w:val="00DF4249"/>
    <w:rsid w:val="00DF4407"/>
    <w:rsid w:val="00DF4957"/>
    <w:rsid w:val="00DF75D4"/>
    <w:rsid w:val="00E00312"/>
    <w:rsid w:val="00E021CD"/>
    <w:rsid w:val="00E029DC"/>
    <w:rsid w:val="00E039FE"/>
    <w:rsid w:val="00E062AD"/>
    <w:rsid w:val="00E07C73"/>
    <w:rsid w:val="00E1062A"/>
    <w:rsid w:val="00E11751"/>
    <w:rsid w:val="00E12670"/>
    <w:rsid w:val="00E12CDB"/>
    <w:rsid w:val="00E13C85"/>
    <w:rsid w:val="00E140DB"/>
    <w:rsid w:val="00E14D7E"/>
    <w:rsid w:val="00E15472"/>
    <w:rsid w:val="00E16F85"/>
    <w:rsid w:val="00E17FEC"/>
    <w:rsid w:val="00E200E1"/>
    <w:rsid w:val="00E21218"/>
    <w:rsid w:val="00E2124E"/>
    <w:rsid w:val="00E2360F"/>
    <w:rsid w:val="00E23C51"/>
    <w:rsid w:val="00E24640"/>
    <w:rsid w:val="00E24732"/>
    <w:rsid w:val="00E2473B"/>
    <w:rsid w:val="00E25A21"/>
    <w:rsid w:val="00E26B2F"/>
    <w:rsid w:val="00E2713D"/>
    <w:rsid w:val="00E302B0"/>
    <w:rsid w:val="00E309FF"/>
    <w:rsid w:val="00E31932"/>
    <w:rsid w:val="00E31C1B"/>
    <w:rsid w:val="00E3280F"/>
    <w:rsid w:val="00E33ADC"/>
    <w:rsid w:val="00E340EF"/>
    <w:rsid w:val="00E34149"/>
    <w:rsid w:val="00E36227"/>
    <w:rsid w:val="00E362A7"/>
    <w:rsid w:val="00E36939"/>
    <w:rsid w:val="00E401CD"/>
    <w:rsid w:val="00E4035A"/>
    <w:rsid w:val="00E4096E"/>
    <w:rsid w:val="00E44E2E"/>
    <w:rsid w:val="00E4548E"/>
    <w:rsid w:val="00E465E1"/>
    <w:rsid w:val="00E5123F"/>
    <w:rsid w:val="00E51C8F"/>
    <w:rsid w:val="00E60BC8"/>
    <w:rsid w:val="00E62784"/>
    <w:rsid w:val="00E63B82"/>
    <w:rsid w:val="00E64E60"/>
    <w:rsid w:val="00E678B6"/>
    <w:rsid w:val="00E75929"/>
    <w:rsid w:val="00E75EA1"/>
    <w:rsid w:val="00E760AF"/>
    <w:rsid w:val="00E77DD3"/>
    <w:rsid w:val="00E8033D"/>
    <w:rsid w:val="00E80CAD"/>
    <w:rsid w:val="00E8161B"/>
    <w:rsid w:val="00E83907"/>
    <w:rsid w:val="00E86C77"/>
    <w:rsid w:val="00E870E0"/>
    <w:rsid w:val="00E8764F"/>
    <w:rsid w:val="00E90D07"/>
    <w:rsid w:val="00E93E2A"/>
    <w:rsid w:val="00E9435F"/>
    <w:rsid w:val="00E954BF"/>
    <w:rsid w:val="00E957BA"/>
    <w:rsid w:val="00E96121"/>
    <w:rsid w:val="00E96960"/>
    <w:rsid w:val="00E97A67"/>
    <w:rsid w:val="00EA0B55"/>
    <w:rsid w:val="00EA0C8B"/>
    <w:rsid w:val="00EA12B6"/>
    <w:rsid w:val="00EA251D"/>
    <w:rsid w:val="00EA29A3"/>
    <w:rsid w:val="00EA2B62"/>
    <w:rsid w:val="00EA2B8A"/>
    <w:rsid w:val="00EA566E"/>
    <w:rsid w:val="00EA5911"/>
    <w:rsid w:val="00EA62EC"/>
    <w:rsid w:val="00EA74D6"/>
    <w:rsid w:val="00EA76F9"/>
    <w:rsid w:val="00EB106E"/>
    <w:rsid w:val="00EB1B58"/>
    <w:rsid w:val="00EB27B7"/>
    <w:rsid w:val="00EB2A4D"/>
    <w:rsid w:val="00EB2BFD"/>
    <w:rsid w:val="00EB3012"/>
    <w:rsid w:val="00EB46DD"/>
    <w:rsid w:val="00EB4A2A"/>
    <w:rsid w:val="00EB5A16"/>
    <w:rsid w:val="00EB5DC2"/>
    <w:rsid w:val="00EC0F17"/>
    <w:rsid w:val="00EC36B9"/>
    <w:rsid w:val="00EC38EC"/>
    <w:rsid w:val="00EC3A70"/>
    <w:rsid w:val="00EC41BB"/>
    <w:rsid w:val="00EC490F"/>
    <w:rsid w:val="00EC6E75"/>
    <w:rsid w:val="00EC7AE3"/>
    <w:rsid w:val="00ED1318"/>
    <w:rsid w:val="00ED1B91"/>
    <w:rsid w:val="00ED1F81"/>
    <w:rsid w:val="00ED20F2"/>
    <w:rsid w:val="00ED2A25"/>
    <w:rsid w:val="00ED3B44"/>
    <w:rsid w:val="00ED4113"/>
    <w:rsid w:val="00ED4121"/>
    <w:rsid w:val="00ED6AE1"/>
    <w:rsid w:val="00ED7203"/>
    <w:rsid w:val="00ED77EF"/>
    <w:rsid w:val="00ED7805"/>
    <w:rsid w:val="00EE0F73"/>
    <w:rsid w:val="00EE1299"/>
    <w:rsid w:val="00EE1700"/>
    <w:rsid w:val="00EE227F"/>
    <w:rsid w:val="00EE2F7F"/>
    <w:rsid w:val="00EE3AE1"/>
    <w:rsid w:val="00EE6AF8"/>
    <w:rsid w:val="00EF06DF"/>
    <w:rsid w:val="00EF1086"/>
    <w:rsid w:val="00EF1A84"/>
    <w:rsid w:val="00EF2373"/>
    <w:rsid w:val="00EF303D"/>
    <w:rsid w:val="00EF3E4E"/>
    <w:rsid w:val="00EF475E"/>
    <w:rsid w:val="00F00B89"/>
    <w:rsid w:val="00F06A78"/>
    <w:rsid w:val="00F11288"/>
    <w:rsid w:val="00F11433"/>
    <w:rsid w:val="00F1286B"/>
    <w:rsid w:val="00F12A6C"/>
    <w:rsid w:val="00F13963"/>
    <w:rsid w:val="00F13999"/>
    <w:rsid w:val="00F13BAB"/>
    <w:rsid w:val="00F1403C"/>
    <w:rsid w:val="00F15A80"/>
    <w:rsid w:val="00F16540"/>
    <w:rsid w:val="00F22C9F"/>
    <w:rsid w:val="00F24B12"/>
    <w:rsid w:val="00F25338"/>
    <w:rsid w:val="00F26C9A"/>
    <w:rsid w:val="00F27F44"/>
    <w:rsid w:val="00F30148"/>
    <w:rsid w:val="00F303F7"/>
    <w:rsid w:val="00F32EB2"/>
    <w:rsid w:val="00F33824"/>
    <w:rsid w:val="00F34C94"/>
    <w:rsid w:val="00F35823"/>
    <w:rsid w:val="00F36BE7"/>
    <w:rsid w:val="00F37F7B"/>
    <w:rsid w:val="00F415E7"/>
    <w:rsid w:val="00F440CF"/>
    <w:rsid w:val="00F44562"/>
    <w:rsid w:val="00F449A4"/>
    <w:rsid w:val="00F4628E"/>
    <w:rsid w:val="00F47E8C"/>
    <w:rsid w:val="00F50E48"/>
    <w:rsid w:val="00F524FE"/>
    <w:rsid w:val="00F5262B"/>
    <w:rsid w:val="00F528D3"/>
    <w:rsid w:val="00F52F1C"/>
    <w:rsid w:val="00F55501"/>
    <w:rsid w:val="00F56BFA"/>
    <w:rsid w:val="00F57D27"/>
    <w:rsid w:val="00F604C2"/>
    <w:rsid w:val="00F60907"/>
    <w:rsid w:val="00F60930"/>
    <w:rsid w:val="00F63BAD"/>
    <w:rsid w:val="00F647BA"/>
    <w:rsid w:val="00F64C0B"/>
    <w:rsid w:val="00F65136"/>
    <w:rsid w:val="00F66D91"/>
    <w:rsid w:val="00F677EF"/>
    <w:rsid w:val="00F67A52"/>
    <w:rsid w:val="00F67FD3"/>
    <w:rsid w:val="00F708B2"/>
    <w:rsid w:val="00F74CBB"/>
    <w:rsid w:val="00F757DA"/>
    <w:rsid w:val="00F75C2F"/>
    <w:rsid w:val="00F779C2"/>
    <w:rsid w:val="00F803C1"/>
    <w:rsid w:val="00F80502"/>
    <w:rsid w:val="00F80563"/>
    <w:rsid w:val="00F84435"/>
    <w:rsid w:val="00F848C5"/>
    <w:rsid w:val="00F84B55"/>
    <w:rsid w:val="00F85DBF"/>
    <w:rsid w:val="00F85F32"/>
    <w:rsid w:val="00F87F1A"/>
    <w:rsid w:val="00F90DB7"/>
    <w:rsid w:val="00F90E9F"/>
    <w:rsid w:val="00F913BD"/>
    <w:rsid w:val="00F918D5"/>
    <w:rsid w:val="00F927ED"/>
    <w:rsid w:val="00F927EF"/>
    <w:rsid w:val="00F94F04"/>
    <w:rsid w:val="00F9534F"/>
    <w:rsid w:val="00F95FF6"/>
    <w:rsid w:val="00FA0E11"/>
    <w:rsid w:val="00FA209C"/>
    <w:rsid w:val="00FA20C5"/>
    <w:rsid w:val="00FA5474"/>
    <w:rsid w:val="00FA54FD"/>
    <w:rsid w:val="00FA6245"/>
    <w:rsid w:val="00FA6503"/>
    <w:rsid w:val="00FA7884"/>
    <w:rsid w:val="00FB1BDD"/>
    <w:rsid w:val="00FB2064"/>
    <w:rsid w:val="00FB27EB"/>
    <w:rsid w:val="00FB3F50"/>
    <w:rsid w:val="00FB6816"/>
    <w:rsid w:val="00FB6E8B"/>
    <w:rsid w:val="00FB7B1C"/>
    <w:rsid w:val="00FB7F4F"/>
    <w:rsid w:val="00FC0DF4"/>
    <w:rsid w:val="00FC1F16"/>
    <w:rsid w:val="00FC4449"/>
    <w:rsid w:val="00FC6337"/>
    <w:rsid w:val="00FD0442"/>
    <w:rsid w:val="00FD08AE"/>
    <w:rsid w:val="00FD2D65"/>
    <w:rsid w:val="00FD520D"/>
    <w:rsid w:val="00FD5FFF"/>
    <w:rsid w:val="00FD74C1"/>
    <w:rsid w:val="00FE13D9"/>
    <w:rsid w:val="00FE1AF1"/>
    <w:rsid w:val="00FE2BF6"/>
    <w:rsid w:val="00FE67A8"/>
    <w:rsid w:val="00FE7164"/>
    <w:rsid w:val="00FE792D"/>
    <w:rsid w:val="00FF32C1"/>
    <w:rsid w:val="00FF49D2"/>
    <w:rsid w:val="00FF6B7D"/>
    <w:rsid w:val="00FF6E9D"/>
    <w:rsid w:val="00FF7EE1"/>
    <w:rsid w:val="0651120C"/>
    <w:rsid w:val="1B446651"/>
    <w:rsid w:val="276051ED"/>
    <w:rsid w:val="2D54597D"/>
    <w:rsid w:val="306D79CF"/>
    <w:rsid w:val="31AE3017"/>
    <w:rsid w:val="31E338AF"/>
    <w:rsid w:val="3B7E1FBA"/>
    <w:rsid w:val="3D352BE8"/>
    <w:rsid w:val="515F04C9"/>
    <w:rsid w:val="58424AD9"/>
    <w:rsid w:val="67EC0542"/>
    <w:rsid w:val="774E7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2EC0B6"/>
  <w15:docId w15:val="{77447C5F-FDC0-4BFB-B362-7F87DBD9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line="480" w:lineRule="auto"/>
      <w:outlineLvl w:val="1"/>
    </w:pPr>
    <w:rPr>
      <w:rFonts w:ascii="Arial" w:eastAsia="仿宋"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7">
    <w:name w:val="toc 7"/>
    <w:basedOn w:val="a"/>
    <w:next w:val="a"/>
    <w:qFormat/>
    <w:pPr>
      <w:ind w:leftChars="1200" w:left="25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qFormat/>
    <w:pPr>
      <w:spacing w:line="360" w:lineRule="auto"/>
    </w:pPr>
    <w:rPr>
      <w:rFonts w:ascii="仿宋_GB2312" w:eastAsia="仿宋_GB2312"/>
      <w:color w:val="000000"/>
      <w:kern w:val="0"/>
      <w:sz w:val="24"/>
      <w:szCs w:val="28"/>
    </w:rPr>
  </w:style>
  <w:style w:type="paragraph" w:styleId="a7">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qFormat/>
    <w:pPr>
      <w:ind w:leftChars="800" w:left="1680"/>
    </w:pPr>
  </w:style>
  <w:style w:type="paragraph" w:styleId="3">
    <w:name w:val="toc 3"/>
    <w:basedOn w:val="a"/>
    <w:next w:val="a"/>
    <w:qFormat/>
    <w:pPr>
      <w:ind w:leftChars="400" w:left="840"/>
    </w:pPr>
  </w:style>
  <w:style w:type="paragraph" w:styleId="8">
    <w:name w:val="toc 8"/>
    <w:basedOn w:val="a"/>
    <w:next w:val="a"/>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8">
    <w:name w:val="Balloon Text"/>
    <w:basedOn w:val="a"/>
    <w:qFormat/>
    <w:rPr>
      <w:sz w:val="18"/>
      <w:szCs w:val="18"/>
    </w:rPr>
  </w:style>
  <w:style w:type="paragraph" w:styleId="a9">
    <w:name w:val="footer"/>
    <w:basedOn w:val="a"/>
    <w:link w:val="Char0"/>
    <w:uiPriority w:val="99"/>
    <w:qFormat/>
    <w:pPr>
      <w:tabs>
        <w:tab w:val="center" w:pos="4153"/>
        <w:tab w:val="right" w:pos="8306"/>
      </w:tabs>
      <w:snapToGrid w:val="0"/>
      <w:jc w:val="left"/>
    </w:pPr>
    <w:rPr>
      <w:sz w:val="18"/>
      <w:szCs w:val="18"/>
    </w:rPr>
  </w:style>
  <w:style w:type="paragraph" w:styleId="aa">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
    <w:name w:val="toc 4"/>
    <w:basedOn w:val="a"/>
    <w:next w:val="a"/>
    <w:qFormat/>
    <w:pPr>
      <w:ind w:leftChars="600" w:left="1260"/>
    </w:pPr>
  </w:style>
  <w:style w:type="paragraph" w:styleId="6">
    <w:name w:val="toc 6"/>
    <w:basedOn w:val="a"/>
    <w:next w:val="a"/>
    <w:qFormat/>
    <w:pPr>
      <w:ind w:leftChars="1000" w:left="2100"/>
    </w:pPr>
  </w:style>
  <w:style w:type="paragraph" w:styleId="30">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qFormat/>
    <w:pPr>
      <w:ind w:leftChars="200" w:left="420"/>
    </w:pPr>
  </w:style>
  <w:style w:type="paragraph" w:styleId="9">
    <w:name w:val="toc 9"/>
    <w:basedOn w:val="a"/>
    <w:next w:val="a"/>
    <w:qFormat/>
    <w:pPr>
      <w:ind w:leftChars="1600" w:left="3360"/>
    </w:pPr>
  </w:style>
  <w:style w:type="paragraph" w:styleId="ab">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Title"/>
    <w:basedOn w:val="a"/>
    <w:link w:val="Char2"/>
    <w:qFormat/>
    <w:pPr>
      <w:spacing w:before="240" w:after="60"/>
      <w:ind w:left="420" w:hanging="420"/>
      <w:jc w:val="center"/>
      <w:outlineLvl w:val="0"/>
    </w:pPr>
    <w:rPr>
      <w:rFonts w:ascii="Arial" w:eastAsia="仿宋" w:hAnsi="Arial"/>
      <w:b/>
      <w:bCs/>
      <w:sz w:val="32"/>
      <w:szCs w:val="32"/>
    </w:rPr>
  </w:style>
  <w:style w:type="paragraph" w:styleId="ad">
    <w:name w:val="annotation subject"/>
    <w:basedOn w:val="a5"/>
    <w:next w:val="a5"/>
    <w:qFormat/>
    <w:rPr>
      <w:b/>
      <w:bCs/>
    </w:rPr>
  </w:style>
  <w:style w:type="character" w:styleId="ae">
    <w:name w:val="Strong"/>
    <w:uiPriority w:val="22"/>
    <w:qFormat/>
    <w:rPr>
      <w:rFonts w:ascii="Times New Roman" w:eastAsia="宋体" w:hAnsi="Times New Roman" w:cs="Times New Roman"/>
      <w:b/>
      <w:bCs/>
    </w:rPr>
  </w:style>
  <w:style w:type="character" w:styleId="af">
    <w:name w:val="page number"/>
    <w:qFormat/>
    <w:rPr>
      <w:rFonts w:ascii="Times New Roman" w:eastAsia="宋体" w:hAnsi="Times New Roman" w:cs="Times New Roman"/>
    </w:rPr>
  </w:style>
  <w:style w:type="character" w:styleId="af0">
    <w:name w:val="FollowedHyperlink"/>
    <w:semiHidden/>
    <w:unhideWhenUsed/>
    <w:qFormat/>
    <w:rPr>
      <w:color w:val="954F72"/>
      <w:u w:val="single"/>
    </w:rPr>
  </w:style>
  <w:style w:type="character" w:styleId="af1">
    <w:name w:val="Hyperlink"/>
    <w:uiPriority w:val="99"/>
    <w:qFormat/>
    <w:rPr>
      <w:rFonts w:ascii="Times New Roman" w:eastAsia="宋体" w:hAnsi="Times New Roman" w:cs="Times New Roman"/>
      <w:color w:val="0000FF"/>
      <w:u w:val="single"/>
    </w:rPr>
  </w:style>
  <w:style w:type="character" w:styleId="af2">
    <w:name w:val="annotation reference"/>
    <w:uiPriority w:val="99"/>
    <w:qFormat/>
    <w:rPr>
      <w:rFonts w:ascii="Times New Roman" w:eastAsia="宋体" w:hAnsi="Times New Roman" w:cs="Times New Roman"/>
      <w:sz w:val="21"/>
      <w:szCs w:val="21"/>
    </w:rPr>
  </w:style>
  <w:style w:type="character" w:customStyle="1" w:styleId="Char0">
    <w:name w:val="页脚 Char"/>
    <w:link w:val="a9"/>
    <w:uiPriority w:val="99"/>
    <w:qFormat/>
    <w:rPr>
      <w:kern w:val="2"/>
      <w:sz w:val="18"/>
      <w:szCs w:val="18"/>
    </w:rPr>
  </w:style>
  <w:style w:type="character" w:customStyle="1" w:styleId="Char1">
    <w:name w:val="页眉 Char"/>
    <w:link w:val="aa"/>
    <w:qFormat/>
    <w:rPr>
      <w:kern w:val="2"/>
      <w:sz w:val="18"/>
      <w:szCs w:val="18"/>
    </w:rPr>
  </w:style>
  <w:style w:type="character" w:customStyle="1" w:styleId="read">
    <w:name w:val="read"/>
    <w:qFormat/>
    <w:rPr>
      <w:rFonts w:ascii="Times New Roman" w:eastAsia="宋体" w:hAnsi="Times New Roman" w:cs="Times New Roman"/>
    </w:rPr>
  </w:style>
  <w:style w:type="character" w:customStyle="1" w:styleId="1Char">
    <w:name w:val="标题 1 Char"/>
    <w:link w:val="1"/>
    <w:qFormat/>
    <w:rPr>
      <w:rFonts w:ascii="Times New Roman" w:eastAsia="宋体" w:hAnsi="Times New Roman" w:cs="Times New Roman"/>
      <w:b/>
      <w:bCs/>
      <w:kern w:val="44"/>
      <w:sz w:val="44"/>
      <w:szCs w:val="4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11">
    <w:name w:val="已访问的超链接1"/>
    <w:qFormat/>
    <w:rPr>
      <w:color w:val="800080"/>
      <w:u w:val="single"/>
    </w:rPr>
  </w:style>
  <w:style w:type="paragraph" w:customStyle="1" w:styleId="Char3">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20">
    <w:name w:val="Char2"/>
    <w:basedOn w:val="a"/>
    <w:qFormat/>
  </w:style>
  <w:style w:type="character" w:customStyle="1" w:styleId="Char">
    <w:name w:val="批注文字 Char"/>
    <w:link w:val="a5"/>
    <w:qFormat/>
    <w:rPr>
      <w:kern w:val="2"/>
      <w:sz w:val="21"/>
      <w:szCs w:val="24"/>
    </w:rPr>
  </w:style>
  <w:style w:type="paragraph" w:customStyle="1" w:styleId="CharCharCharCharCharCharChar">
    <w:name w:val="Char Char Char Char Char Char Char"/>
    <w:basedOn w:val="a"/>
    <w:qFormat/>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12">
    <w:name w:val="修订1"/>
    <w:uiPriority w:val="99"/>
    <w:qFormat/>
    <w:rPr>
      <w:kern w:val="2"/>
      <w:sz w:val="21"/>
      <w:szCs w:val="24"/>
    </w:rPr>
  </w:style>
  <w:style w:type="character" w:customStyle="1" w:styleId="Char2">
    <w:name w:val="标题 Char"/>
    <w:link w:val="ac"/>
    <w:qFormat/>
    <w:rPr>
      <w:rFonts w:ascii="Arial" w:eastAsia="仿宋" w:hAnsi="Arial"/>
      <w:b/>
      <w:bCs/>
      <w:kern w:val="2"/>
      <w:sz w:val="32"/>
      <w:szCs w:val="32"/>
    </w:rPr>
  </w:style>
  <w:style w:type="paragraph" w:customStyle="1" w:styleId="Char30">
    <w:name w:val="Char3"/>
    <w:basedOn w:val="a"/>
    <w:qFormat/>
  </w:style>
  <w:style w:type="paragraph" w:customStyle="1" w:styleId="Char11">
    <w:name w:val="Char1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qFormat/>
  </w:style>
  <w:style w:type="paragraph" w:customStyle="1" w:styleId="40">
    <w:name w:val="4"/>
    <w:qFormat/>
    <w:pPr>
      <w:widowControl w:val="0"/>
      <w:jc w:val="both"/>
    </w:pPr>
    <w:rPr>
      <w:kern w:val="2"/>
      <w:sz w:val="21"/>
      <w:szCs w:val="24"/>
    </w:rPr>
  </w:style>
  <w:style w:type="paragraph" w:customStyle="1" w:styleId="31">
    <w:name w:val="3"/>
    <w:qFormat/>
    <w:pPr>
      <w:widowControl w:val="0"/>
      <w:jc w:val="both"/>
    </w:pPr>
    <w:rPr>
      <w:kern w:val="2"/>
      <w:sz w:val="21"/>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2">
    <w:name w:val="2"/>
    <w:qFormat/>
    <w:pPr>
      <w:widowControl w:val="0"/>
      <w:jc w:val="both"/>
    </w:pPr>
    <w:rPr>
      <w:kern w:val="2"/>
      <w:sz w:val="21"/>
      <w:szCs w:val="24"/>
    </w:rPr>
  </w:style>
  <w:style w:type="character" w:customStyle="1" w:styleId="23">
    <w:name w:val="已访问的超链接2"/>
    <w:qFormat/>
    <w:rPr>
      <w:color w:val="800080"/>
      <w:u w:val="single"/>
    </w:rPr>
  </w:style>
  <w:style w:type="character" w:customStyle="1" w:styleId="af3">
    <w:name w:val="批注文字 字符"/>
    <w:qFormat/>
    <w:rPr>
      <w:rFonts w:eastAsia="宋体"/>
      <w:kern w:val="2"/>
      <w:sz w:val="21"/>
      <w:szCs w:val="24"/>
      <w:lang w:val="en-US" w:eastAsia="zh-CN" w:bidi="ar-SA"/>
    </w:rPr>
  </w:style>
  <w:style w:type="character" w:customStyle="1" w:styleId="af4">
    <w:name w:val="标题 字符"/>
    <w:qFormat/>
    <w:rPr>
      <w:rFonts w:ascii="Arial" w:hAnsi="Arial" w:cs="Arial"/>
      <w:b/>
      <w:bCs/>
      <w:kern w:val="2"/>
      <w:sz w:val="32"/>
      <w:szCs w:val="32"/>
    </w:rPr>
  </w:style>
  <w:style w:type="character" w:customStyle="1" w:styleId="af5">
    <w:name w:val="页脚 字符"/>
    <w:uiPriority w:val="99"/>
    <w:qFormat/>
    <w:rPr>
      <w:kern w:val="2"/>
      <w:sz w:val="18"/>
      <w:szCs w:val="18"/>
    </w:rPr>
  </w:style>
  <w:style w:type="character" w:customStyle="1" w:styleId="af6">
    <w:name w:val="页眉 字符"/>
    <w:uiPriority w:val="99"/>
    <w:qFormat/>
    <w:rPr>
      <w:kern w:val="2"/>
      <w:sz w:val="18"/>
      <w:szCs w:val="18"/>
    </w:rPr>
  </w:style>
  <w:style w:type="character" w:customStyle="1" w:styleId="13">
    <w:name w:val="标题 1 字符"/>
    <w:qFormat/>
    <w:rPr>
      <w:b/>
      <w:bCs/>
      <w:kern w:val="44"/>
      <w:sz w:val="44"/>
      <w:szCs w:val="44"/>
    </w:rPr>
  </w:style>
  <w:style w:type="paragraph" w:customStyle="1" w:styleId="14">
    <w:name w:val="1"/>
    <w:basedOn w:val="a"/>
    <w:next w:val="a"/>
    <w:qFormat/>
    <w:pPr>
      <w:ind w:leftChars="1600" w:left="3360"/>
    </w:p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11">
    <w:name w:val="fontstyle11"/>
    <w:basedOn w:val="a1"/>
    <w:qFormat/>
    <w:rPr>
      <w:rFonts w:ascii="TimesNewRomanPSMT" w:hAnsi="TimesNewRomanPSMT" w:hint="default"/>
      <w:color w:val="000000"/>
      <w:sz w:val="24"/>
      <w:szCs w:val="24"/>
    </w:rPr>
  </w:style>
  <w:style w:type="paragraph" w:styleId="af7">
    <w:name w:val="List Paragraph"/>
    <w:basedOn w:val="a"/>
    <w:uiPriority w:val="34"/>
    <w:qFormat/>
    <w:pPr>
      <w:ind w:firstLineChars="200" w:firstLine="420"/>
    </w:pPr>
  </w:style>
  <w:style w:type="paragraph" w:customStyle="1" w:styleId="24">
    <w:name w:val="修订2"/>
    <w:hidden/>
    <w:uiPriority w:val="99"/>
    <w:semiHidden/>
    <w:qFormat/>
    <w:rPr>
      <w:kern w:val="2"/>
      <w:sz w:val="21"/>
      <w:szCs w:val="24"/>
    </w:rPr>
  </w:style>
  <w:style w:type="paragraph" w:customStyle="1" w:styleId="32">
    <w:name w:val="修订3"/>
    <w:hidden/>
    <w:uiPriority w:val="99"/>
    <w:semiHidden/>
    <w:qFormat/>
    <w:rPr>
      <w:kern w:val="2"/>
      <w:sz w:val="21"/>
      <w:szCs w:val="24"/>
    </w:rPr>
  </w:style>
  <w:style w:type="paragraph" w:styleId="af8">
    <w:name w:val="Revision"/>
    <w:hidden/>
    <w:uiPriority w:val="99"/>
    <w:semiHidden/>
    <w:rsid w:val="00DB5E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settings" Target="settings.xml"/><Relationship Id="rId50" Type="http://schemas.openxmlformats.org/officeDocument/2006/relationships/endnotes" Target="endnotes.xml"/><Relationship Id="rId55" Type="http://schemas.openxmlformats.org/officeDocument/2006/relationships/footer" Target="footer3.xml"/><Relationship Id="rId63" Type="http://schemas.openxmlformats.org/officeDocument/2006/relationships/footer" Target="footer11.xml"/><Relationship Id="rId68" Type="http://schemas.openxmlformats.org/officeDocument/2006/relationships/footer" Target="footer16.xml"/><Relationship Id="rId76"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numbering" Target="numbering.xml"/><Relationship Id="rId53" Type="http://schemas.openxmlformats.org/officeDocument/2006/relationships/footer" Target="footer1.xml"/><Relationship Id="rId58" Type="http://schemas.openxmlformats.org/officeDocument/2006/relationships/footer" Target="footer6.xml"/><Relationship Id="rId66" Type="http://schemas.openxmlformats.org/officeDocument/2006/relationships/footer" Target="footer14.xml"/><Relationship Id="rId74" Type="http://schemas.openxmlformats.org/officeDocument/2006/relationships/footer" Target="footer2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notes" Target="footnotes.xml"/><Relationship Id="rId57" Type="http://schemas.openxmlformats.org/officeDocument/2006/relationships/footer" Target="footer5.xml"/><Relationship Id="rId61" Type="http://schemas.openxmlformats.org/officeDocument/2006/relationships/footer" Target="footer9.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header" Target="header2.xml"/><Relationship Id="rId60" Type="http://schemas.openxmlformats.org/officeDocument/2006/relationships/footer" Target="footer8.xml"/><Relationship Id="rId65" Type="http://schemas.openxmlformats.org/officeDocument/2006/relationships/footer" Target="footer13.xml"/><Relationship Id="rId73" Type="http://schemas.openxmlformats.org/officeDocument/2006/relationships/footer" Target="footer2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webSettings" Target="webSettings.xml"/><Relationship Id="rId56" Type="http://schemas.openxmlformats.org/officeDocument/2006/relationships/footer" Target="footer4.xml"/><Relationship Id="rId64" Type="http://schemas.openxmlformats.org/officeDocument/2006/relationships/footer" Target="footer12.xml"/><Relationship Id="rId69" Type="http://schemas.openxmlformats.org/officeDocument/2006/relationships/footer" Target="footer17.xml"/><Relationship Id="rId77"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eader" Target="header1.xml"/><Relationship Id="rId72"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styles" Target="styles.xml"/><Relationship Id="rId59" Type="http://schemas.openxmlformats.org/officeDocument/2006/relationships/footer" Target="footer7.xml"/><Relationship Id="rId67" Type="http://schemas.openxmlformats.org/officeDocument/2006/relationships/footer" Target="footer15.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footer" Target="footer2.xml"/><Relationship Id="rId62" Type="http://schemas.openxmlformats.org/officeDocument/2006/relationships/footer" Target="footer10.xml"/><Relationship Id="rId70" Type="http://schemas.openxmlformats.org/officeDocument/2006/relationships/footer" Target="footer18.xml"/><Relationship Id="rId75"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5A36F-FBD0-4DEF-9F0F-40DDE2E77649}">
  <ds:schemaRefs>
    <ds:schemaRef ds:uri="http://schemas.openxmlformats.org/officeDocument/2006/bibliography"/>
  </ds:schemaRefs>
</ds:datastoreItem>
</file>

<file path=customXml/itemProps10.xml><?xml version="1.0" encoding="utf-8"?>
<ds:datastoreItem xmlns:ds="http://schemas.openxmlformats.org/officeDocument/2006/customXml" ds:itemID="{8D746185-626D-4373-9F97-9CF2D481F027}">
  <ds:schemaRefs>
    <ds:schemaRef ds:uri="http://schemas.openxmlformats.org/officeDocument/2006/bibliography"/>
  </ds:schemaRefs>
</ds:datastoreItem>
</file>

<file path=customXml/itemProps11.xml><?xml version="1.0" encoding="utf-8"?>
<ds:datastoreItem xmlns:ds="http://schemas.openxmlformats.org/officeDocument/2006/customXml" ds:itemID="{D721122C-B1DD-410C-B84E-16F67864255E}">
  <ds:schemaRefs>
    <ds:schemaRef ds:uri="http://schemas.openxmlformats.org/officeDocument/2006/bibliography"/>
  </ds:schemaRefs>
</ds:datastoreItem>
</file>

<file path=customXml/itemProps12.xml><?xml version="1.0" encoding="utf-8"?>
<ds:datastoreItem xmlns:ds="http://schemas.openxmlformats.org/officeDocument/2006/customXml" ds:itemID="{FDCC7897-C220-4F2E-BC71-0639D6F0F095}">
  <ds:schemaRefs>
    <ds:schemaRef ds:uri="http://schemas.openxmlformats.org/officeDocument/2006/bibliography"/>
  </ds:schemaRefs>
</ds:datastoreItem>
</file>

<file path=customXml/itemProps13.xml><?xml version="1.0" encoding="utf-8"?>
<ds:datastoreItem xmlns:ds="http://schemas.openxmlformats.org/officeDocument/2006/customXml" ds:itemID="{9BEBA11E-3C14-4689-A365-4D6E627C296B}">
  <ds:schemaRefs>
    <ds:schemaRef ds:uri="http://schemas.openxmlformats.org/officeDocument/2006/bibliography"/>
  </ds:schemaRefs>
</ds:datastoreItem>
</file>

<file path=customXml/itemProps14.xml><?xml version="1.0" encoding="utf-8"?>
<ds:datastoreItem xmlns:ds="http://schemas.openxmlformats.org/officeDocument/2006/customXml" ds:itemID="{82439D5C-86F6-4369-9408-F5184D273CF8}">
  <ds:schemaRefs>
    <ds:schemaRef ds:uri="http://schemas.openxmlformats.org/officeDocument/2006/bibliography"/>
  </ds:schemaRefs>
</ds:datastoreItem>
</file>

<file path=customXml/itemProps15.xml><?xml version="1.0" encoding="utf-8"?>
<ds:datastoreItem xmlns:ds="http://schemas.openxmlformats.org/officeDocument/2006/customXml" ds:itemID="{34852140-DCE7-469A-A1E5-84C99DE24087}">
  <ds:schemaRefs>
    <ds:schemaRef ds:uri="http://schemas.openxmlformats.org/officeDocument/2006/bibliography"/>
  </ds:schemaRefs>
</ds:datastoreItem>
</file>

<file path=customXml/itemProps16.xml><?xml version="1.0" encoding="utf-8"?>
<ds:datastoreItem xmlns:ds="http://schemas.openxmlformats.org/officeDocument/2006/customXml" ds:itemID="{F28A3F21-041A-4A0E-885C-CE006835DB26}">
  <ds:schemaRefs>
    <ds:schemaRef ds:uri="http://schemas.openxmlformats.org/officeDocument/2006/bibliography"/>
  </ds:schemaRefs>
</ds:datastoreItem>
</file>

<file path=customXml/itemProps17.xml><?xml version="1.0" encoding="utf-8"?>
<ds:datastoreItem xmlns:ds="http://schemas.openxmlformats.org/officeDocument/2006/customXml" ds:itemID="{F2748467-7027-4336-AD1C-A8216C3E521A}">
  <ds:schemaRefs>
    <ds:schemaRef ds:uri="http://schemas.openxmlformats.org/officeDocument/2006/bibliography"/>
  </ds:schemaRefs>
</ds:datastoreItem>
</file>

<file path=customXml/itemProps18.xml><?xml version="1.0" encoding="utf-8"?>
<ds:datastoreItem xmlns:ds="http://schemas.openxmlformats.org/officeDocument/2006/customXml" ds:itemID="{097AE7E7-9888-493B-B5CF-6905DEF27CE1}">
  <ds:schemaRefs>
    <ds:schemaRef ds:uri="http://schemas.openxmlformats.org/officeDocument/2006/bibliography"/>
  </ds:schemaRefs>
</ds:datastoreItem>
</file>

<file path=customXml/itemProps19.xml><?xml version="1.0" encoding="utf-8"?>
<ds:datastoreItem xmlns:ds="http://schemas.openxmlformats.org/officeDocument/2006/customXml" ds:itemID="{CA8FAEF6-DE42-4C20-B530-324C7B758D4B}">
  <ds:schemaRefs>
    <ds:schemaRef ds:uri="http://schemas.openxmlformats.org/officeDocument/2006/bibliography"/>
  </ds:schemaRefs>
</ds:datastoreItem>
</file>

<file path=customXml/itemProps2.xml><?xml version="1.0" encoding="utf-8"?>
<ds:datastoreItem xmlns:ds="http://schemas.openxmlformats.org/officeDocument/2006/customXml" ds:itemID="{2AA49FC1-0B23-486E-B9CF-73076F2D9CD4}">
  <ds:schemaRefs>
    <ds:schemaRef ds:uri="http://schemas.openxmlformats.org/officeDocument/2006/bibliography"/>
  </ds:schemaRefs>
</ds:datastoreItem>
</file>

<file path=customXml/itemProps20.xml><?xml version="1.0" encoding="utf-8"?>
<ds:datastoreItem xmlns:ds="http://schemas.openxmlformats.org/officeDocument/2006/customXml" ds:itemID="{16ABF274-324D-495F-854C-733B38D95A20}">
  <ds:schemaRefs>
    <ds:schemaRef ds:uri="http://schemas.openxmlformats.org/officeDocument/2006/bibliography"/>
  </ds:schemaRefs>
</ds:datastoreItem>
</file>

<file path=customXml/itemProps21.xml><?xml version="1.0" encoding="utf-8"?>
<ds:datastoreItem xmlns:ds="http://schemas.openxmlformats.org/officeDocument/2006/customXml" ds:itemID="{D9136FA3-31F4-4816-B1FE-99FD14E8E66C}">
  <ds:schemaRefs>
    <ds:schemaRef ds:uri="http://schemas.openxmlformats.org/officeDocument/2006/bibliography"/>
  </ds:schemaRefs>
</ds:datastoreItem>
</file>

<file path=customXml/itemProps22.xml><?xml version="1.0" encoding="utf-8"?>
<ds:datastoreItem xmlns:ds="http://schemas.openxmlformats.org/officeDocument/2006/customXml" ds:itemID="{233204FB-B68F-4854-BFD3-C0904FBEC92A}">
  <ds:schemaRefs>
    <ds:schemaRef ds:uri="http://schemas.openxmlformats.org/officeDocument/2006/bibliography"/>
  </ds:schemaRefs>
</ds:datastoreItem>
</file>

<file path=customXml/itemProps23.xml><?xml version="1.0" encoding="utf-8"?>
<ds:datastoreItem xmlns:ds="http://schemas.openxmlformats.org/officeDocument/2006/customXml" ds:itemID="{FCF05C67-145C-4E39-B177-97FA393910C7}">
  <ds:schemaRefs>
    <ds:schemaRef ds:uri="http://schemas.openxmlformats.org/officeDocument/2006/bibliography"/>
  </ds:schemaRefs>
</ds:datastoreItem>
</file>

<file path=customXml/itemProps24.xml><?xml version="1.0" encoding="utf-8"?>
<ds:datastoreItem xmlns:ds="http://schemas.openxmlformats.org/officeDocument/2006/customXml" ds:itemID="{68713A23-D2AF-45F8-B916-60CC2F6A0B2A}">
  <ds:schemaRefs>
    <ds:schemaRef ds:uri="http://schemas.openxmlformats.org/officeDocument/2006/bibliography"/>
  </ds:schemaRefs>
</ds:datastoreItem>
</file>

<file path=customXml/itemProps25.xml><?xml version="1.0" encoding="utf-8"?>
<ds:datastoreItem xmlns:ds="http://schemas.openxmlformats.org/officeDocument/2006/customXml" ds:itemID="{0F7FF9EA-C51C-4CA3-8BBC-A265AE0BC989}">
  <ds:schemaRefs>
    <ds:schemaRef ds:uri="http://schemas.openxmlformats.org/officeDocument/2006/bibliography"/>
  </ds:schemaRefs>
</ds:datastoreItem>
</file>

<file path=customXml/itemProps26.xml><?xml version="1.0" encoding="utf-8"?>
<ds:datastoreItem xmlns:ds="http://schemas.openxmlformats.org/officeDocument/2006/customXml" ds:itemID="{C241CB67-DE1E-48A3-B527-750853E7E1B0}">
  <ds:schemaRefs>
    <ds:schemaRef ds:uri="http://schemas.openxmlformats.org/officeDocument/2006/bibliography"/>
  </ds:schemaRefs>
</ds:datastoreItem>
</file>

<file path=customXml/itemProps27.xml><?xml version="1.0" encoding="utf-8"?>
<ds:datastoreItem xmlns:ds="http://schemas.openxmlformats.org/officeDocument/2006/customXml" ds:itemID="{3CC45FFE-E5B6-4A13-9BEE-AC03744B0B68}">
  <ds:schemaRefs>
    <ds:schemaRef ds:uri="http://schemas.openxmlformats.org/officeDocument/2006/bibliography"/>
  </ds:schemaRefs>
</ds:datastoreItem>
</file>

<file path=customXml/itemProps28.xml><?xml version="1.0" encoding="utf-8"?>
<ds:datastoreItem xmlns:ds="http://schemas.openxmlformats.org/officeDocument/2006/customXml" ds:itemID="{3ED529BC-E837-40D7-A429-BBA04AECEA29}">
  <ds:schemaRefs>
    <ds:schemaRef ds:uri="http://schemas.openxmlformats.org/officeDocument/2006/bibliography"/>
  </ds:schemaRefs>
</ds:datastoreItem>
</file>

<file path=customXml/itemProps29.xml><?xml version="1.0" encoding="utf-8"?>
<ds:datastoreItem xmlns:ds="http://schemas.openxmlformats.org/officeDocument/2006/customXml" ds:itemID="{5B26CE0B-F237-4E38-8DBE-FC5EBAF802E5}">
  <ds:schemaRefs>
    <ds:schemaRef ds:uri="http://schemas.openxmlformats.org/officeDocument/2006/bibliography"/>
  </ds:schemaRefs>
</ds:datastoreItem>
</file>

<file path=customXml/itemProps3.xml><?xml version="1.0" encoding="utf-8"?>
<ds:datastoreItem xmlns:ds="http://schemas.openxmlformats.org/officeDocument/2006/customXml" ds:itemID="{1401E9CC-C5FD-40AB-8FC1-30E9C07D111F}">
  <ds:schemaRefs>
    <ds:schemaRef ds:uri="http://schemas.openxmlformats.org/officeDocument/2006/bibliography"/>
  </ds:schemaRefs>
</ds:datastoreItem>
</file>

<file path=customXml/itemProps30.xml><?xml version="1.0" encoding="utf-8"?>
<ds:datastoreItem xmlns:ds="http://schemas.openxmlformats.org/officeDocument/2006/customXml" ds:itemID="{25F56197-2406-48FB-A6A6-FA30B776E283}">
  <ds:schemaRefs>
    <ds:schemaRef ds:uri="http://schemas.openxmlformats.org/officeDocument/2006/bibliography"/>
  </ds:schemaRefs>
</ds:datastoreItem>
</file>

<file path=customXml/itemProps31.xml><?xml version="1.0" encoding="utf-8"?>
<ds:datastoreItem xmlns:ds="http://schemas.openxmlformats.org/officeDocument/2006/customXml" ds:itemID="{3061D8A5-6C2D-4745-8615-75166894F4B9}">
  <ds:schemaRefs>
    <ds:schemaRef ds:uri="http://schemas.openxmlformats.org/officeDocument/2006/bibliography"/>
  </ds:schemaRefs>
</ds:datastoreItem>
</file>

<file path=customXml/itemProps32.xml><?xml version="1.0" encoding="utf-8"?>
<ds:datastoreItem xmlns:ds="http://schemas.openxmlformats.org/officeDocument/2006/customXml" ds:itemID="{7922E349-9C29-4346-890A-B7EE04A61140}">
  <ds:schemaRefs>
    <ds:schemaRef ds:uri="http://schemas.openxmlformats.org/officeDocument/2006/bibliography"/>
  </ds:schemaRefs>
</ds:datastoreItem>
</file>

<file path=customXml/itemProps33.xml><?xml version="1.0" encoding="utf-8"?>
<ds:datastoreItem xmlns:ds="http://schemas.openxmlformats.org/officeDocument/2006/customXml" ds:itemID="{F9B9D4FD-2648-4120-B91D-E6228ED83FCC}">
  <ds:schemaRefs>
    <ds:schemaRef ds:uri="http://schemas.openxmlformats.org/officeDocument/2006/bibliography"/>
  </ds:schemaRefs>
</ds:datastoreItem>
</file>

<file path=customXml/itemProps34.xml><?xml version="1.0" encoding="utf-8"?>
<ds:datastoreItem xmlns:ds="http://schemas.openxmlformats.org/officeDocument/2006/customXml" ds:itemID="{0014D2D0-C498-4760-B86E-A0DECFCE7FD5}">
  <ds:schemaRefs>
    <ds:schemaRef ds:uri="http://schemas.openxmlformats.org/officeDocument/2006/bibliography"/>
  </ds:schemaRefs>
</ds:datastoreItem>
</file>

<file path=customXml/itemProps35.xml><?xml version="1.0" encoding="utf-8"?>
<ds:datastoreItem xmlns:ds="http://schemas.openxmlformats.org/officeDocument/2006/customXml" ds:itemID="{C19BEBA2-44B8-4701-968E-817D1B0E53D8}">
  <ds:schemaRefs>
    <ds:schemaRef ds:uri="http://schemas.openxmlformats.org/officeDocument/2006/bibliography"/>
  </ds:schemaRefs>
</ds:datastoreItem>
</file>

<file path=customXml/itemProps36.xml><?xml version="1.0" encoding="utf-8"?>
<ds:datastoreItem xmlns:ds="http://schemas.openxmlformats.org/officeDocument/2006/customXml" ds:itemID="{5895A396-0285-416C-9B49-E575657B14DE}">
  <ds:schemaRefs>
    <ds:schemaRef ds:uri="http://schemas.openxmlformats.org/officeDocument/2006/bibliography"/>
  </ds:schemaRefs>
</ds:datastoreItem>
</file>

<file path=customXml/itemProps37.xml><?xml version="1.0" encoding="utf-8"?>
<ds:datastoreItem xmlns:ds="http://schemas.openxmlformats.org/officeDocument/2006/customXml" ds:itemID="{403DBD88-B2AE-4EA7-BE4B-9DE89F536615}">
  <ds:schemaRefs>
    <ds:schemaRef ds:uri="http://schemas.openxmlformats.org/officeDocument/2006/bibliography"/>
  </ds:schemaRefs>
</ds:datastoreItem>
</file>

<file path=customXml/itemProps38.xml><?xml version="1.0" encoding="utf-8"?>
<ds:datastoreItem xmlns:ds="http://schemas.openxmlformats.org/officeDocument/2006/customXml" ds:itemID="{59111637-A50D-40C1-AA3F-5BF0F3DF619B}">
  <ds:schemaRefs>
    <ds:schemaRef ds:uri="http://schemas.openxmlformats.org/officeDocument/2006/bibliography"/>
  </ds:schemaRefs>
</ds:datastoreItem>
</file>

<file path=customXml/itemProps39.xml><?xml version="1.0" encoding="utf-8"?>
<ds:datastoreItem xmlns:ds="http://schemas.openxmlformats.org/officeDocument/2006/customXml" ds:itemID="{97DDAFEB-0A07-477E-8DEF-B4F21B218987}">
  <ds:schemaRefs>
    <ds:schemaRef ds:uri="http://schemas.openxmlformats.org/officeDocument/2006/bibliography"/>
  </ds:schemaRefs>
</ds:datastoreItem>
</file>

<file path=customXml/itemProps4.xml><?xml version="1.0" encoding="utf-8"?>
<ds:datastoreItem xmlns:ds="http://schemas.openxmlformats.org/officeDocument/2006/customXml" ds:itemID="{AE0941A5-8C65-495F-A47B-EEA62A508043}">
  <ds:schemaRefs>
    <ds:schemaRef ds:uri="http://schemas.openxmlformats.org/officeDocument/2006/bibliography"/>
  </ds:schemaRefs>
</ds:datastoreItem>
</file>

<file path=customXml/itemProps40.xml><?xml version="1.0" encoding="utf-8"?>
<ds:datastoreItem xmlns:ds="http://schemas.openxmlformats.org/officeDocument/2006/customXml" ds:itemID="{AAB0221E-0F52-4A60-AB0C-FDD5A5CF9E4D}">
  <ds:schemaRefs>
    <ds:schemaRef ds:uri="http://schemas.openxmlformats.org/officeDocument/2006/bibliography"/>
  </ds:schemaRefs>
</ds:datastoreItem>
</file>

<file path=customXml/itemProps41.xml><?xml version="1.0" encoding="utf-8"?>
<ds:datastoreItem xmlns:ds="http://schemas.openxmlformats.org/officeDocument/2006/customXml" ds:itemID="{FA98ADD8-2AD9-4BDA-8BF4-AF46458EAA48}">
  <ds:schemaRefs>
    <ds:schemaRef ds:uri="http://schemas.openxmlformats.org/officeDocument/2006/bibliography"/>
  </ds:schemaRefs>
</ds:datastoreItem>
</file>

<file path=customXml/itemProps42.xml><?xml version="1.0" encoding="utf-8"?>
<ds:datastoreItem xmlns:ds="http://schemas.openxmlformats.org/officeDocument/2006/customXml" ds:itemID="{BF1B4524-1FF6-4A1A-B1A4-6683ABDAD95B}">
  <ds:schemaRefs>
    <ds:schemaRef ds:uri="http://schemas.openxmlformats.org/officeDocument/2006/bibliography"/>
  </ds:schemaRefs>
</ds:datastoreItem>
</file>

<file path=customXml/itemProps43.xml><?xml version="1.0" encoding="utf-8"?>
<ds:datastoreItem xmlns:ds="http://schemas.openxmlformats.org/officeDocument/2006/customXml" ds:itemID="{00FD7FFC-BCB1-4A69-BD31-B5FDC4258773}">
  <ds:schemaRefs>
    <ds:schemaRef ds:uri="http://schemas.openxmlformats.org/officeDocument/2006/bibliography"/>
  </ds:schemaRefs>
</ds:datastoreItem>
</file>

<file path=customXml/itemProps44.xml><?xml version="1.0" encoding="utf-8"?>
<ds:datastoreItem xmlns:ds="http://schemas.openxmlformats.org/officeDocument/2006/customXml" ds:itemID="{D1E06044-FC47-441F-BEBB-29165466ACC9}">
  <ds:schemaRefs>
    <ds:schemaRef ds:uri="http://schemas.openxmlformats.org/officeDocument/2006/bibliography"/>
  </ds:schemaRefs>
</ds:datastoreItem>
</file>

<file path=customXml/itemProps5.xml><?xml version="1.0" encoding="utf-8"?>
<ds:datastoreItem xmlns:ds="http://schemas.openxmlformats.org/officeDocument/2006/customXml" ds:itemID="{07E9EA21-B7C6-45CA-A3E8-57B60F11CC00}">
  <ds:schemaRefs>
    <ds:schemaRef ds:uri="http://schemas.openxmlformats.org/officeDocument/2006/bibliography"/>
  </ds:schemaRefs>
</ds:datastoreItem>
</file>

<file path=customXml/itemProps6.xml><?xml version="1.0" encoding="utf-8"?>
<ds:datastoreItem xmlns:ds="http://schemas.openxmlformats.org/officeDocument/2006/customXml" ds:itemID="{32C6B58D-42C0-453D-9D22-2DA45B03EFDA}">
  <ds:schemaRefs>
    <ds:schemaRef ds:uri="http://schemas.openxmlformats.org/officeDocument/2006/bibliography"/>
  </ds:schemaRefs>
</ds:datastoreItem>
</file>

<file path=customXml/itemProps7.xml><?xml version="1.0" encoding="utf-8"?>
<ds:datastoreItem xmlns:ds="http://schemas.openxmlformats.org/officeDocument/2006/customXml" ds:itemID="{2A3C5FE0-DDE2-478F-8370-EF2AB45EFA60}">
  <ds:schemaRefs>
    <ds:schemaRef ds:uri="http://schemas.openxmlformats.org/officeDocument/2006/bibliography"/>
  </ds:schemaRefs>
</ds:datastoreItem>
</file>

<file path=customXml/itemProps8.xml><?xml version="1.0" encoding="utf-8"?>
<ds:datastoreItem xmlns:ds="http://schemas.openxmlformats.org/officeDocument/2006/customXml" ds:itemID="{B5500DFF-B06A-4262-A534-69E1E86CA9C3}">
  <ds:schemaRefs>
    <ds:schemaRef ds:uri="http://schemas.openxmlformats.org/officeDocument/2006/bibliography"/>
  </ds:schemaRefs>
</ds:datastoreItem>
</file>

<file path=customXml/itemProps9.xml><?xml version="1.0" encoding="utf-8"?>
<ds:datastoreItem xmlns:ds="http://schemas.openxmlformats.org/officeDocument/2006/customXml" ds:itemID="{578753D7-367E-4DF0-81E9-A1B4AE687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47</Pages>
  <Words>4181</Words>
  <Characters>23836</Characters>
  <Application>Microsoft Office Word</Application>
  <DocSecurity>0</DocSecurity>
  <Lines>198</Lines>
  <Paragraphs>55</Paragraphs>
  <ScaleCrop>false</ScaleCrop>
  <Company/>
  <LinksUpToDate>false</LinksUpToDate>
  <CharactersWithSpaces>27962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戴聪子</cp:lastModifiedBy>
  <cp:revision>57</cp:revision>
  <cp:lastPrinted>2021-01-18T06:03:00Z</cp:lastPrinted>
  <dcterms:created xsi:type="dcterms:W3CDTF">2020-09-16T12:59:00Z</dcterms:created>
  <dcterms:modified xsi:type="dcterms:W3CDTF">2023-07-21T05:17:00Z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41d33a0e67cd4c7ebb466472a8684a6a</vt:lpwstr>
  </property>
  <property fmtid="{D5CDD505-2E9C-101B-9397-08002B2CF9AE}" pid="3" name="verificationId">
    <vt:lpwstr>861dd15c5ac3dfaa</vt:lpwstr>
  </property>
  <property fmtid="{D5CDD505-2E9C-101B-9397-08002B2CF9AE}" pid="4" name="KSOProductBuildVer">
    <vt:lpwstr>2052-11.1.0.13703</vt:lpwstr>
  </property>
  <property fmtid="{D5CDD505-2E9C-101B-9397-08002B2CF9AE}" pid="5" name="ICV">
    <vt:lpwstr>5E08C028BDC641CB80E9AD9E02E6258E</vt:lpwstr>
  </property>
</Properties>
</file>