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B8EC5" w14:textId="77777777" w:rsidR="004B4FE8" w:rsidRPr="00B95BA9" w:rsidRDefault="00A8421B">
      <w:pPr>
        <w:jc w:val="center"/>
        <w:rPr>
          <w:rFonts w:ascii="黑体" w:eastAsia="黑体" w:hAnsi="黑体" w:cs="Times New Roman"/>
          <w:sz w:val="32"/>
          <w:szCs w:val="44"/>
        </w:rPr>
      </w:pPr>
      <w:r w:rsidRPr="00B95BA9">
        <w:rPr>
          <w:rFonts w:ascii="黑体" w:eastAsia="黑体" w:hAnsi="黑体" w:cs="Times New Roman" w:hint="eastAsia"/>
          <w:sz w:val="32"/>
          <w:szCs w:val="44"/>
        </w:rPr>
        <w:t>东方阿尔法医疗健康混合</w:t>
      </w:r>
      <w:r w:rsidRPr="00B95BA9">
        <w:rPr>
          <w:rFonts w:ascii="黑体" w:eastAsia="黑体" w:hAnsi="黑体" w:cs="Times New Roman"/>
          <w:sz w:val="32"/>
          <w:szCs w:val="44"/>
        </w:rPr>
        <w:t>型发起式证券投资基金（A类份额）</w:t>
      </w:r>
    </w:p>
    <w:p w14:paraId="03C10D89" w14:textId="77777777" w:rsidR="004B4FE8" w:rsidRPr="00B95BA9" w:rsidRDefault="00A8421B">
      <w:pPr>
        <w:jc w:val="center"/>
        <w:rPr>
          <w:rFonts w:ascii="黑体" w:eastAsia="黑体" w:hAnsi="黑体" w:cs="Times New Roman"/>
          <w:sz w:val="32"/>
          <w:szCs w:val="44"/>
        </w:rPr>
      </w:pPr>
      <w:r w:rsidRPr="00B95BA9">
        <w:rPr>
          <w:rFonts w:ascii="黑体" w:eastAsia="黑体" w:hAnsi="黑体" w:cs="Times New Roman"/>
          <w:sz w:val="32"/>
          <w:szCs w:val="44"/>
        </w:rPr>
        <w:t>基金产品资料概要</w:t>
      </w:r>
      <w:r w:rsidR="009249D0" w:rsidRPr="00B95BA9">
        <w:rPr>
          <w:rFonts w:ascii="黑体" w:eastAsia="黑体" w:hAnsi="黑体" w:cs="Times New Roman"/>
          <w:sz w:val="32"/>
          <w:szCs w:val="44"/>
        </w:rPr>
        <w:t>更新</w:t>
      </w:r>
    </w:p>
    <w:p w14:paraId="2030FEE3" w14:textId="7892C4F9" w:rsidR="004B4FE8" w:rsidRPr="00B95BA9" w:rsidRDefault="00A8421B">
      <w:pPr>
        <w:spacing w:afterLines="50" w:after="156"/>
        <w:jc w:val="right"/>
        <w:rPr>
          <w:rFonts w:asciiTheme="minorEastAsia" w:hAnsiTheme="minorEastAsia"/>
        </w:rPr>
      </w:pPr>
      <w:r w:rsidRPr="00B95BA9">
        <w:rPr>
          <w:rFonts w:asciiTheme="minorEastAsia" w:hAnsiTheme="minorEastAsia" w:hint="eastAsia"/>
        </w:rPr>
        <w:t>编制日期：</w:t>
      </w:r>
      <w:r w:rsidR="009249D0" w:rsidRPr="00B95BA9">
        <w:rPr>
          <w:rFonts w:asciiTheme="minorEastAsia" w:hAnsiTheme="minorEastAsia"/>
        </w:rPr>
        <w:t>202</w:t>
      </w:r>
      <w:r w:rsidR="001F74E4" w:rsidRPr="00B95BA9">
        <w:rPr>
          <w:rFonts w:asciiTheme="minorEastAsia" w:hAnsiTheme="minorEastAsia"/>
        </w:rPr>
        <w:t>3</w:t>
      </w:r>
      <w:r w:rsidR="009249D0" w:rsidRPr="00B95BA9">
        <w:rPr>
          <w:rFonts w:asciiTheme="minorEastAsia" w:hAnsiTheme="minorEastAsia"/>
        </w:rPr>
        <w:t>年</w:t>
      </w:r>
      <w:r w:rsidR="004C7038" w:rsidRPr="00B95BA9">
        <w:rPr>
          <w:rFonts w:asciiTheme="minorEastAsia" w:hAnsiTheme="minorEastAsia" w:hint="eastAsia"/>
        </w:rPr>
        <w:t>8</w:t>
      </w:r>
      <w:r w:rsidRPr="00B95BA9">
        <w:rPr>
          <w:rFonts w:asciiTheme="minorEastAsia" w:hAnsiTheme="minorEastAsia" w:hint="eastAsia"/>
        </w:rPr>
        <w:t>月</w:t>
      </w:r>
      <w:r w:rsidR="00B95BA9" w:rsidRPr="00B95BA9">
        <w:rPr>
          <w:rFonts w:asciiTheme="minorEastAsia" w:hAnsiTheme="minorEastAsia"/>
        </w:rPr>
        <w:t>19</w:t>
      </w:r>
      <w:r w:rsidRPr="00B95BA9">
        <w:rPr>
          <w:rFonts w:asciiTheme="minorEastAsia" w:hAnsiTheme="minorEastAsia" w:hint="eastAsia"/>
        </w:rPr>
        <w:t>日</w:t>
      </w:r>
    </w:p>
    <w:p w14:paraId="12AF1433" w14:textId="319B7A52" w:rsidR="004B4FE8" w:rsidRPr="00B95BA9" w:rsidRDefault="00A8421B">
      <w:pPr>
        <w:spacing w:afterLines="50" w:after="156"/>
        <w:ind w:right="420"/>
        <w:jc w:val="center"/>
        <w:rPr>
          <w:rFonts w:asciiTheme="minorEastAsia" w:hAnsiTheme="minorEastAsia"/>
        </w:rPr>
      </w:pPr>
      <w:r w:rsidRPr="00B95BA9">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5B53412" wp14:editId="439B9073">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106FF1AB" w14:textId="77777777" w:rsidR="004B4FE8" w:rsidRDefault="00A8421B">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3196EA1D" w14:textId="77777777" w:rsidR="004B4FE8" w:rsidRDefault="00A8421B">
                            <w:pPr>
                              <w:jc w:val="distribute"/>
                              <w:rPr>
                                <w:rFonts w:asciiTheme="minorEastAsia" w:hAnsiTheme="minorEastAsia"/>
                                <w:b/>
                                <w:sz w:val="24"/>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cx="http://schemas.microsoft.com/office/drawing/2014/chartex">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B95BA9">
        <w:rPr>
          <w:rFonts w:asciiTheme="minorEastAsia" w:hAnsiTheme="minorEastAsia"/>
        </w:rPr>
        <w:t>送出日期</w:t>
      </w:r>
      <w:r w:rsidRPr="00B95BA9">
        <w:rPr>
          <w:rFonts w:asciiTheme="minorEastAsia" w:hAnsiTheme="minorEastAsia" w:hint="eastAsia"/>
        </w:rPr>
        <w:t>：</w:t>
      </w:r>
      <w:r w:rsidR="001F74E4" w:rsidRPr="00B95BA9">
        <w:rPr>
          <w:rFonts w:asciiTheme="minorEastAsia" w:hAnsiTheme="minorEastAsia"/>
        </w:rPr>
        <w:t>2023年</w:t>
      </w:r>
      <w:r w:rsidR="004C7038" w:rsidRPr="00B95BA9">
        <w:rPr>
          <w:rFonts w:asciiTheme="minorEastAsia" w:hAnsiTheme="minorEastAsia" w:hint="eastAsia"/>
        </w:rPr>
        <w:t>8</w:t>
      </w:r>
      <w:r w:rsidR="001F74E4" w:rsidRPr="00B95BA9">
        <w:rPr>
          <w:rFonts w:asciiTheme="minorEastAsia" w:hAnsiTheme="minorEastAsia" w:hint="eastAsia"/>
        </w:rPr>
        <w:t>月</w:t>
      </w:r>
      <w:r w:rsidR="00B95BA9" w:rsidRPr="00B95BA9">
        <w:rPr>
          <w:rFonts w:asciiTheme="minorEastAsia" w:hAnsiTheme="minorEastAsia"/>
        </w:rPr>
        <w:t>21</w:t>
      </w:r>
      <w:r w:rsidR="001F74E4" w:rsidRPr="00B95BA9">
        <w:rPr>
          <w:rFonts w:asciiTheme="minorEastAsia" w:hAnsiTheme="minorEastAsia" w:hint="eastAsia"/>
        </w:rPr>
        <w:t>日</w:t>
      </w:r>
    </w:p>
    <w:p w14:paraId="61A691D0" w14:textId="77777777" w:rsidR="004B4FE8" w:rsidRPr="00B95BA9" w:rsidRDefault="004B4FE8">
      <w:pPr>
        <w:spacing w:afterLines="50" w:after="156"/>
        <w:jc w:val="right"/>
        <w:rPr>
          <w:rFonts w:ascii="华文仿宋" w:eastAsia="华文仿宋" w:hAnsi="华文仿宋"/>
        </w:rPr>
      </w:pPr>
    </w:p>
    <w:p w14:paraId="4E34B59F" w14:textId="77777777" w:rsidR="004B4FE8" w:rsidRPr="00B95BA9" w:rsidRDefault="004B4FE8">
      <w:pPr>
        <w:spacing w:afterLines="50" w:after="156"/>
        <w:ind w:right="840"/>
      </w:pPr>
    </w:p>
    <w:p w14:paraId="57288587" w14:textId="77777777" w:rsidR="004B4FE8" w:rsidRPr="00B95BA9" w:rsidRDefault="00A8421B">
      <w:pPr>
        <w:rPr>
          <w:rStyle w:val="1"/>
          <w:rFonts w:asciiTheme="minorEastAsia" w:hAnsiTheme="minorEastAsia"/>
          <w:b/>
          <w:i w:val="0"/>
          <w:color w:val="auto"/>
          <w:szCs w:val="21"/>
        </w:rPr>
      </w:pPr>
      <w:r w:rsidRPr="00B95BA9">
        <w:rPr>
          <w:rStyle w:val="1"/>
          <w:rFonts w:asciiTheme="minorEastAsia" w:hAnsiTheme="minorEastAsia" w:hint="eastAsia"/>
          <w:b/>
          <w:i w:val="0"/>
          <w:color w:val="auto"/>
          <w:szCs w:val="21"/>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3260"/>
        <w:gridCol w:w="2410"/>
        <w:gridCol w:w="2410"/>
      </w:tblGrid>
      <w:tr w:rsidR="0008238A" w:rsidRPr="00B95BA9" w14:paraId="0FF12AC4" w14:textId="77777777" w:rsidTr="00B1338C">
        <w:trPr>
          <w:trHeight w:val="20"/>
        </w:trPr>
        <w:tc>
          <w:tcPr>
            <w:tcW w:w="1985" w:type="dxa"/>
          </w:tcPr>
          <w:p w14:paraId="4897740B"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基金简称</w:t>
            </w:r>
          </w:p>
        </w:tc>
        <w:tc>
          <w:tcPr>
            <w:tcW w:w="3260" w:type="dxa"/>
          </w:tcPr>
          <w:p w14:paraId="754BA854"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东方阿尔法</w:t>
            </w:r>
            <w:r w:rsidRPr="00B95BA9">
              <w:rPr>
                <w:rFonts w:asciiTheme="minorEastAsia" w:hAnsiTheme="minorEastAsia" w:hint="eastAsia"/>
                <w:szCs w:val="21"/>
              </w:rPr>
              <w:t>医疗健康</w:t>
            </w:r>
            <w:r w:rsidRPr="00B95BA9">
              <w:rPr>
                <w:rFonts w:asciiTheme="minorEastAsia" w:hAnsiTheme="minorEastAsia"/>
                <w:szCs w:val="21"/>
              </w:rPr>
              <w:t>混合</w:t>
            </w:r>
            <w:r w:rsidR="00B1338C" w:rsidRPr="00B95BA9">
              <w:rPr>
                <w:rFonts w:asciiTheme="minorEastAsia" w:hAnsiTheme="minorEastAsia"/>
                <w:szCs w:val="21"/>
              </w:rPr>
              <w:t>发起</w:t>
            </w:r>
          </w:p>
        </w:tc>
        <w:tc>
          <w:tcPr>
            <w:tcW w:w="2410" w:type="dxa"/>
            <w:shd w:val="clear" w:color="auto" w:fill="auto"/>
          </w:tcPr>
          <w:p w14:paraId="728592A7"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基金主代码</w:t>
            </w:r>
          </w:p>
        </w:tc>
        <w:tc>
          <w:tcPr>
            <w:tcW w:w="2410" w:type="dxa"/>
            <w:shd w:val="clear" w:color="auto" w:fill="auto"/>
          </w:tcPr>
          <w:p w14:paraId="0957FF7E" w14:textId="77777777" w:rsidR="004B4FE8" w:rsidRPr="00B95BA9" w:rsidRDefault="006917ED">
            <w:pPr>
              <w:pStyle w:val="ad"/>
              <w:spacing w:line="360" w:lineRule="exact"/>
              <w:ind w:firstLineChars="0" w:firstLine="0"/>
              <w:rPr>
                <w:rFonts w:asciiTheme="minorEastAsia" w:hAnsiTheme="minorEastAsia"/>
                <w:szCs w:val="21"/>
              </w:rPr>
            </w:pPr>
            <w:r w:rsidRPr="00B95BA9">
              <w:rPr>
                <w:rFonts w:asciiTheme="minorEastAsia" w:hAnsiTheme="minorEastAsia" w:hint="eastAsia"/>
                <w:szCs w:val="21"/>
              </w:rPr>
              <w:t>014841</w:t>
            </w:r>
          </w:p>
        </w:tc>
      </w:tr>
      <w:tr w:rsidR="0008238A" w:rsidRPr="00B95BA9" w14:paraId="5894FD18" w14:textId="77777777" w:rsidTr="00B1338C">
        <w:trPr>
          <w:trHeight w:val="20"/>
        </w:trPr>
        <w:tc>
          <w:tcPr>
            <w:tcW w:w="1985" w:type="dxa"/>
          </w:tcPr>
          <w:p w14:paraId="32025834"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下属基金简称</w:t>
            </w:r>
          </w:p>
        </w:tc>
        <w:tc>
          <w:tcPr>
            <w:tcW w:w="3260" w:type="dxa"/>
          </w:tcPr>
          <w:p w14:paraId="1EFE82CF"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东方阿尔法</w:t>
            </w:r>
            <w:r w:rsidRPr="00B95BA9">
              <w:rPr>
                <w:rFonts w:asciiTheme="minorEastAsia" w:hAnsiTheme="minorEastAsia" w:hint="eastAsia"/>
                <w:szCs w:val="21"/>
              </w:rPr>
              <w:t>医疗健康</w:t>
            </w:r>
            <w:r w:rsidRPr="00B95BA9">
              <w:rPr>
                <w:rFonts w:asciiTheme="minorEastAsia" w:hAnsiTheme="minorEastAsia"/>
                <w:szCs w:val="21"/>
              </w:rPr>
              <w:t>混合</w:t>
            </w:r>
            <w:r w:rsidR="00B1338C" w:rsidRPr="00B95BA9">
              <w:rPr>
                <w:rFonts w:asciiTheme="minorEastAsia" w:hAnsiTheme="minorEastAsia"/>
                <w:szCs w:val="21"/>
              </w:rPr>
              <w:t>发起</w:t>
            </w:r>
            <w:r w:rsidRPr="00B95BA9">
              <w:rPr>
                <w:rFonts w:asciiTheme="minorEastAsia" w:hAnsiTheme="minorEastAsia"/>
                <w:szCs w:val="21"/>
              </w:rPr>
              <w:t>A</w:t>
            </w:r>
          </w:p>
        </w:tc>
        <w:tc>
          <w:tcPr>
            <w:tcW w:w="2410" w:type="dxa"/>
            <w:shd w:val="clear" w:color="auto" w:fill="auto"/>
          </w:tcPr>
          <w:p w14:paraId="24ECF05B"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下属基金的基金代码</w:t>
            </w:r>
          </w:p>
        </w:tc>
        <w:tc>
          <w:tcPr>
            <w:tcW w:w="2410" w:type="dxa"/>
            <w:shd w:val="clear" w:color="auto" w:fill="auto"/>
          </w:tcPr>
          <w:p w14:paraId="30CD8C88" w14:textId="77777777" w:rsidR="004B4FE8" w:rsidRPr="00B95BA9" w:rsidRDefault="006917ED">
            <w:pPr>
              <w:pStyle w:val="ad"/>
              <w:spacing w:line="360" w:lineRule="exact"/>
              <w:ind w:firstLineChars="0" w:firstLine="0"/>
              <w:rPr>
                <w:rFonts w:asciiTheme="minorEastAsia" w:hAnsiTheme="minorEastAsia"/>
                <w:szCs w:val="21"/>
              </w:rPr>
            </w:pPr>
            <w:r w:rsidRPr="00B95BA9">
              <w:rPr>
                <w:rFonts w:asciiTheme="minorEastAsia" w:hAnsiTheme="minorEastAsia" w:hint="eastAsia"/>
                <w:szCs w:val="21"/>
              </w:rPr>
              <w:t>014841</w:t>
            </w:r>
          </w:p>
        </w:tc>
      </w:tr>
      <w:tr w:rsidR="0008238A" w:rsidRPr="00B95BA9" w14:paraId="74DD87FA" w14:textId="77777777" w:rsidTr="00B1338C">
        <w:trPr>
          <w:trHeight w:val="20"/>
        </w:trPr>
        <w:tc>
          <w:tcPr>
            <w:tcW w:w="1985" w:type="dxa"/>
          </w:tcPr>
          <w:p w14:paraId="66BE6AB1"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基金管理人</w:t>
            </w:r>
          </w:p>
        </w:tc>
        <w:tc>
          <w:tcPr>
            <w:tcW w:w="3260" w:type="dxa"/>
            <w:tcBorders>
              <w:bottom w:val="single" w:sz="4" w:space="0" w:color="auto"/>
            </w:tcBorders>
          </w:tcPr>
          <w:p w14:paraId="320FF480"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东方阿尔法基金管理有限公司</w:t>
            </w:r>
          </w:p>
        </w:tc>
        <w:tc>
          <w:tcPr>
            <w:tcW w:w="2410" w:type="dxa"/>
            <w:tcBorders>
              <w:bottom w:val="single" w:sz="4" w:space="0" w:color="auto"/>
            </w:tcBorders>
            <w:shd w:val="clear" w:color="auto" w:fill="auto"/>
          </w:tcPr>
          <w:p w14:paraId="29239111"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基金托管人</w:t>
            </w:r>
          </w:p>
        </w:tc>
        <w:tc>
          <w:tcPr>
            <w:tcW w:w="2410" w:type="dxa"/>
            <w:tcBorders>
              <w:bottom w:val="single" w:sz="4" w:space="0" w:color="auto"/>
            </w:tcBorders>
            <w:shd w:val="clear" w:color="auto" w:fill="auto"/>
          </w:tcPr>
          <w:p w14:paraId="5481065A"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招商银行股份有限公司</w:t>
            </w:r>
          </w:p>
        </w:tc>
      </w:tr>
      <w:tr w:rsidR="0008238A" w:rsidRPr="00B95BA9" w14:paraId="0A88CA81" w14:textId="77777777" w:rsidTr="00B1338C">
        <w:trPr>
          <w:trHeight w:val="20"/>
        </w:trPr>
        <w:tc>
          <w:tcPr>
            <w:tcW w:w="1985" w:type="dxa"/>
          </w:tcPr>
          <w:p w14:paraId="71B6877D"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基金合同生效日</w:t>
            </w:r>
          </w:p>
        </w:tc>
        <w:tc>
          <w:tcPr>
            <w:tcW w:w="3260" w:type="dxa"/>
            <w:tcBorders>
              <w:right w:val="nil"/>
            </w:tcBorders>
          </w:tcPr>
          <w:p w14:paraId="0278C86A" w14:textId="380CA038" w:rsidR="004B4FE8" w:rsidRPr="00B95BA9" w:rsidRDefault="009249D0">
            <w:pPr>
              <w:spacing w:line="360" w:lineRule="exact"/>
              <w:rPr>
                <w:rFonts w:asciiTheme="minorEastAsia" w:hAnsiTheme="minorEastAsia"/>
                <w:szCs w:val="21"/>
              </w:rPr>
            </w:pPr>
            <w:r w:rsidRPr="00B95BA9">
              <w:rPr>
                <w:rFonts w:asciiTheme="minorEastAsia" w:hAnsiTheme="minorEastAsia"/>
                <w:szCs w:val="21"/>
              </w:rPr>
              <w:t>2022年</w:t>
            </w:r>
            <w:r w:rsidRPr="00B95BA9">
              <w:rPr>
                <w:rFonts w:asciiTheme="minorEastAsia" w:hAnsiTheme="minorEastAsia" w:hint="eastAsia"/>
                <w:szCs w:val="21"/>
              </w:rPr>
              <w:t>3月</w:t>
            </w:r>
            <w:r w:rsidRPr="00B95BA9">
              <w:rPr>
                <w:rFonts w:asciiTheme="minorEastAsia" w:hAnsiTheme="minorEastAsia"/>
                <w:szCs w:val="21"/>
              </w:rPr>
              <w:t>30日</w:t>
            </w:r>
          </w:p>
        </w:tc>
        <w:tc>
          <w:tcPr>
            <w:tcW w:w="2410" w:type="dxa"/>
            <w:tcBorders>
              <w:left w:val="nil"/>
              <w:right w:val="nil"/>
            </w:tcBorders>
            <w:shd w:val="clear" w:color="auto" w:fill="auto"/>
          </w:tcPr>
          <w:p w14:paraId="6EAD43AD"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b/>
                <w:szCs w:val="21"/>
              </w:rPr>
              <w:t>上市交易所及上市日期</w:t>
            </w:r>
          </w:p>
        </w:tc>
        <w:tc>
          <w:tcPr>
            <w:tcW w:w="2410" w:type="dxa"/>
            <w:tcBorders>
              <w:left w:val="nil"/>
            </w:tcBorders>
            <w:shd w:val="clear" w:color="auto" w:fill="auto"/>
          </w:tcPr>
          <w:p w14:paraId="080A3465"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暂未上市</w:t>
            </w:r>
          </w:p>
        </w:tc>
      </w:tr>
      <w:tr w:rsidR="0008238A" w:rsidRPr="00B95BA9" w14:paraId="21F6DC6B" w14:textId="77777777" w:rsidTr="00B1338C">
        <w:trPr>
          <w:trHeight w:val="20"/>
        </w:trPr>
        <w:tc>
          <w:tcPr>
            <w:tcW w:w="1985" w:type="dxa"/>
          </w:tcPr>
          <w:p w14:paraId="3CCD791A"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基金类型</w:t>
            </w:r>
          </w:p>
        </w:tc>
        <w:tc>
          <w:tcPr>
            <w:tcW w:w="3260" w:type="dxa"/>
            <w:tcBorders>
              <w:right w:val="nil"/>
            </w:tcBorders>
          </w:tcPr>
          <w:p w14:paraId="31ABA3CD"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混合型</w:t>
            </w:r>
          </w:p>
        </w:tc>
        <w:tc>
          <w:tcPr>
            <w:tcW w:w="2410" w:type="dxa"/>
            <w:tcBorders>
              <w:left w:val="nil"/>
              <w:right w:val="nil"/>
            </w:tcBorders>
            <w:shd w:val="clear" w:color="auto" w:fill="auto"/>
          </w:tcPr>
          <w:p w14:paraId="20B7C2A5"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交易币种</w:t>
            </w:r>
          </w:p>
        </w:tc>
        <w:tc>
          <w:tcPr>
            <w:tcW w:w="2410" w:type="dxa"/>
            <w:tcBorders>
              <w:left w:val="nil"/>
            </w:tcBorders>
            <w:shd w:val="clear" w:color="auto" w:fill="auto"/>
          </w:tcPr>
          <w:p w14:paraId="44B2FF3F"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人民币</w:t>
            </w:r>
          </w:p>
        </w:tc>
      </w:tr>
      <w:tr w:rsidR="0008238A" w:rsidRPr="00B95BA9" w14:paraId="1FB042D0" w14:textId="77777777" w:rsidTr="00B1338C">
        <w:trPr>
          <w:trHeight w:val="20"/>
        </w:trPr>
        <w:tc>
          <w:tcPr>
            <w:tcW w:w="1985" w:type="dxa"/>
          </w:tcPr>
          <w:p w14:paraId="1672C81F"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运作方式</w:t>
            </w:r>
          </w:p>
        </w:tc>
        <w:tc>
          <w:tcPr>
            <w:tcW w:w="3260" w:type="dxa"/>
          </w:tcPr>
          <w:p w14:paraId="4C73F92B"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普通开放式</w:t>
            </w:r>
          </w:p>
        </w:tc>
        <w:tc>
          <w:tcPr>
            <w:tcW w:w="2410" w:type="dxa"/>
            <w:shd w:val="clear" w:color="auto" w:fill="auto"/>
          </w:tcPr>
          <w:p w14:paraId="182AD166"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开放频率</w:t>
            </w:r>
          </w:p>
        </w:tc>
        <w:tc>
          <w:tcPr>
            <w:tcW w:w="2410" w:type="dxa"/>
            <w:shd w:val="clear" w:color="auto" w:fill="auto"/>
          </w:tcPr>
          <w:p w14:paraId="3DAFE350"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szCs w:val="21"/>
              </w:rPr>
              <w:t>每个开放日</w:t>
            </w:r>
          </w:p>
        </w:tc>
      </w:tr>
      <w:tr w:rsidR="0008238A" w:rsidRPr="00B95BA9" w14:paraId="6BAD09B4" w14:textId="77777777" w:rsidTr="00B1338C">
        <w:trPr>
          <w:trHeight w:val="20"/>
        </w:trPr>
        <w:tc>
          <w:tcPr>
            <w:tcW w:w="1985" w:type="dxa"/>
            <w:vMerge w:val="restart"/>
            <w:vAlign w:val="center"/>
          </w:tcPr>
          <w:p w14:paraId="47FFFBBB" w14:textId="77777777" w:rsidR="004B4FE8" w:rsidRPr="00B95BA9" w:rsidRDefault="00A8421B">
            <w:pPr>
              <w:pStyle w:val="ad"/>
              <w:spacing w:line="360" w:lineRule="exact"/>
              <w:ind w:firstLineChars="0" w:firstLine="0"/>
              <w:jc w:val="left"/>
              <w:rPr>
                <w:rFonts w:asciiTheme="minorEastAsia" w:hAnsiTheme="minorEastAsia"/>
                <w:b/>
                <w:szCs w:val="21"/>
              </w:rPr>
            </w:pPr>
            <w:r w:rsidRPr="00B95BA9">
              <w:rPr>
                <w:rFonts w:asciiTheme="minorEastAsia" w:hAnsiTheme="minorEastAsia" w:hint="eastAsia"/>
                <w:b/>
                <w:szCs w:val="21"/>
              </w:rPr>
              <w:t>基金经理</w:t>
            </w:r>
          </w:p>
        </w:tc>
        <w:tc>
          <w:tcPr>
            <w:tcW w:w="3260" w:type="dxa"/>
            <w:vMerge w:val="restart"/>
            <w:vAlign w:val="center"/>
          </w:tcPr>
          <w:p w14:paraId="42690A6D" w14:textId="77777777" w:rsidR="004B4FE8" w:rsidRPr="00B95BA9" w:rsidRDefault="00A8421B">
            <w:pPr>
              <w:pStyle w:val="ad"/>
              <w:spacing w:line="360" w:lineRule="exact"/>
              <w:ind w:firstLineChars="0" w:firstLine="0"/>
              <w:jc w:val="left"/>
              <w:rPr>
                <w:rFonts w:asciiTheme="minorEastAsia" w:hAnsiTheme="minorEastAsia"/>
                <w:szCs w:val="21"/>
              </w:rPr>
            </w:pPr>
            <w:r w:rsidRPr="00B95BA9">
              <w:rPr>
                <w:rFonts w:asciiTheme="minorEastAsia" w:hAnsiTheme="minorEastAsia" w:hint="eastAsia"/>
                <w:szCs w:val="21"/>
              </w:rPr>
              <w:t>乔海英</w:t>
            </w:r>
          </w:p>
        </w:tc>
        <w:tc>
          <w:tcPr>
            <w:tcW w:w="2410" w:type="dxa"/>
          </w:tcPr>
          <w:p w14:paraId="52C1DB1A"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开始担任本基金基金经理的日期</w:t>
            </w:r>
          </w:p>
        </w:tc>
        <w:tc>
          <w:tcPr>
            <w:tcW w:w="2410" w:type="dxa"/>
          </w:tcPr>
          <w:p w14:paraId="71FF56AC" w14:textId="576B5EC8" w:rsidR="004B4FE8" w:rsidRPr="00B95BA9" w:rsidRDefault="009249D0">
            <w:pPr>
              <w:pStyle w:val="ad"/>
              <w:spacing w:line="360" w:lineRule="exact"/>
              <w:ind w:firstLineChars="0" w:firstLine="0"/>
              <w:rPr>
                <w:rFonts w:asciiTheme="minorEastAsia" w:hAnsiTheme="minorEastAsia"/>
                <w:szCs w:val="21"/>
              </w:rPr>
            </w:pPr>
            <w:r w:rsidRPr="00B95BA9">
              <w:rPr>
                <w:rFonts w:asciiTheme="minorEastAsia" w:hAnsiTheme="minorEastAsia"/>
                <w:szCs w:val="21"/>
              </w:rPr>
              <w:t>2022年</w:t>
            </w:r>
            <w:r w:rsidRPr="00B95BA9">
              <w:rPr>
                <w:rFonts w:asciiTheme="minorEastAsia" w:hAnsiTheme="minorEastAsia" w:hint="eastAsia"/>
                <w:szCs w:val="21"/>
              </w:rPr>
              <w:t>3月3</w:t>
            </w:r>
            <w:r w:rsidRPr="00B95BA9">
              <w:rPr>
                <w:rFonts w:asciiTheme="minorEastAsia" w:hAnsiTheme="minorEastAsia"/>
                <w:szCs w:val="21"/>
              </w:rPr>
              <w:t>0日</w:t>
            </w:r>
          </w:p>
        </w:tc>
      </w:tr>
      <w:tr w:rsidR="0008238A" w:rsidRPr="00B95BA9" w14:paraId="7EEC0DB0" w14:textId="77777777" w:rsidTr="00B1338C">
        <w:trPr>
          <w:trHeight w:val="20"/>
        </w:trPr>
        <w:tc>
          <w:tcPr>
            <w:tcW w:w="1985" w:type="dxa"/>
            <w:vMerge/>
          </w:tcPr>
          <w:p w14:paraId="685A3D18" w14:textId="77777777" w:rsidR="004B4FE8" w:rsidRPr="00B95BA9" w:rsidRDefault="004B4FE8">
            <w:pPr>
              <w:pStyle w:val="ad"/>
              <w:spacing w:line="360" w:lineRule="exact"/>
              <w:ind w:firstLineChars="0" w:firstLine="0"/>
              <w:rPr>
                <w:rFonts w:asciiTheme="minorEastAsia" w:hAnsiTheme="minorEastAsia"/>
                <w:b/>
                <w:szCs w:val="21"/>
              </w:rPr>
            </w:pPr>
          </w:p>
        </w:tc>
        <w:tc>
          <w:tcPr>
            <w:tcW w:w="3260" w:type="dxa"/>
            <w:vMerge/>
          </w:tcPr>
          <w:p w14:paraId="68E6A18D" w14:textId="77777777" w:rsidR="004B4FE8" w:rsidRPr="00B95BA9" w:rsidRDefault="004B4FE8">
            <w:pPr>
              <w:pStyle w:val="ad"/>
              <w:spacing w:line="360" w:lineRule="exact"/>
              <w:ind w:firstLineChars="0" w:firstLine="0"/>
              <w:rPr>
                <w:rFonts w:asciiTheme="minorEastAsia" w:hAnsiTheme="minorEastAsia"/>
                <w:b/>
                <w:szCs w:val="21"/>
              </w:rPr>
            </w:pPr>
          </w:p>
        </w:tc>
        <w:tc>
          <w:tcPr>
            <w:tcW w:w="2410" w:type="dxa"/>
          </w:tcPr>
          <w:p w14:paraId="72D08446" w14:textId="77777777" w:rsidR="004B4FE8" w:rsidRPr="00B95BA9" w:rsidRDefault="00A8421B">
            <w:pPr>
              <w:pStyle w:val="ad"/>
              <w:spacing w:line="360" w:lineRule="exact"/>
              <w:ind w:firstLineChars="0" w:firstLine="0"/>
              <w:rPr>
                <w:rFonts w:asciiTheme="minorEastAsia" w:hAnsiTheme="minorEastAsia"/>
                <w:b/>
                <w:szCs w:val="21"/>
              </w:rPr>
            </w:pPr>
            <w:r w:rsidRPr="00B95BA9">
              <w:rPr>
                <w:rFonts w:asciiTheme="minorEastAsia" w:hAnsiTheme="minorEastAsia" w:hint="eastAsia"/>
                <w:b/>
                <w:szCs w:val="21"/>
              </w:rPr>
              <w:t>证券从业日期</w:t>
            </w:r>
          </w:p>
        </w:tc>
        <w:tc>
          <w:tcPr>
            <w:tcW w:w="2410" w:type="dxa"/>
          </w:tcPr>
          <w:p w14:paraId="446F5A67" w14:textId="77777777" w:rsidR="004B4FE8" w:rsidRPr="00B95BA9" w:rsidRDefault="00A8421B">
            <w:pPr>
              <w:pStyle w:val="ad"/>
              <w:spacing w:line="360" w:lineRule="exact"/>
              <w:ind w:firstLineChars="0" w:firstLine="0"/>
              <w:rPr>
                <w:rFonts w:asciiTheme="minorEastAsia" w:hAnsiTheme="minorEastAsia"/>
                <w:szCs w:val="21"/>
              </w:rPr>
            </w:pPr>
            <w:r w:rsidRPr="00B95BA9">
              <w:rPr>
                <w:rFonts w:asciiTheme="minorEastAsia" w:hAnsiTheme="minorEastAsia" w:hint="eastAsia"/>
                <w:szCs w:val="21"/>
              </w:rPr>
              <w:t>2011年8月18日</w:t>
            </w:r>
          </w:p>
        </w:tc>
      </w:tr>
    </w:tbl>
    <w:p w14:paraId="40D604D6" w14:textId="77777777" w:rsidR="004B4FE8" w:rsidRPr="00B95BA9" w:rsidRDefault="004B4FE8">
      <w:pPr>
        <w:spacing w:line="340" w:lineRule="exact"/>
        <w:rPr>
          <w:rFonts w:asciiTheme="minorEastAsia" w:hAnsiTheme="minorEastAsia"/>
          <w:b/>
          <w:szCs w:val="21"/>
        </w:rPr>
      </w:pPr>
    </w:p>
    <w:p w14:paraId="6D844ECB" w14:textId="77777777" w:rsidR="004B4FE8" w:rsidRPr="00B95BA9" w:rsidRDefault="00A8421B">
      <w:pPr>
        <w:spacing w:line="340" w:lineRule="exact"/>
        <w:rPr>
          <w:rFonts w:asciiTheme="minorEastAsia" w:hAnsiTheme="minorEastAsia"/>
          <w:b/>
          <w:szCs w:val="21"/>
        </w:rPr>
      </w:pPr>
      <w:r w:rsidRPr="00B95BA9">
        <w:rPr>
          <w:rFonts w:asciiTheme="minorEastAsia" w:hAnsiTheme="minorEastAsia"/>
          <w:b/>
          <w:szCs w:val="21"/>
        </w:rPr>
        <w:t>二</w:t>
      </w:r>
      <w:r w:rsidRPr="00B95BA9">
        <w:rPr>
          <w:rFonts w:asciiTheme="minorEastAsia" w:hAnsiTheme="minorEastAsia" w:hint="eastAsia"/>
          <w:b/>
          <w:szCs w:val="21"/>
        </w:rPr>
        <w:t>、基金投资与净值表现</w:t>
      </w:r>
    </w:p>
    <w:p w14:paraId="07CFC5C6" w14:textId="77777777" w:rsidR="004B4FE8" w:rsidRPr="00B95BA9" w:rsidRDefault="00A8421B">
      <w:pPr>
        <w:spacing w:line="340" w:lineRule="exact"/>
        <w:rPr>
          <w:rFonts w:asciiTheme="minorEastAsia" w:hAnsiTheme="minorEastAsia"/>
          <w:b/>
          <w:szCs w:val="21"/>
        </w:rPr>
      </w:pPr>
      <w:r w:rsidRPr="00B95BA9">
        <w:rPr>
          <w:rFonts w:asciiTheme="minorEastAsia" w:hAnsiTheme="minorEastAsia" w:hint="eastAsia"/>
          <w:b/>
          <w:szCs w:val="21"/>
        </w:rPr>
        <w:t>（一）投资目标与投资策略</w:t>
      </w:r>
    </w:p>
    <w:p w14:paraId="48E2F281"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szCs w:val="21"/>
        </w:rPr>
        <w:t>详见</w:t>
      </w:r>
      <w:r w:rsidRPr="00B95BA9">
        <w:rPr>
          <w:rFonts w:asciiTheme="minorEastAsia" w:hAnsiTheme="minorEastAsia" w:hint="eastAsia"/>
          <w:szCs w:val="21"/>
        </w:rPr>
        <w:t>《东方阿尔法医疗健康混合型发起式证券投资基金招募说明书》第九部分“基金的投资”。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08238A" w:rsidRPr="00B95BA9" w14:paraId="707DF34E" w14:textId="77777777">
        <w:tc>
          <w:tcPr>
            <w:tcW w:w="1940" w:type="dxa"/>
          </w:tcPr>
          <w:p w14:paraId="457E13D5"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投资目标</w:t>
            </w:r>
          </w:p>
        </w:tc>
        <w:tc>
          <w:tcPr>
            <w:tcW w:w="7924" w:type="dxa"/>
          </w:tcPr>
          <w:p w14:paraId="10CBAB79" w14:textId="77777777" w:rsidR="004B4FE8" w:rsidRPr="00B95BA9" w:rsidRDefault="00A8421B" w:rsidP="00EA7BD4">
            <w:pPr>
              <w:ind w:firstLineChars="200" w:firstLine="420"/>
              <w:rPr>
                <w:rFonts w:asciiTheme="minorEastAsia" w:hAnsiTheme="minorEastAsia" w:cstheme="minorEastAsia"/>
                <w:bCs/>
                <w:szCs w:val="21"/>
              </w:rPr>
            </w:pPr>
            <w:r w:rsidRPr="00B95BA9">
              <w:rPr>
                <w:rFonts w:asciiTheme="minorEastAsia" w:hAnsiTheme="minorEastAsia" w:cstheme="minorEastAsia" w:hint="eastAsia"/>
                <w:bCs/>
                <w:szCs w:val="21"/>
              </w:rPr>
              <w:t>本基金采用自上而下与自下而上相结合的投资方法，以基本面分析为立足点，精选医疗健康相关行业证券，在科学严格管理风险的前提下，谋求基金资产的中长期稳健增值。</w:t>
            </w:r>
          </w:p>
        </w:tc>
      </w:tr>
      <w:tr w:rsidR="0008238A" w:rsidRPr="00B95BA9" w14:paraId="5CBB51AC" w14:textId="77777777">
        <w:tc>
          <w:tcPr>
            <w:tcW w:w="1940" w:type="dxa"/>
          </w:tcPr>
          <w:p w14:paraId="2AEBF9F0"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投资范围</w:t>
            </w:r>
          </w:p>
        </w:tc>
        <w:tc>
          <w:tcPr>
            <w:tcW w:w="7924" w:type="dxa"/>
          </w:tcPr>
          <w:p w14:paraId="39E036BE" w14:textId="77777777" w:rsidR="004B4FE8" w:rsidRPr="00B95BA9" w:rsidRDefault="00A8421B" w:rsidP="00EA7BD4">
            <w:pPr>
              <w:ind w:firstLineChars="200" w:firstLine="420"/>
              <w:rPr>
                <w:rFonts w:asciiTheme="minorEastAsia" w:hAnsiTheme="minorEastAsia" w:cstheme="minorEastAsia"/>
                <w:bCs/>
                <w:szCs w:val="21"/>
              </w:rPr>
            </w:pPr>
            <w:r w:rsidRPr="00B95BA9">
              <w:rPr>
                <w:rFonts w:asciiTheme="minorEastAsia" w:hAnsiTheme="minorEastAsia" w:cstheme="minorEastAsia" w:hint="eastAsia"/>
                <w:bCs/>
                <w:szCs w:val="21"/>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14:paraId="69A0E698" w14:textId="77777777" w:rsidR="004B4FE8" w:rsidRPr="00B95BA9" w:rsidRDefault="00A8421B" w:rsidP="00EA7BD4">
            <w:pPr>
              <w:ind w:firstLineChars="200" w:firstLine="420"/>
              <w:rPr>
                <w:rFonts w:asciiTheme="minorEastAsia" w:hAnsiTheme="minorEastAsia" w:cstheme="minorEastAsia"/>
                <w:bCs/>
                <w:szCs w:val="21"/>
              </w:rPr>
            </w:pPr>
            <w:r w:rsidRPr="00B95BA9">
              <w:rPr>
                <w:rFonts w:asciiTheme="minorEastAsia" w:hAnsiTheme="minorEastAsia" w:cstheme="minorEastAsia" w:hint="eastAsia"/>
                <w:bCs/>
                <w:szCs w:val="21"/>
              </w:rPr>
              <w:t>本基金的投资组合比例为：本基金投资组合中股票资产投资比例为基金资产的60%-95%，其中对港股通标的股票（包括沪港通股票及深港通股票）的投资比例不超过股票资产的50%。本基金以医疗健康行业的上市公司股票为主要投资对象，投资于医疗健康相关行业上市公司证券的资产占非现金基金资产的比例不低于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08238A" w:rsidRPr="00B95BA9" w14:paraId="53AE9C92" w14:textId="77777777">
        <w:tc>
          <w:tcPr>
            <w:tcW w:w="1940" w:type="dxa"/>
          </w:tcPr>
          <w:p w14:paraId="19392860"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lastRenderedPageBreak/>
              <w:t>主要投资策略</w:t>
            </w:r>
          </w:p>
        </w:tc>
        <w:tc>
          <w:tcPr>
            <w:tcW w:w="7924" w:type="dxa"/>
          </w:tcPr>
          <w:p w14:paraId="40CEAC23" w14:textId="77777777" w:rsidR="004B4FE8" w:rsidRPr="00B95BA9" w:rsidRDefault="00A8421B" w:rsidP="00573CDD">
            <w:pPr>
              <w:ind w:firstLineChars="200" w:firstLine="420"/>
              <w:rPr>
                <w:rFonts w:ascii="宋体" w:eastAsia="宋体" w:hAnsi="宋体" w:cs="宋体"/>
                <w:bCs/>
                <w:szCs w:val="21"/>
              </w:rPr>
            </w:pPr>
            <w:r w:rsidRPr="00B95BA9">
              <w:rPr>
                <w:rFonts w:ascii="宋体" w:eastAsia="宋体" w:hAnsi="宋体" w:cs="宋体" w:hint="eastAsia"/>
                <w:bCs/>
                <w:szCs w:val="21"/>
              </w:rPr>
              <w:t>本基金将通过系统和深入的基本面研究，专注于医疗健康产业投资，对行业发展进行密切跟踪，根据市场不同阶段充分把握各个子行业轮动带来的投资机会。本基金所指医疗健康主题企业包括提供预防、诊断、治疗、康复及健康产品与服务的企业。</w:t>
            </w:r>
            <w:r w:rsidR="00573CDD" w:rsidRPr="00B95BA9">
              <w:rPr>
                <w:rFonts w:ascii="宋体" w:eastAsia="宋体" w:hAnsi="宋体" w:cs="宋体" w:hint="eastAsia"/>
                <w:bCs/>
                <w:szCs w:val="21"/>
              </w:rPr>
              <w:t>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w:t>
            </w:r>
          </w:p>
        </w:tc>
      </w:tr>
      <w:tr w:rsidR="0008238A" w:rsidRPr="00B95BA9" w14:paraId="56949812" w14:textId="77777777">
        <w:tc>
          <w:tcPr>
            <w:tcW w:w="1940" w:type="dxa"/>
          </w:tcPr>
          <w:p w14:paraId="6CB96F6B"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业绩比较基准</w:t>
            </w:r>
          </w:p>
        </w:tc>
        <w:tc>
          <w:tcPr>
            <w:tcW w:w="7924" w:type="dxa"/>
          </w:tcPr>
          <w:p w14:paraId="20F448AB" w14:textId="77777777" w:rsidR="004B4FE8" w:rsidRPr="00B95BA9" w:rsidRDefault="00A8421B" w:rsidP="00EA7BD4">
            <w:pPr>
              <w:ind w:firstLineChars="200" w:firstLine="420"/>
              <w:rPr>
                <w:rFonts w:asciiTheme="minorEastAsia" w:hAnsiTheme="minorEastAsia"/>
                <w:szCs w:val="21"/>
              </w:rPr>
            </w:pPr>
            <w:r w:rsidRPr="00B95BA9">
              <w:rPr>
                <w:rFonts w:ascii="宋体" w:eastAsia="宋体" w:hAnsi="宋体" w:cs="宋体" w:hint="eastAsia"/>
                <w:bCs/>
                <w:szCs w:val="21"/>
              </w:rPr>
              <w:t>中证医药卫生指数收益率×60%+恒生医疗保健指数收益率×20%+中证综合债券指数收益率×20%</w:t>
            </w:r>
          </w:p>
        </w:tc>
      </w:tr>
      <w:tr w:rsidR="0008238A" w:rsidRPr="00B95BA9" w14:paraId="78053AA3" w14:textId="77777777">
        <w:tc>
          <w:tcPr>
            <w:tcW w:w="1940" w:type="dxa"/>
          </w:tcPr>
          <w:p w14:paraId="1D9ABD1D" w14:textId="77777777" w:rsidR="004B4FE8" w:rsidRPr="00B95BA9" w:rsidRDefault="00A8421B">
            <w:pPr>
              <w:spacing w:line="360" w:lineRule="exact"/>
              <w:rPr>
                <w:rFonts w:asciiTheme="minorEastAsia" w:hAnsiTheme="minorEastAsia"/>
                <w:b/>
                <w:szCs w:val="21"/>
              </w:rPr>
            </w:pPr>
            <w:r w:rsidRPr="00B95BA9">
              <w:rPr>
                <w:rFonts w:asciiTheme="minorEastAsia" w:hAnsiTheme="minorEastAsia" w:hint="eastAsia"/>
                <w:b/>
                <w:szCs w:val="21"/>
              </w:rPr>
              <w:t>风险收益特征</w:t>
            </w:r>
          </w:p>
        </w:tc>
        <w:tc>
          <w:tcPr>
            <w:tcW w:w="7924" w:type="dxa"/>
          </w:tcPr>
          <w:p w14:paraId="5455BB74" w14:textId="77777777" w:rsidR="004B4FE8" w:rsidRPr="00B95BA9" w:rsidRDefault="00A8421B" w:rsidP="00EA7BD4">
            <w:pPr>
              <w:ind w:firstLineChars="200" w:firstLine="420"/>
              <w:rPr>
                <w:rFonts w:asciiTheme="minorEastAsia" w:hAnsiTheme="minorEastAsia"/>
                <w:bCs/>
                <w:szCs w:val="21"/>
              </w:rPr>
            </w:pPr>
            <w:r w:rsidRPr="00B95BA9">
              <w:rPr>
                <w:rFonts w:asciiTheme="minorEastAsia" w:hAnsiTheme="minorEastAsia" w:hint="eastAsia"/>
                <w:bCs/>
                <w:szCs w:val="21"/>
              </w:rPr>
              <w:t>本基金为混合型基金，其预期收益和风险高于货币型基金、债券型基金。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14:paraId="7BA775D3" w14:textId="3F7E0AF8" w:rsidR="004B4FE8" w:rsidRPr="00B95BA9" w:rsidRDefault="00B95BA9">
      <w:pPr>
        <w:spacing w:line="340" w:lineRule="exact"/>
        <w:contextualSpacing/>
        <w:rPr>
          <w:rFonts w:asciiTheme="minorEastAsia" w:hAnsiTheme="minorEastAsia"/>
          <w:szCs w:val="21"/>
        </w:rPr>
      </w:pPr>
      <w:r w:rsidRPr="00B95BA9">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769813D7" w14:textId="50D1326E" w:rsidR="00B95BA9" w:rsidRPr="00B95BA9" w:rsidRDefault="00B95BA9">
      <w:pPr>
        <w:spacing w:line="340" w:lineRule="exact"/>
        <w:contextualSpacing/>
        <w:rPr>
          <w:rFonts w:asciiTheme="minorEastAsia" w:hAnsiTheme="minorEastAsia" w:hint="eastAsia"/>
          <w:szCs w:val="21"/>
        </w:rPr>
      </w:pPr>
    </w:p>
    <w:p w14:paraId="62600E2B" w14:textId="68015E81"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（二）投资组合资产配置图表/区域配置图表</w:t>
      </w:r>
    </w:p>
    <w:p w14:paraId="1A0C84D4" w14:textId="6BFB5E83"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投资组合资产配置图表</w:t>
      </w:r>
    </w:p>
    <w:p w14:paraId="6D50807F" w14:textId="2565C087" w:rsidR="004B4FE8" w:rsidRPr="00B95BA9" w:rsidRDefault="00EC27BE">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07DD0A1C" wp14:editId="3DC03EE5">
            <wp:simplePos x="0" y="0"/>
            <wp:positionH relativeFrom="column">
              <wp:posOffset>989965</wp:posOffset>
            </wp:positionH>
            <wp:positionV relativeFrom="paragraph">
              <wp:posOffset>36310</wp:posOffset>
            </wp:positionV>
            <wp:extent cx="4379867" cy="2583986"/>
            <wp:effectExtent l="0" t="0" r="190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9867" cy="2583986"/>
                    </a:xfrm>
                    <a:prstGeom prst="rect">
                      <a:avLst/>
                    </a:prstGeom>
                    <a:noFill/>
                  </pic:spPr>
                </pic:pic>
              </a:graphicData>
            </a:graphic>
            <wp14:sizeRelH relativeFrom="page">
              <wp14:pctWidth>0</wp14:pctWidth>
            </wp14:sizeRelH>
            <wp14:sizeRelV relativeFrom="page">
              <wp14:pctHeight>0</wp14:pctHeight>
            </wp14:sizeRelV>
          </wp:anchor>
        </w:drawing>
      </w:r>
    </w:p>
    <w:p w14:paraId="5FEE81E6" w14:textId="77777777" w:rsidR="0061374F" w:rsidRPr="00B95BA9" w:rsidRDefault="0061374F">
      <w:pPr>
        <w:spacing w:line="340" w:lineRule="exact"/>
        <w:contextualSpacing/>
        <w:rPr>
          <w:rFonts w:asciiTheme="minorEastAsia" w:hAnsiTheme="minorEastAsia"/>
          <w:szCs w:val="21"/>
        </w:rPr>
      </w:pPr>
    </w:p>
    <w:p w14:paraId="5BFA4C24" w14:textId="77777777" w:rsidR="0061374F" w:rsidRPr="00B95BA9" w:rsidRDefault="0061374F">
      <w:pPr>
        <w:spacing w:line="340" w:lineRule="exact"/>
        <w:contextualSpacing/>
        <w:rPr>
          <w:rFonts w:asciiTheme="minorEastAsia" w:hAnsiTheme="minorEastAsia"/>
          <w:szCs w:val="21"/>
        </w:rPr>
      </w:pPr>
    </w:p>
    <w:p w14:paraId="3BEF9124" w14:textId="77777777" w:rsidR="000D0F01" w:rsidRPr="00B95BA9" w:rsidRDefault="000D0F01">
      <w:pPr>
        <w:spacing w:line="340" w:lineRule="exact"/>
        <w:contextualSpacing/>
        <w:rPr>
          <w:rFonts w:asciiTheme="minorEastAsia" w:hAnsiTheme="minorEastAsia"/>
          <w:szCs w:val="21"/>
        </w:rPr>
      </w:pPr>
    </w:p>
    <w:p w14:paraId="709FD7E9" w14:textId="77777777" w:rsidR="000D0F01" w:rsidRPr="00B95BA9" w:rsidRDefault="000D0F01">
      <w:pPr>
        <w:spacing w:line="340" w:lineRule="exact"/>
        <w:contextualSpacing/>
        <w:rPr>
          <w:rFonts w:asciiTheme="minorEastAsia" w:hAnsiTheme="minorEastAsia"/>
          <w:szCs w:val="21"/>
        </w:rPr>
      </w:pPr>
    </w:p>
    <w:p w14:paraId="3F2AEA93" w14:textId="77777777" w:rsidR="000D0F01" w:rsidRPr="00B95BA9" w:rsidRDefault="000D0F01">
      <w:pPr>
        <w:spacing w:line="340" w:lineRule="exact"/>
        <w:contextualSpacing/>
        <w:rPr>
          <w:rFonts w:asciiTheme="minorEastAsia" w:hAnsiTheme="minorEastAsia"/>
          <w:szCs w:val="21"/>
        </w:rPr>
      </w:pPr>
    </w:p>
    <w:p w14:paraId="6C75D6A7" w14:textId="77777777" w:rsidR="000D0F01" w:rsidRPr="00B95BA9" w:rsidRDefault="000D0F01">
      <w:pPr>
        <w:spacing w:line="340" w:lineRule="exact"/>
        <w:contextualSpacing/>
        <w:rPr>
          <w:rFonts w:asciiTheme="minorEastAsia" w:hAnsiTheme="minorEastAsia"/>
          <w:szCs w:val="21"/>
        </w:rPr>
      </w:pPr>
    </w:p>
    <w:p w14:paraId="7FB8A8EB" w14:textId="3914754E" w:rsidR="000D0F01" w:rsidRPr="00B95BA9" w:rsidRDefault="000D0F01">
      <w:pPr>
        <w:spacing w:line="340" w:lineRule="exact"/>
        <w:contextualSpacing/>
        <w:rPr>
          <w:rFonts w:asciiTheme="minorEastAsia" w:hAnsiTheme="minorEastAsia"/>
          <w:szCs w:val="21"/>
        </w:rPr>
      </w:pPr>
    </w:p>
    <w:p w14:paraId="6A354112" w14:textId="526D3B57" w:rsidR="000D0F01" w:rsidRPr="00B95BA9" w:rsidRDefault="000D0F01">
      <w:pPr>
        <w:spacing w:line="340" w:lineRule="exact"/>
        <w:contextualSpacing/>
        <w:rPr>
          <w:rFonts w:asciiTheme="minorEastAsia" w:hAnsiTheme="minorEastAsia"/>
          <w:szCs w:val="21"/>
        </w:rPr>
      </w:pPr>
    </w:p>
    <w:p w14:paraId="180E3991" w14:textId="04198143" w:rsidR="000D0F01" w:rsidRPr="00B95BA9" w:rsidRDefault="000D0F01">
      <w:pPr>
        <w:spacing w:line="340" w:lineRule="exact"/>
        <w:contextualSpacing/>
        <w:rPr>
          <w:rFonts w:asciiTheme="minorEastAsia" w:hAnsiTheme="minorEastAsia"/>
          <w:szCs w:val="21"/>
        </w:rPr>
      </w:pPr>
    </w:p>
    <w:p w14:paraId="74C323F9" w14:textId="4D1FD046" w:rsidR="000D0F01" w:rsidRPr="00B95BA9" w:rsidRDefault="000D0F01">
      <w:pPr>
        <w:spacing w:line="340" w:lineRule="exact"/>
        <w:contextualSpacing/>
        <w:rPr>
          <w:rFonts w:asciiTheme="minorEastAsia" w:hAnsiTheme="minorEastAsia"/>
          <w:szCs w:val="21"/>
        </w:rPr>
      </w:pPr>
    </w:p>
    <w:p w14:paraId="788576CC" w14:textId="3BF07D0C" w:rsidR="00114F39" w:rsidRPr="00B95BA9" w:rsidRDefault="00114F39">
      <w:pPr>
        <w:spacing w:line="340" w:lineRule="exact"/>
        <w:contextualSpacing/>
        <w:rPr>
          <w:rFonts w:asciiTheme="minorEastAsia" w:hAnsiTheme="minorEastAsia" w:hint="eastAsia"/>
          <w:szCs w:val="21"/>
        </w:rPr>
      </w:pPr>
    </w:p>
    <w:p w14:paraId="445E6CEA" w14:textId="2B449320"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（三）自基金合同生效以来基金每年的净值增长率与同期业绩比较基准的比较图</w:t>
      </w:r>
    </w:p>
    <w:p w14:paraId="3246D65E" w14:textId="00CCE9C7" w:rsidR="0061374F" w:rsidRPr="00B95BA9" w:rsidRDefault="00EC27BE">
      <w:pPr>
        <w:spacing w:line="340" w:lineRule="exact"/>
        <w:contextualSpacing/>
        <w:rPr>
          <w:rFonts w:asciiTheme="minorEastAsia" w:hAnsiTheme="minorEastAsia"/>
          <w:szCs w:val="21"/>
        </w:rPr>
      </w:pPr>
      <w:bookmarkStart w:id="0" w:name="_GoBack"/>
      <w:r>
        <w:rPr>
          <w:rFonts w:asciiTheme="minorEastAsia" w:hAnsiTheme="minorEastAsia"/>
          <w:noProof/>
          <w:szCs w:val="21"/>
        </w:rPr>
        <w:drawing>
          <wp:anchor distT="0" distB="0" distL="114300" distR="114300" simplePos="0" relativeHeight="251661312" behindDoc="0" locked="0" layoutInCell="1" allowOverlap="1" wp14:anchorId="3A50E112" wp14:editId="146B88F2">
            <wp:simplePos x="0" y="0"/>
            <wp:positionH relativeFrom="column">
              <wp:posOffset>836081</wp:posOffset>
            </wp:positionH>
            <wp:positionV relativeFrom="paragraph">
              <wp:posOffset>44722</wp:posOffset>
            </wp:positionV>
            <wp:extent cx="4770508" cy="2814452"/>
            <wp:effectExtent l="0" t="0" r="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4548" cy="2816836"/>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22D6DA92" w14:textId="77777777" w:rsidR="004C7038" w:rsidRPr="00B95BA9" w:rsidRDefault="004C7038">
      <w:pPr>
        <w:spacing w:line="340" w:lineRule="exact"/>
        <w:contextualSpacing/>
        <w:rPr>
          <w:rFonts w:asciiTheme="minorEastAsia" w:hAnsiTheme="minorEastAsia"/>
          <w:szCs w:val="21"/>
        </w:rPr>
      </w:pPr>
    </w:p>
    <w:p w14:paraId="278BDAE6" w14:textId="77777777" w:rsidR="004C7038" w:rsidRPr="00B95BA9" w:rsidRDefault="004C7038">
      <w:pPr>
        <w:spacing w:line="340" w:lineRule="exact"/>
        <w:contextualSpacing/>
        <w:rPr>
          <w:rFonts w:asciiTheme="minorEastAsia" w:hAnsiTheme="minorEastAsia"/>
          <w:szCs w:val="21"/>
        </w:rPr>
      </w:pPr>
    </w:p>
    <w:p w14:paraId="3B596473" w14:textId="77777777" w:rsidR="004C7038" w:rsidRPr="00B95BA9" w:rsidRDefault="004C7038">
      <w:pPr>
        <w:spacing w:line="340" w:lineRule="exact"/>
        <w:contextualSpacing/>
        <w:rPr>
          <w:rFonts w:asciiTheme="minorEastAsia" w:hAnsiTheme="minorEastAsia"/>
          <w:szCs w:val="21"/>
        </w:rPr>
      </w:pPr>
    </w:p>
    <w:p w14:paraId="6F6F60C6" w14:textId="77777777" w:rsidR="004C7038" w:rsidRPr="00B95BA9" w:rsidRDefault="004C7038">
      <w:pPr>
        <w:spacing w:line="340" w:lineRule="exact"/>
        <w:contextualSpacing/>
        <w:rPr>
          <w:rFonts w:asciiTheme="minorEastAsia" w:hAnsiTheme="minorEastAsia"/>
          <w:szCs w:val="21"/>
        </w:rPr>
      </w:pPr>
    </w:p>
    <w:p w14:paraId="23B550D5" w14:textId="1F0D0653" w:rsidR="004C7038" w:rsidRPr="00B95BA9" w:rsidRDefault="004C7038">
      <w:pPr>
        <w:spacing w:line="340" w:lineRule="exact"/>
        <w:contextualSpacing/>
        <w:rPr>
          <w:rFonts w:asciiTheme="minorEastAsia" w:hAnsiTheme="minorEastAsia"/>
          <w:szCs w:val="21"/>
        </w:rPr>
      </w:pPr>
    </w:p>
    <w:p w14:paraId="51B84E55" w14:textId="77777777" w:rsidR="004C7038" w:rsidRPr="00B95BA9" w:rsidRDefault="004C7038">
      <w:pPr>
        <w:spacing w:line="340" w:lineRule="exact"/>
        <w:contextualSpacing/>
        <w:rPr>
          <w:rFonts w:asciiTheme="minorEastAsia" w:hAnsiTheme="minorEastAsia"/>
          <w:szCs w:val="21"/>
        </w:rPr>
      </w:pPr>
    </w:p>
    <w:p w14:paraId="26A1E4DA" w14:textId="6E142490" w:rsidR="004C7038" w:rsidRPr="00B95BA9" w:rsidRDefault="004C7038">
      <w:pPr>
        <w:spacing w:line="340" w:lineRule="exact"/>
        <w:contextualSpacing/>
        <w:rPr>
          <w:rFonts w:asciiTheme="minorEastAsia" w:hAnsiTheme="minorEastAsia"/>
          <w:szCs w:val="21"/>
        </w:rPr>
      </w:pPr>
    </w:p>
    <w:p w14:paraId="2BD54E19" w14:textId="77777777" w:rsidR="004C7038" w:rsidRPr="00B95BA9" w:rsidRDefault="004C7038">
      <w:pPr>
        <w:spacing w:line="340" w:lineRule="exact"/>
        <w:contextualSpacing/>
        <w:rPr>
          <w:rFonts w:asciiTheme="minorEastAsia" w:hAnsiTheme="minorEastAsia"/>
          <w:szCs w:val="21"/>
        </w:rPr>
      </w:pPr>
    </w:p>
    <w:p w14:paraId="3121D2D3" w14:textId="77777777" w:rsidR="004C7038" w:rsidRPr="00B95BA9" w:rsidRDefault="004C7038">
      <w:pPr>
        <w:spacing w:line="340" w:lineRule="exact"/>
        <w:contextualSpacing/>
        <w:rPr>
          <w:rFonts w:asciiTheme="minorEastAsia" w:hAnsiTheme="minorEastAsia"/>
          <w:szCs w:val="21"/>
        </w:rPr>
      </w:pPr>
    </w:p>
    <w:p w14:paraId="316A9CFB"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lastRenderedPageBreak/>
        <w:t>三</w:t>
      </w:r>
      <w:r w:rsidRPr="00B95BA9">
        <w:rPr>
          <w:rFonts w:asciiTheme="minorEastAsia" w:hAnsiTheme="minorEastAsia" w:hint="eastAsia"/>
          <w:b/>
          <w:szCs w:val="21"/>
        </w:rPr>
        <w:t>、</w:t>
      </w:r>
      <w:r w:rsidRPr="00B95BA9">
        <w:rPr>
          <w:rFonts w:asciiTheme="minorEastAsia" w:hAnsiTheme="minorEastAsia"/>
          <w:b/>
          <w:szCs w:val="21"/>
        </w:rPr>
        <w:t>投资本基金涉及的费用</w:t>
      </w:r>
    </w:p>
    <w:p w14:paraId="621505E0"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（一）基金销售相关费用</w:t>
      </w:r>
    </w:p>
    <w:p w14:paraId="5B8F4128" w14:textId="7D3E079B"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以下费用在申购</w:t>
      </w:r>
      <w:r w:rsidRPr="00B95BA9">
        <w:rPr>
          <w:rFonts w:asciiTheme="minorEastAsia" w:hAnsiTheme="minorEastAsia" w:hint="eastAsia"/>
          <w:szCs w:val="21"/>
        </w:rPr>
        <w:t>/赎回基金过程中收取：</w:t>
      </w:r>
    </w:p>
    <w:p w14:paraId="21C3931E"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东方阿尔法医疗健康混合</w:t>
      </w:r>
      <w:r w:rsidR="00EA7BD4" w:rsidRPr="00B95BA9">
        <w:rPr>
          <w:rFonts w:asciiTheme="minorEastAsia" w:hAnsiTheme="minorEastAsia" w:hint="eastAsia"/>
          <w:szCs w:val="21"/>
        </w:rPr>
        <w:t>发起</w:t>
      </w:r>
      <w:r w:rsidRPr="00B95BA9">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08238A" w:rsidRPr="00B95BA9" w14:paraId="54CFB74E" w14:textId="77777777">
        <w:tc>
          <w:tcPr>
            <w:tcW w:w="1984" w:type="dxa"/>
          </w:tcPr>
          <w:p w14:paraId="66EFBBD7"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费用类型</w:t>
            </w:r>
          </w:p>
        </w:tc>
        <w:tc>
          <w:tcPr>
            <w:tcW w:w="2411" w:type="dxa"/>
          </w:tcPr>
          <w:p w14:paraId="16060E0F"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金额（M）/</w:t>
            </w:r>
          </w:p>
          <w:p w14:paraId="01561EF5"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持有期间（N）</w:t>
            </w:r>
          </w:p>
        </w:tc>
        <w:tc>
          <w:tcPr>
            <w:tcW w:w="1984" w:type="dxa"/>
          </w:tcPr>
          <w:p w14:paraId="5FEE57BF"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收费方式/费率</w:t>
            </w:r>
          </w:p>
        </w:tc>
        <w:tc>
          <w:tcPr>
            <w:tcW w:w="2126" w:type="dxa"/>
          </w:tcPr>
          <w:p w14:paraId="55A923D0"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备注</w:t>
            </w:r>
          </w:p>
        </w:tc>
      </w:tr>
      <w:tr w:rsidR="00FB249E" w:rsidRPr="00B95BA9" w14:paraId="69E13EB8" w14:textId="77777777">
        <w:trPr>
          <w:trHeight w:val="20"/>
        </w:trPr>
        <w:tc>
          <w:tcPr>
            <w:tcW w:w="1984" w:type="dxa"/>
            <w:vMerge w:val="restart"/>
          </w:tcPr>
          <w:p w14:paraId="3FB815E2" w14:textId="77777777" w:rsidR="00FB249E" w:rsidRPr="00B95BA9" w:rsidRDefault="00FB249E">
            <w:pPr>
              <w:spacing w:line="340" w:lineRule="exact"/>
              <w:contextualSpacing/>
              <w:rPr>
                <w:rFonts w:asciiTheme="minorEastAsia" w:hAnsiTheme="minorEastAsia"/>
                <w:b/>
                <w:szCs w:val="21"/>
              </w:rPr>
            </w:pPr>
            <w:r w:rsidRPr="00B95BA9">
              <w:rPr>
                <w:rFonts w:asciiTheme="minorEastAsia" w:hAnsiTheme="minorEastAsia" w:hint="eastAsia"/>
                <w:b/>
                <w:szCs w:val="21"/>
              </w:rPr>
              <w:t>申购费（前收费）</w:t>
            </w:r>
          </w:p>
        </w:tc>
        <w:tc>
          <w:tcPr>
            <w:tcW w:w="2411" w:type="dxa"/>
          </w:tcPr>
          <w:p w14:paraId="142C642F"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100</w:t>
            </w:r>
            <w:r w:rsidRPr="00B95BA9">
              <w:rPr>
                <w:rFonts w:asciiTheme="minorEastAsia" w:hAnsiTheme="minorEastAsia" w:hint="eastAsia"/>
                <w:szCs w:val="21"/>
              </w:rPr>
              <w:t>万</w:t>
            </w:r>
          </w:p>
        </w:tc>
        <w:tc>
          <w:tcPr>
            <w:tcW w:w="1984" w:type="dxa"/>
          </w:tcPr>
          <w:p w14:paraId="060C13D4"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1.50%</w:t>
            </w:r>
          </w:p>
        </w:tc>
        <w:tc>
          <w:tcPr>
            <w:tcW w:w="2126" w:type="dxa"/>
          </w:tcPr>
          <w:p w14:paraId="18615AB3"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非养老金客户</w:t>
            </w:r>
          </w:p>
        </w:tc>
      </w:tr>
      <w:tr w:rsidR="00FB249E" w:rsidRPr="00B95BA9" w14:paraId="6BEAEDD0" w14:textId="77777777">
        <w:trPr>
          <w:trHeight w:val="20"/>
        </w:trPr>
        <w:tc>
          <w:tcPr>
            <w:tcW w:w="1984" w:type="dxa"/>
            <w:vMerge/>
          </w:tcPr>
          <w:p w14:paraId="013013CE" w14:textId="77777777" w:rsidR="00FB249E" w:rsidRPr="00B95BA9" w:rsidRDefault="00FB249E">
            <w:pPr>
              <w:spacing w:line="340" w:lineRule="exact"/>
              <w:contextualSpacing/>
              <w:rPr>
                <w:rFonts w:asciiTheme="minorEastAsia" w:hAnsiTheme="minorEastAsia"/>
                <w:b/>
                <w:szCs w:val="21"/>
              </w:rPr>
            </w:pPr>
          </w:p>
        </w:tc>
        <w:tc>
          <w:tcPr>
            <w:tcW w:w="2411" w:type="dxa"/>
          </w:tcPr>
          <w:p w14:paraId="2C747C16"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100</w:t>
            </w:r>
            <w:r w:rsidRPr="00B95BA9">
              <w:rPr>
                <w:rFonts w:asciiTheme="minorEastAsia" w:hAnsiTheme="minorEastAsia" w:hint="eastAsia"/>
                <w:szCs w:val="21"/>
              </w:rPr>
              <w:t>万≤M＜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0BC91EF4"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1.00%</w:t>
            </w:r>
          </w:p>
        </w:tc>
        <w:tc>
          <w:tcPr>
            <w:tcW w:w="2126" w:type="dxa"/>
          </w:tcPr>
          <w:p w14:paraId="3DB53625"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非养老金客户</w:t>
            </w:r>
          </w:p>
        </w:tc>
      </w:tr>
      <w:tr w:rsidR="00FB249E" w:rsidRPr="00B95BA9" w14:paraId="62BE0A0E" w14:textId="77777777">
        <w:trPr>
          <w:trHeight w:val="20"/>
        </w:trPr>
        <w:tc>
          <w:tcPr>
            <w:tcW w:w="1984" w:type="dxa"/>
            <w:vMerge/>
          </w:tcPr>
          <w:p w14:paraId="2EB227EB" w14:textId="77777777" w:rsidR="00FB249E" w:rsidRPr="00B95BA9" w:rsidRDefault="00FB249E">
            <w:pPr>
              <w:spacing w:line="340" w:lineRule="exact"/>
              <w:contextualSpacing/>
              <w:rPr>
                <w:rFonts w:asciiTheme="minorEastAsia" w:hAnsiTheme="minorEastAsia"/>
                <w:b/>
                <w:szCs w:val="21"/>
              </w:rPr>
            </w:pPr>
          </w:p>
        </w:tc>
        <w:tc>
          <w:tcPr>
            <w:tcW w:w="2411" w:type="dxa"/>
          </w:tcPr>
          <w:p w14:paraId="03B236D2"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66EDBE99"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1000元/笔</w:t>
            </w:r>
          </w:p>
        </w:tc>
        <w:tc>
          <w:tcPr>
            <w:tcW w:w="2126" w:type="dxa"/>
          </w:tcPr>
          <w:p w14:paraId="49B5E925"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非养老金客户</w:t>
            </w:r>
          </w:p>
        </w:tc>
      </w:tr>
      <w:tr w:rsidR="00FB249E" w:rsidRPr="00B95BA9" w14:paraId="429870D0" w14:textId="77777777">
        <w:trPr>
          <w:trHeight w:val="20"/>
        </w:trPr>
        <w:tc>
          <w:tcPr>
            <w:tcW w:w="1984" w:type="dxa"/>
            <w:vMerge/>
          </w:tcPr>
          <w:p w14:paraId="2F949E38" w14:textId="77777777" w:rsidR="00FB249E" w:rsidRPr="00B95BA9" w:rsidRDefault="00FB249E">
            <w:pPr>
              <w:spacing w:line="340" w:lineRule="exact"/>
              <w:contextualSpacing/>
              <w:rPr>
                <w:rFonts w:asciiTheme="minorEastAsia" w:hAnsiTheme="minorEastAsia"/>
                <w:b/>
                <w:szCs w:val="21"/>
              </w:rPr>
            </w:pPr>
          </w:p>
        </w:tc>
        <w:tc>
          <w:tcPr>
            <w:tcW w:w="2411" w:type="dxa"/>
          </w:tcPr>
          <w:p w14:paraId="738689BB"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100</w:t>
            </w:r>
            <w:r w:rsidRPr="00B95BA9">
              <w:rPr>
                <w:rFonts w:asciiTheme="minorEastAsia" w:hAnsiTheme="minorEastAsia" w:hint="eastAsia"/>
                <w:szCs w:val="21"/>
              </w:rPr>
              <w:t>万</w:t>
            </w:r>
          </w:p>
        </w:tc>
        <w:tc>
          <w:tcPr>
            <w:tcW w:w="1984" w:type="dxa"/>
          </w:tcPr>
          <w:p w14:paraId="0B5EBE67"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0.</w:t>
            </w:r>
            <w:r w:rsidRPr="00B95BA9">
              <w:rPr>
                <w:rFonts w:asciiTheme="minorEastAsia" w:hAnsiTheme="minorEastAsia" w:hint="eastAsia"/>
                <w:szCs w:val="21"/>
              </w:rPr>
              <w:t>15%</w:t>
            </w:r>
          </w:p>
        </w:tc>
        <w:tc>
          <w:tcPr>
            <w:tcW w:w="2126" w:type="dxa"/>
          </w:tcPr>
          <w:p w14:paraId="4CBB2572"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养老金客户</w:t>
            </w:r>
          </w:p>
        </w:tc>
      </w:tr>
      <w:tr w:rsidR="00FB249E" w:rsidRPr="00B95BA9" w14:paraId="351F6349" w14:textId="77777777">
        <w:trPr>
          <w:trHeight w:val="20"/>
        </w:trPr>
        <w:tc>
          <w:tcPr>
            <w:tcW w:w="1984" w:type="dxa"/>
            <w:vMerge/>
          </w:tcPr>
          <w:p w14:paraId="6D2CB2B4" w14:textId="77777777" w:rsidR="00FB249E" w:rsidRPr="00B95BA9" w:rsidRDefault="00FB249E">
            <w:pPr>
              <w:spacing w:line="340" w:lineRule="exact"/>
              <w:contextualSpacing/>
              <w:rPr>
                <w:rFonts w:asciiTheme="minorEastAsia" w:hAnsiTheme="minorEastAsia"/>
                <w:b/>
                <w:szCs w:val="21"/>
              </w:rPr>
            </w:pPr>
          </w:p>
        </w:tc>
        <w:tc>
          <w:tcPr>
            <w:tcW w:w="2411" w:type="dxa"/>
          </w:tcPr>
          <w:p w14:paraId="66D086BE"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100</w:t>
            </w:r>
            <w:r w:rsidRPr="00B95BA9">
              <w:rPr>
                <w:rFonts w:asciiTheme="minorEastAsia" w:hAnsiTheme="minorEastAsia" w:hint="eastAsia"/>
                <w:szCs w:val="21"/>
              </w:rPr>
              <w:t>万≤M＜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68CE21D4"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szCs w:val="21"/>
              </w:rPr>
              <w:t>0.</w:t>
            </w:r>
            <w:r w:rsidRPr="00B95BA9">
              <w:rPr>
                <w:rFonts w:asciiTheme="minorEastAsia" w:hAnsiTheme="minorEastAsia" w:hint="eastAsia"/>
                <w:szCs w:val="21"/>
              </w:rPr>
              <w:t>10%</w:t>
            </w:r>
          </w:p>
        </w:tc>
        <w:tc>
          <w:tcPr>
            <w:tcW w:w="2126" w:type="dxa"/>
          </w:tcPr>
          <w:p w14:paraId="46F4B70E"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养老金客户</w:t>
            </w:r>
          </w:p>
        </w:tc>
      </w:tr>
      <w:tr w:rsidR="00FB249E" w:rsidRPr="00B95BA9" w14:paraId="5B8BA8B3" w14:textId="77777777">
        <w:trPr>
          <w:trHeight w:val="20"/>
        </w:trPr>
        <w:tc>
          <w:tcPr>
            <w:tcW w:w="1984" w:type="dxa"/>
            <w:vMerge/>
          </w:tcPr>
          <w:p w14:paraId="1030C123" w14:textId="77777777" w:rsidR="00FB249E" w:rsidRPr="00B95BA9" w:rsidRDefault="00FB249E">
            <w:pPr>
              <w:spacing w:line="340" w:lineRule="exact"/>
              <w:contextualSpacing/>
              <w:rPr>
                <w:rFonts w:asciiTheme="minorEastAsia" w:hAnsiTheme="minorEastAsia"/>
                <w:b/>
                <w:szCs w:val="21"/>
              </w:rPr>
            </w:pPr>
          </w:p>
        </w:tc>
        <w:tc>
          <w:tcPr>
            <w:tcW w:w="2411" w:type="dxa"/>
          </w:tcPr>
          <w:p w14:paraId="396E187B"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M≥</w:t>
            </w:r>
            <w:r w:rsidRPr="00B95BA9">
              <w:rPr>
                <w:rFonts w:asciiTheme="minorEastAsia" w:hAnsiTheme="minorEastAsia"/>
                <w:szCs w:val="21"/>
              </w:rPr>
              <w:t>500</w:t>
            </w:r>
            <w:r w:rsidRPr="00B95BA9">
              <w:rPr>
                <w:rFonts w:asciiTheme="minorEastAsia" w:hAnsiTheme="minorEastAsia" w:hint="eastAsia"/>
                <w:szCs w:val="21"/>
              </w:rPr>
              <w:t>万</w:t>
            </w:r>
          </w:p>
        </w:tc>
        <w:tc>
          <w:tcPr>
            <w:tcW w:w="1984" w:type="dxa"/>
          </w:tcPr>
          <w:p w14:paraId="4FAE0C70"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1000元/笔</w:t>
            </w:r>
          </w:p>
        </w:tc>
        <w:tc>
          <w:tcPr>
            <w:tcW w:w="2126" w:type="dxa"/>
          </w:tcPr>
          <w:p w14:paraId="631FF1C9" w14:textId="77777777" w:rsidR="00FB249E" w:rsidRPr="00B95BA9" w:rsidRDefault="00FB249E">
            <w:pPr>
              <w:spacing w:line="340" w:lineRule="exact"/>
              <w:contextualSpacing/>
              <w:rPr>
                <w:rFonts w:asciiTheme="minorEastAsia" w:hAnsiTheme="minorEastAsia"/>
                <w:szCs w:val="21"/>
              </w:rPr>
            </w:pPr>
            <w:r w:rsidRPr="00B95BA9">
              <w:rPr>
                <w:rFonts w:asciiTheme="minorEastAsia" w:hAnsiTheme="minorEastAsia" w:hint="eastAsia"/>
                <w:szCs w:val="21"/>
              </w:rPr>
              <w:t>养老金客户</w:t>
            </w:r>
          </w:p>
        </w:tc>
      </w:tr>
      <w:tr w:rsidR="0008238A" w:rsidRPr="00B95BA9" w14:paraId="6D1BF92B" w14:textId="77777777">
        <w:trPr>
          <w:trHeight w:val="20"/>
        </w:trPr>
        <w:tc>
          <w:tcPr>
            <w:tcW w:w="1984" w:type="dxa"/>
            <w:vMerge w:val="restart"/>
          </w:tcPr>
          <w:p w14:paraId="17D3BE76"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赎回费</w:t>
            </w:r>
          </w:p>
        </w:tc>
        <w:tc>
          <w:tcPr>
            <w:tcW w:w="2411" w:type="dxa"/>
          </w:tcPr>
          <w:p w14:paraId="313E69C5"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0＜N＜7天</w:t>
            </w:r>
          </w:p>
        </w:tc>
        <w:tc>
          <w:tcPr>
            <w:tcW w:w="1984" w:type="dxa"/>
          </w:tcPr>
          <w:p w14:paraId="426C672F"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1.50%</w:t>
            </w:r>
          </w:p>
        </w:tc>
        <w:tc>
          <w:tcPr>
            <w:tcW w:w="2126" w:type="dxa"/>
          </w:tcPr>
          <w:p w14:paraId="53BF4DE4" w14:textId="77777777" w:rsidR="004B4FE8" w:rsidRPr="00B95BA9" w:rsidRDefault="004B4FE8">
            <w:pPr>
              <w:contextualSpacing/>
              <w:rPr>
                <w:rFonts w:asciiTheme="minorEastAsia" w:hAnsiTheme="minorEastAsia"/>
                <w:szCs w:val="21"/>
              </w:rPr>
            </w:pPr>
          </w:p>
        </w:tc>
      </w:tr>
      <w:tr w:rsidR="0008238A" w:rsidRPr="00B95BA9" w14:paraId="52701213" w14:textId="77777777">
        <w:trPr>
          <w:trHeight w:val="20"/>
        </w:trPr>
        <w:tc>
          <w:tcPr>
            <w:tcW w:w="1984" w:type="dxa"/>
            <w:vMerge/>
          </w:tcPr>
          <w:p w14:paraId="6532E28D" w14:textId="77777777" w:rsidR="004B4FE8" w:rsidRPr="00B95BA9" w:rsidRDefault="004B4FE8">
            <w:pPr>
              <w:spacing w:line="340" w:lineRule="exact"/>
              <w:contextualSpacing/>
              <w:rPr>
                <w:rFonts w:asciiTheme="minorEastAsia" w:hAnsiTheme="minorEastAsia"/>
                <w:b/>
                <w:szCs w:val="21"/>
              </w:rPr>
            </w:pPr>
          </w:p>
        </w:tc>
        <w:tc>
          <w:tcPr>
            <w:tcW w:w="2411" w:type="dxa"/>
          </w:tcPr>
          <w:p w14:paraId="6C2A25D8"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7天≤N＜30天</w:t>
            </w:r>
          </w:p>
        </w:tc>
        <w:tc>
          <w:tcPr>
            <w:tcW w:w="1984" w:type="dxa"/>
          </w:tcPr>
          <w:p w14:paraId="27FABB84"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0.75%</w:t>
            </w:r>
          </w:p>
        </w:tc>
        <w:tc>
          <w:tcPr>
            <w:tcW w:w="2126" w:type="dxa"/>
          </w:tcPr>
          <w:p w14:paraId="58F88E18" w14:textId="77777777" w:rsidR="004B4FE8" w:rsidRPr="00B95BA9" w:rsidRDefault="004B4FE8">
            <w:pPr>
              <w:contextualSpacing/>
              <w:rPr>
                <w:rFonts w:asciiTheme="minorEastAsia" w:hAnsiTheme="minorEastAsia"/>
                <w:szCs w:val="21"/>
              </w:rPr>
            </w:pPr>
          </w:p>
        </w:tc>
      </w:tr>
      <w:tr w:rsidR="0008238A" w:rsidRPr="00B95BA9" w14:paraId="004A1683" w14:textId="77777777">
        <w:trPr>
          <w:trHeight w:val="20"/>
        </w:trPr>
        <w:tc>
          <w:tcPr>
            <w:tcW w:w="1984" w:type="dxa"/>
            <w:vMerge/>
          </w:tcPr>
          <w:p w14:paraId="30723733" w14:textId="77777777" w:rsidR="004B4FE8" w:rsidRPr="00B95BA9" w:rsidRDefault="004B4FE8">
            <w:pPr>
              <w:spacing w:line="340" w:lineRule="exact"/>
              <w:contextualSpacing/>
              <w:rPr>
                <w:rFonts w:asciiTheme="minorEastAsia" w:hAnsiTheme="minorEastAsia"/>
                <w:b/>
                <w:szCs w:val="21"/>
              </w:rPr>
            </w:pPr>
          </w:p>
        </w:tc>
        <w:tc>
          <w:tcPr>
            <w:tcW w:w="2411" w:type="dxa"/>
          </w:tcPr>
          <w:p w14:paraId="28BC6044"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30天≤N＜</w:t>
            </w:r>
            <w:r w:rsidRPr="00B95BA9">
              <w:rPr>
                <w:rFonts w:asciiTheme="minorEastAsia" w:hAnsiTheme="minorEastAsia"/>
                <w:szCs w:val="21"/>
              </w:rPr>
              <w:t>365</w:t>
            </w:r>
            <w:r w:rsidRPr="00B95BA9">
              <w:rPr>
                <w:rFonts w:asciiTheme="minorEastAsia" w:hAnsiTheme="minorEastAsia" w:hint="eastAsia"/>
                <w:szCs w:val="21"/>
              </w:rPr>
              <w:t>天</w:t>
            </w:r>
          </w:p>
        </w:tc>
        <w:tc>
          <w:tcPr>
            <w:tcW w:w="1984" w:type="dxa"/>
          </w:tcPr>
          <w:p w14:paraId="5DC5E825"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0.50%</w:t>
            </w:r>
          </w:p>
        </w:tc>
        <w:tc>
          <w:tcPr>
            <w:tcW w:w="2126" w:type="dxa"/>
          </w:tcPr>
          <w:p w14:paraId="0C67AC4F" w14:textId="77777777" w:rsidR="004B4FE8" w:rsidRPr="00B95BA9" w:rsidRDefault="004B4FE8">
            <w:pPr>
              <w:contextualSpacing/>
              <w:rPr>
                <w:rFonts w:asciiTheme="minorEastAsia" w:hAnsiTheme="minorEastAsia"/>
                <w:szCs w:val="21"/>
              </w:rPr>
            </w:pPr>
          </w:p>
        </w:tc>
      </w:tr>
      <w:tr w:rsidR="0008238A" w:rsidRPr="00B95BA9" w14:paraId="79E71D46" w14:textId="77777777">
        <w:trPr>
          <w:trHeight w:val="20"/>
        </w:trPr>
        <w:tc>
          <w:tcPr>
            <w:tcW w:w="1984" w:type="dxa"/>
            <w:vMerge/>
          </w:tcPr>
          <w:p w14:paraId="354E61D4" w14:textId="77777777" w:rsidR="004B4FE8" w:rsidRPr="00B95BA9" w:rsidRDefault="004B4FE8">
            <w:pPr>
              <w:spacing w:line="340" w:lineRule="exact"/>
              <w:contextualSpacing/>
              <w:rPr>
                <w:rFonts w:asciiTheme="minorEastAsia" w:hAnsiTheme="minorEastAsia"/>
                <w:b/>
                <w:szCs w:val="21"/>
              </w:rPr>
            </w:pPr>
          </w:p>
        </w:tc>
        <w:tc>
          <w:tcPr>
            <w:tcW w:w="2411" w:type="dxa"/>
          </w:tcPr>
          <w:p w14:paraId="1B0BCB60"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szCs w:val="21"/>
              </w:rPr>
              <w:t>365天≤N＜</w:t>
            </w:r>
            <w:r w:rsidRPr="00B95BA9">
              <w:rPr>
                <w:rFonts w:asciiTheme="minorEastAsia" w:hAnsiTheme="minorEastAsia" w:hint="eastAsia"/>
                <w:szCs w:val="21"/>
              </w:rPr>
              <w:t>730天</w:t>
            </w:r>
          </w:p>
        </w:tc>
        <w:tc>
          <w:tcPr>
            <w:tcW w:w="1984" w:type="dxa"/>
          </w:tcPr>
          <w:p w14:paraId="2E85DD12"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w:t>
            </w:r>
            <w:r w:rsidRPr="00B95BA9">
              <w:rPr>
                <w:rFonts w:asciiTheme="minorEastAsia" w:hAnsiTheme="minorEastAsia"/>
                <w:szCs w:val="21"/>
              </w:rPr>
              <w:t>25</w:t>
            </w:r>
            <w:r w:rsidRPr="00B95BA9">
              <w:rPr>
                <w:rFonts w:asciiTheme="minorEastAsia" w:hAnsiTheme="minorEastAsia" w:hint="eastAsia"/>
                <w:szCs w:val="21"/>
              </w:rPr>
              <w:t>%</w:t>
            </w:r>
          </w:p>
        </w:tc>
        <w:tc>
          <w:tcPr>
            <w:tcW w:w="2126" w:type="dxa"/>
          </w:tcPr>
          <w:p w14:paraId="607EC20C" w14:textId="77777777" w:rsidR="004B4FE8" w:rsidRPr="00B95BA9" w:rsidRDefault="004B4FE8">
            <w:pPr>
              <w:contextualSpacing/>
              <w:rPr>
                <w:rFonts w:asciiTheme="minorEastAsia" w:hAnsiTheme="minorEastAsia"/>
                <w:szCs w:val="21"/>
              </w:rPr>
            </w:pPr>
          </w:p>
        </w:tc>
      </w:tr>
      <w:tr w:rsidR="0008238A" w:rsidRPr="00B95BA9" w14:paraId="455C5712" w14:textId="77777777">
        <w:trPr>
          <w:trHeight w:val="20"/>
        </w:trPr>
        <w:tc>
          <w:tcPr>
            <w:tcW w:w="1984" w:type="dxa"/>
            <w:vMerge/>
          </w:tcPr>
          <w:p w14:paraId="325AFB3E" w14:textId="77777777" w:rsidR="004B4FE8" w:rsidRPr="00B95BA9" w:rsidRDefault="004B4FE8">
            <w:pPr>
              <w:spacing w:line="340" w:lineRule="exact"/>
              <w:contextualSpacing/>
              <w:rPr>
                <w:rFonts w:asciiTheme="minorEastAsia" w:hAnsiTheme="minorEastAsia"/>
                <w:b/>
                <w:szCs w:val="21"/>
              </w:rPr>
            </w:pPr>
          </w:p>
        </w:tc>
        <w:tc>
          <w:tcPr>
            <w:tcW w:w="2411" w:type="dxa"/>
          </w:tcPr>
          <w:p w14:paraId="67655A41"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szCs w:val="21"/>
              </w:rPr>
              <w:t>730天≤N</w:t>
            </w:r>
          </w:p>
        </w:tc>
        <w:tc>
          <w:tcPr>
            <w:tcW w:w="1984" w:type="dxa"/>
          </w:tcPr>
          <w:p w14:paraId="36445C8F"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0%</w:t>
            </w:r>
          </w:p>
        </w:tc>
        <w:tc>
          <w:tcPr>
            <w:tcW w:w="2126" w:type="dxa"/>
          </w:tcPr>
          <w:p w14:paraId="779FB7D5" w14:textId="77777777" w:rsidR="004B4FE8" w:rsidRPr="00B95BA9" w:rsidRDefault="004B4FE8">
            <w:pPr>
              <w:spacing w:line="340" w:lineRule="exact"/>
              <w:contextualSpacing/>
              <w:rPr>
                <w:rFonts w:asciiTheme="minorEastAsia" w:hAnsiTheme="minorEastAsia"/>
                <w:b/>
                <w:szCs w:val="21"/>
              </w:rPr>
            </w:pPr>
          </w:p>
        </w:tc>
      </w:tr>
    </w:tbl>
    <w:p w14:paraId="02852E93" w14:textId="6F054586"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注:投资人重复申购，须按每次认购/申购所对应的费率档次分别计费。</w:t>
      </w:r>
    </w:p>
    <w:p w14:paraId="4A58797F"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（二）基金运作相关费用</w:t>
      </w:r>
    </w:p>
    <w:p w14:paraId="3F39CA8A" w14:textId="77777777" w:rsidR="004B4FE8" w:rsidRPr="00B95BA9" w:rsidRDefault="00A8421B">
      <w:pPr>
        <w:spacing w:line="340" w:lineRule="exact"/>
        <w:ind w:firstLineChars="200" w:firstLine="422"/>
        <w:contextualSpacing/>
        <w:rPr>
          <w:rFonts w:asciiTheme="minorEastAsia" w:hAnsiTheme="minorEastAsia"/>
          <w:b/>
          <w:szCs w:val="21"/>
        </w:rPr>
      </w:pPr>
      <w:r w:rsidRPr="00B95BA9">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08238A" w:rsidRPr="00B95BA9" w14:paraId="4544B942" w14:textId="77777777">
        <w:tc>
          <w:tcPr>
            <w:tcW w:w="2268" w:type="dxa"/>
          </w:tcPr>
          <w:p w14:paraId="271BF2F7"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费用类型</w:t>
            </w:r>
          </w:p>
        </w:tc>
        <w:tc>
          <w:tcPr>
            <w:tcW w:w="6946" w:type="dxa"/>
          </w:tcPr>
          <w:p w14:paraId="7644B79B" w14:textId="77777777" w:rsidR="004B4FE8" w:rsidRPr="00B95BA9" w:rsidRDefault="00A8421B">
            <w:pPr>
              <w:spacing w:line="340" w:lineRule="exact"/>
              <w:contextualSpacing/>
              <w:jc w:val="center"/>
              <w:rPr>
                <w:rFonts w:asciiTheme="minorEastAsia" w:hAnsiTheme="minorEastAsia"/>
                <w:b/>
                <w:szCs w:val="21"/>
              </w:rPr>
            </w:pPr>
            <w:r w:rsidRPr="00B95BA9">
              <w:rPr>
                <w:rFonts w:asciiTheme="minorEastAsia" w:hAnsiTheme="minorEastAsia" w:hint="eastAsia"/>
                <w:b/>
                <w:szCs w:val="21"/>
              </w:rPr>
              <w:t>收费方式/年费率</w:t>
            </w:r>
          </w:p>
        </w:tc>
      </w:tr>
      <w:tr w:rsidR="0008238A" w:rsidRPr="00B95BA9" w14:paraId="307A3330" w14:textId="77777777">
        <w:tc>
          <w:tcPr>
            <w:tcW w:w="2268" w:type="dxa"/>
          </w:tcPr>
          <w:p w14:paraId="7883EDDE"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管理费</w:t>
            </w:r>
          </w:p>
        </w:tc>
        <w:tc>
          <w:tcPr>
            <w:tcW w:w="6946" w:type="dxa"/>
          </w:tcPr>
          <w:p w14:paraId="78495621" w14:textId="384908D0" w:rsidR="004B4FE8" w:rsidRPr="00B95BA9" w:rsidRDefault="00A8421B" w:rsidP="001F74E4">
            <w:pPr>
              <w:spacing w:line="340" w:lineRule="exact"/>
              <w:contextualSpacing/>
              <w:rPr>
                <w:rFonts w:asciiTheme="minorEastAsia" w:hAnsiTheme="minorEastAsia"/>
                <w:szCs w:val="21"/>
              </w:rPr>
            </w:pPr>
            <w:r w:rsidRPr="00B95BA9">
              <w:rPr>
                <w:rFonts w:asciiTheme="minorEastAsia" w:hAnsiTheme="minorEastAsia" w:hint="eastAsia"/>
                <w:szCs w:val="21"/>
              </w:rPr>
              <w:t>固定费率1.</w:t>
            </w:r>
            <w:r w:rsidR="001F74E4" w:rsidRPr="00B95BA9">
              <w:rPr>
                <w:rFonts w:asciiTheme="minorEastAsia" w:hAnsiTheme="minorEastAsia"/>
                <w:szCs w:val="21"/>
              </w:rPr>
              <w:t>2</w:t>
            </w:r>
            <w:r w:rsidR="001F74E4" w:rsidRPr="00B95BA9">
              <w:rPr>
                <w:rFonts w:asciiTheme="minorEastAsia" w:hAnsiTheme="minorEastAsia" w:hint="eastAsia"/>
                <w:szCs w:val="21"/>
              </w:rPr>
              <w:t>0</w:t>
            </w:r>
            <w:r w:rsidRPr="00B95BA9">
              <w:rPr>
                <w:rFonts w:asciiTheme="minorEastAsia" w:hAnsiTheme="minorEastAsia" w:hint="eastAsia"/>
                <w:szCs w:val="21"/>
              </w:rPr>
              <w:t>%</w:t>
            </w:r>
          </w:p>
        </w:tc>
      </w:tr>
      <w:tr w:rsidR="0008238A" w:rsidRPr="00B95BA9" w14:paraId="34CC668F" w14:textId="77777777">
        <w:tc>
          <w:tcPr>
            <w:tcW w:w="2268" w:type="dxa"/>
          </w:tcPr>
          <w:p w14:paraId="5B0A9460"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托管费</w:t>
            </w:r>
          </w:p>
        </w:tc>
        <w:tc>
          <w:tcPr>
            <w:tcW w:w="6946" w:type="dxa"/>
          </w:tcPr>
          <w:p w14:paraId="3FEAFBD8" w14:textId="64E3D306" w:rsidR="004B4FE8" w:rsidRPr="00B95BA9" w:rsidRDefault="00A8421B" w:rsidP="001F74E4">
            <w:pPr>
              <w:spacing w:line="340" w:lineRule="exact"/>
              <w:contextualSpacing/>
              <w:rPr>
                <w:rFonts w:asciiTheme="minorEastAsia" w:hAnsiTheme="minorEastAsia"/>
                <w:szCs w:val="21"/>
              </w:rPr>
            </w:pPr>
            <w:r w:rsidRPr="00B95BA9">
              <w:rPr>
                <w:rFonts w:asciiTheme="minorEastAsia" w:hAnsiTheme="minorEastAsia" w:hint="eastAsia"/>
                <w:szCs w:val="21"/>
              </w:rPr>
              <w:t>固定费率0.</w:t>
            </w:r>
            <w:r w:rsidR="001F74E4" w:rsidRPr="00B95BA9">
              <w:rPr>
                <w:rFonts w:asciiTheme="minorEastAsia" w:hAnsiTheme="minorEastAsia" w:hint="eastAsia"/>
                <w:szCs w:val="21"/>
              </w:rPr>
              <w:t>2</w:t>
            </w:r>
            <w:r w:rsidR="001F74E4" w:rsidRPr="00B95BA9">
              <w:rPr>
                <w:rFonts w:asciiTheme="minorEastAsia" w:hAnsiTheme="minorEastAsia"/>
                <w:szCs w:val="21"/>
              </w:rPr>
              <w:t>0</w:t>
            </w:r>
            <w:r w:rsidRPr="00B95BA9">
              <w:rPr>
                <w:rFonts w:asciiTheme="minorEastAsia" w:hAnsiTheme="minorEastAsia" w:hint="eastAsia"/>
                <w:szCs w:val="21"/>
              </w:rPr>
              <w:t>%</w:t>
            </w:r>
          </w:p>
        </w:tc>
      </w:tr>
      <w:tr w:rsidR="0008238A" w:rsidRPr="00B95BA9" w14:paraId="4802D61E" w14:textId="77777777">
        <w:tc>
          <w:tcPr>
            <w:tcW w:w="2268" w:type="dxa"/>
          </w:tcPr>
          <w:p w14:paraId="208754AB"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其他费用</w:t>
            </w:r>
          </w:p>
        </w:tc>
        <w:tc>
          <w:tcPr>
            <w:tcW w:w="6946" w:type="dxa"/>
          </w:tcPr>
          <w:p w14:paraId="02C7DA00" w14:textId="77777777" w:rsidR="004B4FE8" w:rsidRPr="00B95BA9" w:rsidRDefault="00A8421B">
            <w:pPr>
              <w:spacing w:line="340" w:lineRule="exact"/>
              <w:contextualSpacing/>
              <w:rPr>
                <w:rFonts w:asciiTheme="minorEastAsia" w:hAnsiTheme="minorEastAsia"/>
                <w:szCs w:val="21"/>
              </w:rPr>
            </w:pPr>
            <w:r w:rsidRPr="00B95BA9">
              <w:rPr>
                <w:rFonts w:asciiTheme="minorEastAsia" w:hAnsiTheme="minorEastAsia" w:hint="eastAsia"/>
                <w:szCs w:val="21"/>
              </w:rPr>
              <w:t>《基金合同》生效后与基金相关的信息披露费用、会计师费、律师费、诉讼费和仲裁费等费用；基金份额持有人大会费用；基金的证券、期货、期权交易费用；基金的银行汇划费用；基金相关的开户费用、账户维护费用；</w:t>
            </w:r>
            <w:r w:rsidRPr="00B95BA9">
              <w:rPr>
                <w:rFonts w:asciiTheme="minorEastAsia" w:hAnsiTheme="minorEastAsia" w:hint="eastAsia"/>
                <w:bCs/>
                <w:szCs w:val="21"/>
              </w:rPr>
              <w:t>基金投资港股通标的股票的合理费用；</w:t>
            </w:r>
            <w:r w:rsidRPr="00B95BA9">
              <w:rPr>
                <w:rFonts w:asciiTheme="minorEastAsia" w:hAnsiTheme="minorEastAsia"/>
                <w:bCs/>
                <w:szCs w:val="21"/>
              </w:rPr>
              <w:t>按照国家有关规定和《基金合同》约定，可以在基金财产中列支的其他费用</w:t>
            </w:r>
            <w:r w:rsidRPr="00B95BA9">
              <w:rPr>
                <w:rFonts w:asciiTheme="minorEastAsia" w:hAnsiTheme="minorEastAsia" w:hint="eastAsia"/>
                <w:bCs/>
                <w:szCs w:val="21"/>
              </w:rPr>
              <w:t>。</w:t>
            </w:r>
          </w:p>
        </w:tc>
      </w:tr>
    </w:tbl>
    <w:p w14:paraId="2FDD0582"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注：本基金交易证券、基金等产生的费用和税负，按实际发生额从基金资产扣除。</w:t>
      </w:r>
    </w:p>
    <w:p w14:paraId="4D291714" w14:textId="77777777" w:rsidR="00EA7BD4" w:rsidRPr="00B95BA9" w:rsidRDefault="00EA7BD4">
      <w:pPr>
        <w:spacing w:line="340" w:lineRule="exact"/>
        <w:ind w:firstLineChars="200" w:firstLine="420"/>
        <w:contextualSpacing/>
        <w:rPr>
          <w:rFonts w:asciiTheme="minorEastAsia" w:hAnsiTheme="minorEastAsia"/>
          <w:szCs w:val="21"/>
        </w:rPr>
      </w:pPr>
    </w:p>
    <w:p w14:paraId="3C6745B7"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四</w:t>
      </w:r>
      <w:r w:rsidRPr="00B95BA9">
        <w:rPr>
          <w:rFonts w:asciiTheme="minorEastAsia" w:hAnsiTheme="minorEastAsia" w:hint="eastAsia"/>
          <w:b/>
          <w:szCs w:val="21"/>
        </w:rPr>
        <w:t>、</w:t>
      </w:r>
      <w:r w:rsidRPr="00B95BA9">
        <w:rPr>
          <w:rFonts w:asciiTheme="minorEastAsia" w:hAnsiTheme="minorEastAsia"/>
          <w:b/>
          <w:szCs w:val="21"/>
        </w:rPr>
        <w:t>风险揭示与重要提示</w:t>
      </w:r>
    </w:p>
    <w:p w14:paraId="60EA4316"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（一）风险揭示</w:t>
      </w:r>
    </w:p>
    <w:p w14:paraId="161C9962"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本基金不提供任何保证。投资者可能损失本金。投资有风险，投资者购买基金时应认真阅读本基金的《招募说明书》等销售文件。</w:t>
      </w:r>
    </w:p>
    <w:p w14:paraId="6234F7C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1、本基金特有风险</w:t>
      </w:r>
    </w:p>
    <w:p w14:paraId="25126975"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（1）本基金投资于本基金《基金合同》界定的</w:t>
      </w:r>
      <w:r w:rsidRPr="00B95BA9">
        <w:rPr>
          <w:rFonts w:asciiTheme="minorEastAsia" w:hAnsiTheme="minorEastAsia" w:hint="eastAsia"/>
          <w:szCs w:val="21"/>
        </w:rPr>
        <w:t>医疗健康</w:t>
      </w:r>
      <w:r w:rsidRPr="00B95BA9">
        <w:rPr>
          <w:rFonts w:asciiTheme="minorEastAsia" w:hAnsiTheme="minorEastAsia"/>
          <w:szCs w:val="21"/>
        </w:rPr>
        <w:t>主题相关证券的比例不低于非现金基金资产的80%；同时，本基金投资于股票的比例占基金资产的60%-95%，投资集中度比较明显，股票市场的价格波动可能会导致基金净值发生剧烈波动的风险。</w:t>
      </w:r>
    </w:p>
    <w:p w14:paraId="4E647104"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p>
    <w:p w14:paraId="7E50732D"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lastRenderedPageBreak/>
        <w:t>（</w:t>
      </w:r>
      <w:r w:rsidRPr="00B95BA9">
        <w:rPr>
          <w:rFonts w:asciiTheme="minorEastAsia" w:hAnsiTheme="minorEastAsia"/>
          <w:szCs w:val="21"/>
        </w:rPr>
        <w:t>3</w:t>
      </w:r>
      <w:r w:rsidRPr="00B95BA9">
        <w:rPr>
          <w:rFonts w:asciiTheme="minorEastAsia" w:hAnsiTheme="minorEastAsia" w:hint="eastAsia"/>
          <w:szCs w:val="21"/>
        </w:rPr>
        <w:t>）</w:t>
      </w:r>
      <w:r w:rsidRPr="00B95BA9">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6F5F858C"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（4）本基金可投资科创板上市交易股票，将承担因上市条件、交易规则、退市制度等差异带来的特有风险，包括流动性风险、退市风险、投资集中风险等。</w:t>
      </w:r>
    </w:p>
    <w:p w14:paraId="3E9343F8"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（5）</w:t>
      </w:r>
      <w:r w:rsidRPr="00B95BA9">
        <w:rPr>
          <w:rFonts w:asciiTheme="minorEastAsia" w:hAnsiTheme="minorEastAsia" w:hint="eastAsia"/>
          <w:szCs w:val="21"/>
        </w:rPr>
        <w:t>本基金可投资股指期货，可能会出现的风险包括基差风险、合约品种差异造成的风险、标的物风险、衍生品模型风险等。</w:t>
      </w:r>
    </w:p>
    <w:p w14:paraId="32A3618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（6）本基金可投资国债期货，国债期货的风险主要包含市场风险、流动性风险、信用风险、合规性风险以及国债期货实物交割风险等。</w:t>
      </w:r>
    </w:p>
    <w:p w14:paraId="40E1491E"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（7）本基金可投资资产支持类证券，资产支持证券的风险主要包括信用风险、利率风险、流动性风险、提前偿付风险等。</w:t>
      </w:r>
    </w:p>
    <w:p w14:paraId="1DBECBE8"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w:t>
      </w:r>
      <w:r w:rsidRPr="00B95BA9">
        <w:rPr>
          <w:rFonts w:asciiTheme="minorEastAsia" w:hAnsiTheme="minorEastAsia"/>
          <w:szCs w:val="21"/>
        </w:rPr>
        <w:t>8</w:t>
      </w:r>
      <w:r w:rsidRPr="00B95BA9">
        <w:rPr>
          <w:rFonts w:asciiTheme="minorEastAsia" w:hAnsiTheme="minorEastAsia" w:hint="eastAsia"/>
          <w:szCs w:val="21"/>
        </w:rPr>
        <w:t>）本基金可投资存托凭证，将面临中国存托凭证价格大幅波动甚至出现较大亏损的风险，以及与中国存托凭证发行机制相关的风险。</w:t>
      </w:r>
    </w:p>
    <w:p w14:paraId="3BA14C1D"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w:t>
      </w:r>
      <w:r w:rsidRPr="00B95BA9">
        <w:rPr>
          <w:rFonts w:asciiTheme="minorEastAsia" w:hAnsiTheme="minorEastAsia"/>
          <w:szCs w:val="21"/>
        </w:rPr>
        <w:t>9</w:t>
      </w:r>
      <w:r w:rsidRPr="00B95BA9">
        <w:rPr>
          <w:rFonts w:asciiTheme="minorEastAsia" w:hAnsiTheme="minorEastAsia" w:hint="eastAsia"/>
          <w:szCs w:val="21"/>
        </w:rPr>
        <w:t>）本基金可投资股票期权，股票期权的风险包括市场风险、流动性风险和基差风险。</w:t>
      </w:r>
    </w:p>
    <w:p w14:paraId="35F1BD4B"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（10）本基金可参与融资交易，融资交易的风险主要包括流动性风险、信用风险等，这些风险可能会给基金净值带来一定的负面影响和损失。</w:t>
      </w:r>
    </w:p>
    <w:p w14:paraId="15F7A809"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58F6272D"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szCs w:val="21"/>
        </w:rPr>
        <w:t>2、</w:t>
      </w:r>
      <w:r w:rsidRPr="00B95BA9">
        <w:rPr>
          <w:rFonts w:asciiTheme="minorEastAsia" w:hAnsiTheme="minorEastAsia" w:hint="eastAsia"/>
          <w:szCs w:val="21"/>
        </w:rPr>
        <w:t>开放式基金的共有风险：市场风险、管理风险、职业道德风险、流动性风险、合规风险、投资管理风险、操作和技术风险、启用侧袋机制的风险以及不可抗力可能导致的其他风险。</w:t>
      </w:r>
    </w:p>
    <w:p w14:paraId="7649D53E"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hint="eastAsia"/>
          <w:b/>
          <w:szCs w:val="21"/>
        </w:rPr>
        <w:t>（二）重要提示</w:t>
      </w:r>
    </w:p>
    <w:p w14:paraId="09869AF2"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0BF2ED4A"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0185EC4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B95BA9">
        <w:rPr>
          <w:rFonts w:asciiTheme="minorEastAsia" w:hAnsiTheme="minorEastAsia"/>
          <w:szCs w:val="21"/>
        </w:rPr>
        <w:t>“</w:t>
      </w:r>
      <w:r w:rsidRPr="00B95BA9">
        <w:rPr>
          <w:rFonts w:asciiTheme="minorEastAsia" w:hAnsiTheme="minorEastAsia" w:hint="eastAsia"/>
          <w:szCs w:val="21"/>
        </w:rPr>
        <w:t>争议的处理和适用法律</w:t>
      </w:r>
      <w:r w:rsidRPr="00B95BA9">
        <w:rPr>
          <w:rFonts w:asciiTheme="minorEastAsia" w:hAnsiTheme="minorEastAsia"/>
          <w:szCs w:val="21"/>
        </w:rPr>
        <w:t>”</w:t>
      </w:r>
      <w:r w:rsidRPr="00B95BA9">
        <w:rPr>
          <w:rFonts w:asciiTheme="minorEastAsia" w:hAnsiTheme="minorEastAsia" w:hint="eastAsia"/>
          <w:szCs w:val="21"/>
        </w:rPr>
        <w:t>。</w:t>
      </w:r>
    </w:p>
    <w:p w14:paraId="09C622B5" w14:textId="77777777" w:rsidR="00EA7BD4" w:rsidRPr="00B95BA9" w:rsidRDefault="00EA7BD4">
      <w:pPr>
        <w:spacing w:line="340" w:lineRule="exact"/>
        <w:ind w:firstLineChars="200" w:firstLine="420"/>
        <w:contextualSpacing/>
        <w:rPr>
          <w:rFonts w:asciiTheme="minorEastAsia" w:hAnsiTheme="minorEastAsia"/>
          <w:szCs w:val="21"/>
        </w:rPr>
      </w:pPr>
    </w:p>
    <w:p w14:paraId="112E351A"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五</w:t>
      </w:r>
      <w:r w:rsidRPr="00B95BA9">
        <w:rPr>
          <w:rFonts w:asciiTheme="minorEastAsia" w:hAnsiTheme="minorEastAsia" w:hint="eastAsia"/>
          <w:b/>
          <w:szCs w:val="21"/>
        </w:rPr>
        <w:t>、</w:t>
      </w:r>
      <w:r w:rsidRPr="00B95BA9">
        <w:rPr>
          <w:rFonts w:asciiTheme="minorEastAsia" w:hAnsiTheme="minorEastAsia"/>
          <w:b/>
          <w:szCs w:val="21"/>
        </w:rPr>
        <w:t>其他资料查询方式</w:t>
      </w:r>
    </w:p>
    <w:p w14:paraId="34B7E007"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以下资料详见东方阿尔法基金官方网站【www.dfa66.com】【客服电话：400-</w:t>
      </w:r>
      <w:r w:rsidRPr="00B95BA9">
        <w:rPr>
          <w:rFonts w:asciiTheme="minorEastAsia" w:hAnsiTheme="minorEastAsia"/>
          <w:szCs w:val="21"/>
        </w:rPr>
        <w:t>930</w:t>
      </w:r>
      <w:r w:rsidRPr="00B95BA9">
        <w:rPr>
          <w:rFonts w:asciiTheme="minorEastAsia" w:hAnsiTheme="minorEastAsia" w:hint="eastAsia"/>
          <w:szCs w:val="21"/>
        </w:rPr>
        <w:t>-</w:t>
      </w:r>
      <w:r w:rsidRPr="00B95BA9">
        <w:rPr>
          <w:rFonts w:asciiTheme="minorEastAsia" w:hAnsiTheme="minorEastAsia"/>
          <w:szCs w:val="21"/>
        </w:rPr>
        <w:t>6677</w:t>
      </w:r>
      <w:r w:rsidRPr="00B95BA9">
        <w:rPr>
          <w:rFonts w:asciiTheme="minorEastAsia" w:hAnsiTheme="minorEastAsia" w:hint="eastAsia"/>
          <w:szCs w:val="21"/>
        </w:rPr>
        <w:t>】</w:t>
      </w:r>
    </w:p>
    <w:p w14:paraId="0D1A49DF" w14:textId="77777777" w:rsidR="004B4FE8" w:rsidRPr="00B95BA9" w:rsidRDefault="00A8421B">
      <w:pPr>
        <w:spacing w:line="340" w:lineRule="exact"/>
        <w:ind w:firstLineChars="200" w:firstLine="420"/>
        <w:contextualSpacing/>
        <w:rPr>
          <w:rFonts w:asciiTheme="minorEastAsia" w:hAnsiTheme="minorEastAsia"/>
          <w:szCs w:val="21"/>
        </w:rPr>
      </w:pPr>
      <w:r w:rsidRPr="00B95BA9">
        <w:rPr>
          <w:rFonts w:asciiTheme="minorEastAsia" w:hAnsiTheme="minorEastAsia" w:hint="eastAsia"/>
          <w:szCs w:val="21"/>
        </w:rPr>
        <w:t>（1）基金合同、托管协议、招募说明书</w:t>
      </w:r>
    </w:p>
    <w:p w14:paraId="44909943"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（2）定期报告，包括基金季度报告、中期报告和年度报告</w:t>
      </w:r>
    </w:p>
    <w:p w14:paraId="7A5465BB"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（3）基金份额净值</w:t>
      </w:r>
    </w:p>
    <w:p w14:paraId="12CFBCE9"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（4）基金销售机构及联系方式</w:t>
      </w:r>
    </w:p>
    <w:p w14:paraId="468EE16E" w14:textId="77777777" w:rsidR="004B4FE8" w:rsidRPr="00B95BA9" w:rsidRDefault="00A8421B">
      <w:pPr>
        <w:pStyle w:val="ad"/>
        <w:spacing w:line="340" w:lineRule="exact"/>
        <w:ind w:left="420" w:firstLineChars="0" w:firstLine="0"/>
        <w:contextualSpacing/>
        <w:rPr>
          <w:rFonts w:asciiTheme="minorEastAsia" w:hAnsiTheme="minorEastAsia"/>
          <w:szCs w:val="21"/>
        </w:rPr>
      </w:pPr>
      <w:r w:rsidRPr="00B95BA9">
        <w:rPr>
          <w:rFonts w:asciiTheme="minorEastAsia" w:hAnsiTheme="minorEastAsia" w:hint="eastAsia"/>
          <w:szCs w:val="21"/>
        </w:rPr>
        <w:t>（5）其他重要资料</w:t>
      </w:r>
    </w:p>
    <w:p w14:paraId="726B07EF" w14:textId="77777777" w:rsidR="00EA7BD4" w:rsidRPr="00B95BA9" w:rsidRDefault="00EA7BD4">
      <w:pPr>
        <w:pStyle w:val="ad"/>
        <w:spacing w:line="340" w:lineRule="exact"/>
        <w:ind w:left="420" w:firstLineChars="0" w:firstLine="0"/>
        <w:contextualSpacing/>
        <w:rPr>
          <w:rFonts w:asciiTheme="minorEastAsia" w:hAnsiTheme="minorEastAsia"/>
          <w:szCs w:val="21"/>
        </w:rPr>
      </w:pPr>
    </w:p>
    <w:p w14:paraId="0F1C46E6" w14:textId="77777777" w:rsidR="004B4FE8" w:rsidRPr="00B95BA9" w:rsidRDefault="00A8421B">
      <w:pPr>
        <w:spacing w:line="340" w:lineRule="exact"/>
        <w:contextualSpacing/>
        <w:rPr>
          <w:rFonts w:asciiTheme="minorEastAsia" w:hAnsiTheme="minorEastAsia"/>
          <w:b/>
          <w:szCs w:val="21"/>
        </w:rPr>
      </w:pPr>
      <w:r w:rsidRPr="00B95BA9">
        <w:rPr>
          <w:rFonts w:asciiTheme="minorEastAsia" w:hAnsiTheme="minorEastAsia"/>
          <w:b/>
          <w:szCs w:val="21"/>
        </w:rPr>
        <w:t>六</w:t>
      </w:r>
      <w:r w:rsidRPr="00B95BA9">
        <w:rPr>
          <w:rFonts w:asciiTheme="minorEastAsia" w:hAnsiTheme="minorEastAsia" w:hint="eastAsia"/>
          <w:b/>
          <w:szCs w:val="21"/>
        </w:rPr>
        <w:t>、</w:t>
      </w:r>
      <w:r w:rsidRPr="00B95BA9">
        <w:rPr>
          <w:rFonts w:asciiTheme="minorEastAsia" w:hAnsiTheme="minorEastAsia"/>
          <w:b/>
          <w:szCs w:val="21"/>
        </w:rPr>
        <w:t>其他情况说明</w:t>
      </w:r>
    </w:p>
    <w:p w14:paraId="4AD8AEC2" w14:textId="77777777" w:rsidR="004B4FE8" w:rsidRPr="0008238A" w:rsidRDefault="00A8421B">
      <w:pPr>
        <w:spacing w:line="340" w:lineRule="exact"/>
        <w:ind w:firstLineChars="200" w:firstLine="420"/>
        <w:contextualSpacing/>
        <w:rPr>
          <w:rFonts w:asciiTheme="minorEastAsia" w:hAnsiTheme="minorEastAsia"/>
          <w:bCs/>
          <w:szCs w:val="21"/>
        </w:rPr>
      </w:pPr>
      <w:r w:rsidRPr="00B95BA9">
        <w:rPr>
          <w:rFonts w:asciiTheme="minorEastAsia" w:hAnsiTheme="minorEastAsia" w:hint="eastAsia"/>
          <w:szCs w:val="21"/>
        </w:rPr>
        <w:t>无</w:t>
      </w:r>
    </w:p>
    <w:sectPr w:rsidR="004B4FE8" w:rsidRPr="0008238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74906" w14:textId="77777777" w:rsidR="00877AE5" w:rsidRDefault="00877AE5">
      <w:r>
        <w:separator/>
      </w:r>
    </w:p>
  </w:endnote>
  <w:endnote w:type="continuationSeparator" w:id="0">
    <w:p w14:paraId="58B7B935" w14:textId="77777777" w:rsidR="00877AE5" w:rsidRDefault="0087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73B7CD89" w14:textId="4F3EAD43" w:rsidR="004B4FE8" w:rsidRDefault="00A8421B">
        <w:pPr>
          <w:pStyle w:val="a5"/>
          <w:jc w:val="center"/>
        </w:pPr>
        <w:r>
          <w:fldChar w:fldCharType="begin"/>
        </w:r>
        <w:r>
          <w:instrText>PAGE   \* MERGEFORMAT</w:instrText>
        </w:r>
        <w:r>
          <w:fldChar w:fldCharType="separate"/>
        </w:r>
        <w:r w:rsidR="00EC27BE" w:rsidRPr="00EC27BE">
          <w:rPr>
            <w:noProof/>
            <w:lang w:val="zh-CN"/>
          </w:rPr>
          <w:t>4</w:t>
        </w:r>
        <w:r>
          <w:fldChar w:fldCharType="end"/>
        </w:r>
      </w:p>
    </w:sdtContent>
  </w:sdt>
  <w:p w14:paraId="6D5502FE" w14:textId="77777777" w:rsidR="004B4FE8" w:rsidRDefault="004B4F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F9E4E" w14:textId="77777777" w:rsidR="00877AE5" w:rsidRDefault="00877AE5">
      <w:r>
        <w:separator/>
      </w:r>
    </w:p>
  </w:footnote>
  <w:footnote w:type="continuationSeparator" w:id="0">
    <w:p w14:paraId="783ABC11" w14:textId="77777777" w:rsidR="00877AE5" w:rsidRDefault="00877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17627"/>
    <w:rsid w:val="00027BA3"/>
    <w:rsid w:val="00030A5A"/>
    <w:rsid w:val="00035DF0"/>
    <w:rsid w:val="00067129"/>
    <w:rsid w:val="00074340"/>
    <w:rsid w:val="00075E30"/>
    <w:rsid w:val="000805FE"/>
    <w:rsid w:val="0008238A"/>
    <w:rsid w:val="00095BBF"/>
    <w:rsid w:val="000C07A8"/>
    <w:rsid w:val="000D0F01"/>
    <w:rsid w:val="000D7E21"/>
    <w:rsid w:val="000E6610"/>
    <w:rsid w:val="001038E9"/>
    <w:rsid w:val="00114F39"/>
    <w:rsid w:val="00131A76"/>
    <w:rsid w:val="001417A0"/>
    <w:rsid w:val="001536AB"/>
    <w:rsid w:val="001739BB"/>
    <w:rsid w:val="0018376C"/>
    <w:rsid w:val="001857D4"/>
    <w:rsid w:val="001A6B72"/>
    <w:rsid w:val="001A7C67"/>
    <w:rsid w:val="001B09D7"/>
    <w:rsid w:val="001B4D1E"/>
    <w:rsid w:val="001D65A5"/>
    <w:rsid w:val="001E3DF7"/>
    <w:rsid w:val="001F6A92"/>
    <w:rsid w:val="001F74E4"/>
    <w:rsid w:val="001F7B08"/>
    <w:rsid w:val="00227272"/>
    <w:rsid w:val="0024041C"/>
    <w:rsid w:val="00253ADE"/>
    <w:rsid w:val="00260A5C"/>
    <w:rsid w:val="002876C1"/>
    <w:rsid w:val="002A53BF"/>
    <w:rsid w:val="002C5E5F"/>
    <w:rsid w:val="002D4146"/>
    <w:rsid w:val="002E1568"/>
    <w:rsid w:val="002E56ED"/>
    <w:rsid w:val="002F1C69"/>
    <w:rsid w:val="002F33D7"/>
    <w:rsid w:val="00320011"/>
    <w:rsid w:val="00322DFB"/>
    <w:rsid w:val="003312C5"/>
    <w:rsid w:val="00335CDB"/>
    <w:rsid w:val="00366C19"/>
    <w:rsid w:val="003774AF"/>
    <w:rsid w:val="00387A98"/>
    <w:rsid w:val="00393690"/>
    <w:rsid w:val="003C1A67"/>
    <w:rsid w:val="003D24B1"/>
    <w:rsid w:val="003D38E8"/>
    <w:rsid w:val="003D449D"/>
    <w:rsid w:val="003E319A"/>
    <w:rsid w:val="00401353"/>
    <w:rsid w:val="00403421"/>
    <w:rsid w:val="004101A6"/>
    <w:rsid w:val="00410E4E"/>
    <w:rsid w:val="00411D8D"/>
    <w:rsid w:val="00453549"/>
    <w:rsid w:val="004544EB"/>
    <w:rsid w:val="00461049"/>
    <w:rsid w:val="00461ACC"/>
    <w:rsid w:val="0047358F"/>
    <w:rsid w:val="00474873"/>
    <w:rsid w:val="00484043"/>
    <w:rsid w:val="0048602F"/>
    <w:rsid w:val="004B4FE8"/>
    <w:rsid w:val="004C13DC"/>
    <w:rsid w:val="004C7038"/>
    <w:rsid w:val="004C7F14"/>
    <w:rsid w:val="004D4A85"/>
    <w:rsid w:val="004E1F83"/>
    <w:rsid w:val="004E5C28"/>
    <w:rsid w:val="004E7BBB"/>
    <w:rsid w:val="00502DAF"/>
    <w:rsid w:val="00503D3A"/>
    <w:rsid w:val="00514EF3"/>
    <w:rsid w:val="005658A5"/>
    <w:rsid w:val="00570986"/>
    <w:rsid w:val="00572F9A"/>
    <w:rsid w:val="00573CDD"/>
    <w:rsid w:val="0058312A"/>
    <w:rsid w:val="005B0FEE"/>
    <w:rsid w:val="0061374F"/>
    <w:rsid w:val="00621CD0"/>
    <w:rsid w:val="00663768"/>
    <w:rsid w:val="006778AD"/>
    <w:rsid w:val="006917ED"/>
    <w:rsid w:val="006B56EB"/>
    <w:rsid w:val="006E3305"/>
    <w:rsid w:val="007043F3"/>
    <w:rsid w:val="00705EAA"/>
    <w:rsid w:val="00716985"/>
    <w:rsid w:val="00733019"/>
    <w:rsid w:val="00735306"/>
    <w:rsid w:val="0074027F"/>
    <w:rsid w:val="00740BA0"/>
    <w:rsid w:val="0074374B"/>
    <w:rsid w:val="00780781"/>
    <w:rsid w:val="00796F91"/>
    <w:rsid w:val="007D1D02"/>
    <w:rsid w:val="007E53B8"/>
    <w:rsid w:val="00817C56"/>
    <w:rsid w:val="008219C5"/>
    <w:rsid w:val="00822A3A"/>
    <w:rsid w:val="008340DE"/>
    <w:rsid w:val="008436C9"/>
    <w:rsid w:val="00877AE5"/>
    <w:rsid w:val="008976B8"/>
    <w:rsid w:val="008A0172"/>
    <w:rsid w:val="008D074A"/>
    <w:rsid w:val="008D155B"/>
    <w:rsid w:val="008D39EF"/>
    <w:rsid w:val="00911159"/>
    <w:rsid w:val="009249D0"/>
    <w:rsid w:val="00934ED3"/>
    <w:rsid w:val="00937FF3"/>
    <w:rsid w:val="00964B82"/>
    <w:rsid w:val="00971779"/>
    <w:rsid w:val="00975267"/>
    <w:rsid w:val="00975C1D"/>
    <w:rsid w:val="00976C18"/>
    <w:rsid w:val="00993A45"/>
    <w:rsid w:val="00995508"/>
    <w:rsid w:val="009B5CE5"/>
    <w:rsid w:val="009C6ABD"/>
    <w:rsid w:val="009E52B4"/>
    <w:rsid w:val="009F23DB"/>
    <w:rsid w:val="00A0119C"/>
    <w:rsid w:val="00A12F39"/>
    <w:rsid w:val="00A4204A"/>
    <w:rsid w:val="00A81310"/>
    <w:rsid w:val="00A82C57"/>
    <w:rsid w:val="00A8421B"/>
    <w:rsid w:val="00A85F79"/>
    <w:rsid w:val="00A953B9"/>
    <w:rsid w:val="00AB1EFB"/>
    <w:rsid w:val="00AB473A"/>
    <w:rsid w:val="00AC17E1"/>
    <w:rsid w:val="00AE44C0"/>
    <w:rsid w:val="00AF4C00"/>
    <w:rsid w:val="00B0443E"/>
    <w:rsid w:val="00B0628E"/>
    <w:rsid w:val="00B1338C"/>
    <w:rsid w:val="00B13C49"/>
    <w:rsid w:val="00B1573C"/>
    <w:rsid w:val="00B161F0"/>
    <w:rsid w:val="00B34F28"/>
    <w:rsid w:val="00B379CB"/>
    <w:rsid w:val="00B42188"/>
    <w:rsid w:val="00B804DF"/>
    <w:rsid w:val="00B95BA9"/>
    <w:rsid w:val="00BA452A"/>
    <w:rsid w:val="00BB4DBD"/>
    <w:rsid w:val="00BC6B30"/>
    <w:rsid w:val="00BE5320"/>
    <w:rsid w:val="00BF0199"/>
    <w:rsid w:val="00C04FCF"/>
    <w:rsid w:val="00C427F3"/>
    <w:rsid w:val="00C80EBC"/>
    <w:rsid w:val="00C83376"/>
    <w:rsid w:val="00C87C45"/>
    <w:rsid w:val="00C91203"/>
    <w:rsid w:val="00C9276B"/>
    <w:rsid w:val="00C97000"/>
    <w:rsid w:val="00CF52A8"/>
    <w:rsid w:val="00D07E45"/>
    <w:rsid w:val="00D12B20"/>
    <w:rsid w:val="00D4452C"/>
    <w:rsid w:val="00D6161D"/>
    <w:rsid w:val="00D72973"/>
    <w:rsid w:val="00DB6D24"/>
    <w:rsid w:val="00DE65BB"/>
    <w:rsid w:val="00E00483"/>
    <w:rsid w:val="00E0086E"/>
    <w:rsid w:val="00E0755E"/>
    <w:rsid w:val="00E60419"/>
    <w:rsid w:val="00E658C4"/>
    <w:rsid w:val="00E66C05"/>
    <w:rsid w:val="00E844CD"/>
    <w:rsid w:val="00E87237"/>
    <w:rsid w:val="00E92573"/>
    <w:rsid w:val="00EA0311"/>
    <w:rsid w:val="00EA2A73"/>
    <w:rsid w:val="00EA7BD4"/>
    <w:rsid w:val="00EB3B24"/>
    <w:rsid w:val="00EC193E"/>
    <w:rsid w:val="00EC27BE"/>
    <w:rsid w:val="00EC4022"/>
    <w:rsid w:val="00ED549B"/>
    <w:rsid w:val="00EE1EF8"/>
    <w:rsid w:val="00EE2851"/>
    <w:rsid w:val="00EF2BDB"/>
    <w:rsid w:val="00EF3739"/>
    <w:rsid w:val="00F064F7"/>
    <w:rsid w:val="00F13F63"/>
    <w:rsid w:val="00F17B54"/>
    <w:rsid w:val="00F214CE"/>
    <w:rsid w:val="00F34626"/>
    <w:rsid w:val="00F35179"/>
    <w:rsid w:val="00F35547"/>
    <w:rsid w:val="00F4177C"/>
    <w:rsid w:val="00F62953"/>
    <w:rsid w:val="00F86B88"/>
    <w:rsid w:val="00FA0CFC"/>
    <w:rsid w:val="00FB249E"/>
    <w:rsid w:val="00FC712B"/>
    <w:rsid w:val="00FE117F"/>
    <w:rsid w:val="0BF90931"/>
    <w:rsid w:val="17046828"/>
    <w:rsid w:val="25882B25"/>
    <w:rsid w:val="498B18F3"/>
    <w:rsid w:val="57845CC8"/>
    <w:rsid w:val="5ECC4121"/>
    <w:rsid w:val="60372D2B"/>
    <w:rsid w:val="6304649A"/>
    <w:rsid w:val="63EA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4A128B"/>
  <w15:docId w15:val="{32431FCF-50A7-4B67-8486-8648787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3B465-AE49-4CCE-8541-D6E97BC1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170</cp:revision>
  <cp:lastPrinted>2022-11-22T01:13:00Z</cp:lastPrinted>
  <dcterms:created xsi:type="dcterms:W3CDTF">2020-06-18T02:43:00Z</dcterms:created>
  <dcterms:modified xsi:type="dcterms:W3CDTF">2023-08-07T08:23:00Z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B288E593B5444989A9F6E569EB52A0C6</vt:lpwstr>
  </property>
</Properties>
</file>