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7B988" w14:textId="77777777" w:rsidR="00D37C06" w:rsidRPr="006E46ED" w:rsidRDefault="005471A5">
      <w:pPr>
        <w:jc w:val="center"/>
        <w:rPr>
          <w:rFonts w:ascii="黑体" w:eastAsia="黑体" w:hAnsi="黑体" w:cs="Times New Roman"/>
          <w:sz w:val="32"/>
          <w:szCs w:val="44"/>
        </w:rPr>
      </w:pPr>
      <w:r w:rsidRPr="006E46ED">
        <w:rPr>
          <w:rFonts w:ascii="黑体" w:eastAsia="黑体" w:hAnsi="黑体" w:cs="Times New Roman" w:hint="eastAsia"/>
          <w:sz w:val="32"/>
          <w:szCs w:val="44"/>
        </w:rPr>
        <w:t>东方阿尔法瑞丰混合</w:t>
      </w:r>
      <w:r w:rsidRPr="006E46ED">
        <w:rPr>
          <w:rFonts w:ascii="黑体" w:eastAsia="黑体" w:hAnsi="黑体" w:cs="Times New Roman"/>
          <w:sz w:val="32"/>
          <w:szCs w:val="44"/>
        </w:rPr>
        <w:t>型</w:t>
      </w:r>
      <w:r w:rsidRPr="006E46ED">
        <w:rPr>
          <w:rFonts w:ascii="黑体" w:eastAsia="黑体" w:hAnsi="黑体" w:cs="Times New Roman" w:hint="eastAsia"/>
          <w:sz w:val="32"/>
          <w:szCs w:val="44"/>
        </w:rPr>
        <w:t>发起式</w:t>
      </w:r>
      <w:r w:rsidRPr="006E46ED">
        <w:rPr>
          <w:rFonts w:ascii="黑体" w:eastAsia="黑体" w:hAnsi="黑体" w:cs="Times New Roman"/>
          <w:sz w:val="32"/>
          <w:szCs w:val="44"/>
        </w:rPr>
        <w:t>证券投资基金（A类份额）</w:t>
      </w:r>
    </w:p>
    <w:p w14:paraId="45855F9C" w14:textId="210BDC14" w:rsidR="00D37C06" w:rsidRPr="006E46ED" w:rsidRDefault="005471A5">
      <w:pPr>
        <w:jc w:val="center"/>
        <w:rPr>
          <w:rFonts w:ascii="黑体" w:eastAsia="黑体" w:hAnsi="黑体" w:cs="Times New Roman"/>
          <w:sz w:val="32"/>
          <w:szCs w:val="44"/>
        </w:rPr>
      </w:pPr>
      <w:r w:rsidRPr="006E46ED">
        <w:rPr>
          <w:rFonts w:ascii="黑体" w:eastAsia="黑体" w:hAnsi="黑体" w:cs="Times New Roman"/>
          <w:sz w:val="32"/>
          <w:szCs w:val="44"/>
        </w:rPr>
        <w:t>基金产品资料概要</w:t>
      </w:r>
      <w:r w:rsidR="00886061" w:rsidRPr="006E46ED">
        <w:rPr>
          <w:rFonts w:ascii="黑体" w:eastAsia="黑体" w:hAnsi="黑体" w:cs="Times New Roman"/>
          <w:sz w:val="32"/>
          <w:szCs w:val="44"/>
        </w:rPr>
        <w:t>更新</w:t>
      </w:r>
    </w:p>
    <w:p w14:paraId="28B1CF45" w14:textId="401DCD72" w:rsidR="00D37C06" w:rsidRPr="006E46ED" w:rsidRDefault="005471A5">
      <w:pPr>
        <w:spacing w:afterLines="50" w:after="156"/>
        <w:jc w:val="right"/>
        <w:rPr>
          <w:rFonts w:asciiTheme="minorEastAsia" w:hAnsiTheme="minorEastAsia"/>
        </w:rPr>
      </w:pPr>
      <w:r w:rsidRPr="006E46ED">
        <w:rPr>
          <w:rFonts w:asciiTheme="minorEastAsia" w:hAnsiTheme="minorEastAsia" w:hint="eastAsia"/>
        </w:rPr>
        <w:t>编制日期：</w:t>
      </w:r>
      <w:r w:rsidR="000B2A92" w:rsidRPr="006E46ED">
        <w:rPr>
          <w:rFonts w:asciiTheme="minorEastAsia" w:hAnsiTheme="minorEastAsia"/>
        </w:rPr>
        <w:t>2023</w:t>
      </w:r>
      <w:r w:rsidR="000B2A92" w:rsidRPr="006E46ED">
        <w:rPr>
          <w:rFonts w:asciiTheme="minorEastAsia" w:hAnsiTheme="minorEastAsia" w:hint="eastAsia"/>
        </w:rPr>
        <w:t>年</w:t>
      </w:r>
      <w:r w:rsidR="00886061" w:rsidRPr="006E46ED">
        <w:rPr>
          <w:rFonts w:asciiTheme="minorEastAsia" w:hAnsiTheme="minorEastAsia"/>
        </w:rPr>
        <w:t>8</w:t>
      </w:r>
      <w:r w:rsidRPr="006E46ED">
        <w:rPr>
          <w:rFonts w:asciiTheme="minorEastAsia" w:hAnsiTheme="minorEastAsia" w:hint="eastAsia"/>
        </w:rPr>
        <w:t>月</w:t>
      </w:r>
      <w:r w:rsidR="006E46ED" w:rsidRPr="006E46ED">
        <w:rPr>
          <w:rFonts w:asciiTheme="minorEastAsia" w:hAnsiTheme="minorEastAsia"/>
        </w:rPr>
        <w:t>19</w:t>
      </w:r>
      <w:r w:rsidRPr="006E46ED">
        <w:rPr>
          <w:rFonts w:asciiTheme="minorEastAsia" w:hAnsiTheme="minorEastAsia" w:hint="eastAsia"/>
        </w:rPr>
        <w:t>日</w:t>
      </w:r>
    </w:p>
    <w:p w14:paraId="48695D9C" w14:textId="3E2EA382" w:rsidR="00D37C06" w:rsidRPr="006E46ED" w:rsidRDefault="005471A5">
      <w:pPr>
        <w:spacing w:afterLines="50" w:after="156"/>
        <w:ind w:right="420"/>
        <w:jc w:val="center"/>
        <w:rPr>
          <w:rFonts w:asciiTheme="minorEastAsia" w:hAnsiTheme="minorEastAsia"/>
        </w:rPr>
      </w:pPr>
      <w:r w:rsidRPr="006E46ED">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3D2C34CE" wp14:editId="63F2972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4FAFB591" w14:textId="77777777" w:rsidR="00D37C06" w:rsidRDefault="005471A5">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22D54C3A" w14:textId="77777777" w:rsidR="00D37C06" w:rsidRDefault="005471A5">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w16se="http://schemas.microsoft.com/office/word/2015/wordml/symex"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6E46ED">
        <w:rPr>
          <w:rFonts w:asciiTheme="minorEastAsia" w:hAnsiTheme="minorEastAsia"/>
        </w:rPr>
        <w:t>送出日期</w:t>
      </w:r>
      <w:r w:rsidRPr="006E46ED">
        <w:rPr>
          <w:rFonts w:asciiTheme="minorEastAsia" w:hAnsiTheme="minorEastAsia" w:hint="eastAsia"/>
        </w:rPr>
        <w:t>：</w:t>
      </w:r>
      <w:r w:rsidR="000B2A92" w:rsidRPr="006E46ED">
        <w:rPr>
          <w:rFonts w:asciiTheme="minorEastAsia" w:hAnsiTheme="minorEastAsia"/>
        </w:rPr>
        <w:t>2023</w:t>
      </w:r>
      <w:r w:rsidR="000B2A92" w:rsidRPr="006E46ED">
        <w:rPr>
          <w:rFonts w:asciiTheme="minorEastAsia" w:hAnsiTheme="minorEastAsia" w:hint="eastAsia"/>
        </w:rPr>
        <w:t>年</w:t>
      </w:r>
      <w:r w:rsidR="00886061" w:rsidRPr="006E46ED">
        <w:rPr>
          <w:rFonts w:asciiTheme="minorEastAsia" w:hAnsiTheme="minorEastAsia"/>
        </w:rPr>
        <w:t>8</w:t>
      </w:r>
      <w:r w:rsidRPr="006E46ED">
        <w:rPr>
          <w:rFonts w:asciiTheme="minorEastAsia" w:hAnsiTheme="minorEastAsia" w:hint="eastAsia"/>
        </w:rPr>
        <w:t>月</w:t>
      </w:r>
      <w:r w:rsidR="006E46ED" w:rsidRPr="006E46ED">
        <w:rPr>
          <w:rFonts w:asciiTheme="minorEastAsia" w:hAnsiTheme="minorEastAsia"/>
        </w:rPr>
        <w:t>21</w:t>
      </w:r>
      <w:r w:rsidRPr="006E46ED">
        <w:rPr>
          <w:rFonts w:asciiTheme="minorEastAsia" w:hAnsiTheme="minorEastAsia" w:hint="eastAsia"/>
        </w:rPr>
        <w:t>日</w:t>
      </w:r>
    </w:p>
    <w:p w14:paraId="0D3917D2" w14:textId="77777777" w:rsidR="00D37C06" w:rsidRPr="006E46ED" w:rsidRDefault="00D37C06">
      <w:pPr>
        <w:spacing w:afterLines="50" w:after="156"/>
        <w:jc w:val="right"/>
        <w:rPr>
          <w:rFonts w:ascii="华文仿宋" w:eastAsia="华文仿宋" w:hAnsi="华文仿宋"/>
        </w:rPr>
      </w:pPr>
    </w:p>
    <w:p w14:paraId="62538736" w14:textId="77777777" w:rsidR="00D37C06" w:rsidRPr="006E46ED" w:rsidRDefault="00D37C06">
      <w:pPr>
        <w:spacing w:afterLines="50" w:after="156"/>
        <w:ind w:right="840"/>
      </w:pPr>
    </w:p>
    <w:p w14:paraId="39771E1A" w14:textId="77777777" w:rsidR="00D37C06" w:rsidRPr="006E46ED" w:rsidRDefault="005471A5">
      <w:pPr>
        <w:rPr>
          <w:rStyle w:val="1"/>
          <w:rFonts w:asciiTheme="minorEastAsia" w:hAnsiTheme="minorEastAsia"/>
          <w:b/>
          <w:i w:val="0"/>
          <w:color w:val="000000"/>
          <w:szCs w:val="21"/>
          <w14:textFill>
            <w14:solidFill>
              <w14:srgbClr w14:val="000000">
                <w14:lumMod w14:val="75000"/>
                <w14:lumOff w14:val="25000"/>
              </w14:srgbClr>
            </w14:solidFill>
          </w14:textFill>
        </w:rPr>
      </w:pPr>
      <w:r w:rsidRPr="006E46ED">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D37C06" w:rsidRPr="006E46ED" w14:paraId="39CAF250" w14:textId="77777777">
        <w:trPr>
          <w:trHeight w:val="20"/>
        </w:trPr>
        <w:tc>
          <w:tcPr>
            <w:tcW w:w="1985" w:type="dxa"/>
          </w:tcPr>
          <w:p w14:paraId="29CA8C1C"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基金简称</w:t>
            </w:r>
          </w:p>
        </w:tc>
        <w:tc>
          <w:tcPr>
            <w:tcW w:w="2977" w:type="dxa"/>
          </w:tcPr>
          <w:p w14:paraId="5A6DDEA5" w14:textId="212B92E9"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东方阿尔法</w:t>
            </w:r>
            <w:r w:rsidRPr="006E46ED">
              <w:rPr>
                <w:rFonts w:asciiTheme="minorEastAsia" w:hAnsiTheme="minorEastAsia" w:hint="eastAsia"/>
                <w:szCs w:val="21"/>
              </w:rPr>
              <w:t>瑞丰</w:t>
            </w:r>
            <w:r w:rsidRPr="006E46ED">
              <w:rPr>
                <w:rFonts w:asciiTheme="minorEastAsia" w:hAnsiTheme="minorEastAsia"/>
                <w:szCs w:val="21"/>
              </w:rPr>
              <w:t>混合</w:t>
            </w:r>
            <w:r w:rsidR="00963FEC" w:rsidRPr="006E46ED">
              <w:rPr>
                <w:rFonts w:asciiTheme="minorEastAsia" w:hAnsiTheme="minorEastAsia"/>
                <w:szCs w:val="21"/>
              </w:rPr>
              <w:t>发起</w:t>
            </w:r>
          </w:p>
        </w:tc>
        <w:tc>
          <w:tcPr>
            <w:tcW w:w="2551" w:type="dxa"/>
          </w:tcPr>
          <w:p w14:paraId="44033CED"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基金主代码</w:t>
            </w:r>
          </w:p>
        </w:tc>
        <w:tc>
          <w:tcPr>
            <w:tcW w:w="2552" w:type="dxa"/>
          </w:tcPr>
          <w:p w14:paraId="4B4539E5" w14:textId="3D49A7C4" w:rsidR="00D37C06" w:rsidRPr="006E46ED" w:rsidRDefault="00AA6E5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018362</w:t>
            </w:r>
          </w:p>
        </w:tc>
      </w:tr>
      <w:tr w:rsidR="00D37C06" w:rsidRPr="006E46ED" w14:paraId="299B0196" w14:textId="77777777">
        <w:trPr>
          <w:trHeight w:val="20"/>
        </w:trPr>
        <w:tc>
          <w:tcPr>
            <w:tcW w:w="1985" w:type="dxa"/>
          </w:tcPr>
          <w:p w14:paraId="39BEC506"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下属基金简称</w:t>
            </w:r>
          </w:p>
        </w:tc>
        <w:tc>
          <w:tcPr>
            <w:tcW w:w="2977" w:type="dxa"/>
          </w:tcPr>
          <w:p w14:paraId="6699487A" w14:textId="582C357C" w:rsidR="00D37C06" w:rsidRPr="006E46ED" w:rsidRDefault="00AA6E5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东方阿尔法瑞丰混合发起A</w:t>
            </w:r>
          </w:p>
        </w:tc>
        <w:tc>
          <w:tcPr>
            <w:tcW w:w="2551" w:type="dxa"/>
          </w:tcPr>
          <w:p w14:paraId="217E4D3C"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下属基金的基金代码</w:t>
            </w:r>
          </w:p>
        </w:tc>
        <w:tc>
          <w:tcPr>
            <w:tcW w:w="2552" w:type="dxa"/>
          </w:tcPr>
          <w:p w14:paraId="0565B345" w14:textId="0CD56DB3" w:rsidR="00D37C06" w:rsidRPr="006E46ED" w:rsidRDefault="00AA6E5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018362</w:t>
            </w:r>
          </w:p>
        </w:tc>
      </w:tr>
      <w:tr w:rsidR="00D37C06" w:rsidRPr="006E46ED" w14:paraId="3D319B9E" w14:textId="77777777">
        <w:trPr>
          <w:trHeight w:val="20"/>
        </w:trPr>
        <w:tc>
          <w:tcPr>
            <w:tcW w:w="1985" w:type="dxa"/>
          </w:tcPr>
          <w:p w14:paraId="3A988EB7"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基金管理人</w:t>
            </w:r>
          </w:p>
        </w:tc>
        <w:tc>
          <w:tcPr>
            <w:tcW w:w="2977" w:type="dxa"/>
            <w:tcBorders>
              <w:bottom w:val="single" w:sz="4" w:space="0" w:color="auto"/>
            </w:tcBorders>
          </w:tcPr>
          <w:p w14:paraId="09A7D74E"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东方阿尔法基金管理有限公司</w:t>
            </w:r>
          </w:p>
        </w:tc>
        <w:tc>
          <w:tcPr>
            <w:tcW w:w="2551" w:type="dxa"/>
            <w:tcBorders>
              <w:bottom w:val="single" w:sz="4" w:space="0" w:color="auto"/>
            </w:tcBorders>
          </w:tcPr>
          <w:p w14:paraId="06FB7021"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基金托管人</w:t>
            </w:r>
          </w:p>
        </w:tc>
        <w:tc>
          <w:tcPr>
            <w:tcW w:w="2552" w:type="dxa"/>
            <w:tcBorders>
              <w:bottom w:val="single" w:sz="4" w:space="0" w:color="auto"/>
            </w:tcBorders>
          </w:tcPr>
          <w:p w14:paraId="77095C94"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中国农业银行</w:t>
            </w:r>
            <w:r w:rsidRPr="006E46ED">
              <w:rPr>
                <w:rFonts w:asciiTheme="minorEastAsia" w:hAnsiTheme="minorEastAsia"/>
                <w:szCs w:val="21"/>
              </w:rPr>
              <w:t>股份有限公司</w:t>
            </w:r>
          </w:p>
        </w:tc>
      </w:tr>
      <w:tr w:rsidR="00D37C06" w:rsidRPr="006E46ED" w14:paraId="4F5436E9" w14:textId="77777777">
        <w:trPr>
          <w:trHeight w:val="20"/>
        </w:trPr>
        <w:tc>
          <w:tcPr>
            <w:tcW w:w="1985" w:type="dxa"/>
          </w:tcPr>
          <w:p w14:paraId="332BCDFF"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基金合同生效日</w:t>
            </w:r>
          </w:p>
        </w:tc>
        <w:tc>
          <w:tcPr>
            <w:tcW w:w="2977" w:type="dxa"/>
            <w:tcBorders>
              <w:right w:val="nil"/>
            </w:tcBorders>
          </w:tcPr>
          <w:p w14:paraId="328A820F" w14:textId="1E439343" w:rsidR="00D37C06" w:rsidRPr="006E46ED" w:rsidRDefault="00886061">
            <w:pPr>
              <w:spacing w:line="360" w:lineRule="exact"/>
              <w:rPr>
                <w:rFonts w:asciiTheme="minorEastAsia" w:hAnsiTheme="minorEastAsia"/>
                <w:szCs w:val="21"/>
              </w:rPr>
            </w:pPr>
            <w:r w:rsidRPr="006E46ED">
              <w:rPr>
                <w:rFonts w:asciiTheme="minorEastAsia" w:hAnsiTheme="minorEastAsia"/>
                <w:szCs w:val="21"/>
              </w:rPr>
              <w:t>2023-05-12</w:t>
            </w:r>
          </w:p>
        </w:tc>
        <w:tc>
          <w:tcPr>
            <w:tcW w:w="2551" w:type="dxa"/>
            <w:tcBorders>
              <w:left w:val="nil"/>
              <w:right w:val="nil"/>
            </w:tcBorders>
          </w:tcPr>
          <w:p w14:paraId="06AC4BCD"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上市交易所及上市日期</w:t>
            </w:r>
          </w:p>
        </w:tc>
        <w:tc>
          <w:tcPr>
            <w:tcW w:w="2552" w:type="dxa"/>
            <w:tcBorders>
              <w:left w:val="nil"/>
            </w:tcBorders>
          </w:tcPr>
          <w:p w14:paraId="1AE49C7D"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暂未上市</w:t>
            </w:r>
          </w:p>
        </w:tc>
      </w:tr>
      <w:tr w:rsidR="00D37C06" w:rsidRPr="006E46ED" w14:paraId="2EEDB60F" w14:textId="77777777">
        <w:trPr>
          <w:trHeight w:val="20"/>
        </w:trPr>
        <w:tc>
          <w:tcPr>
            <w:tcW w:w="1985" w:type="dxa"/>
          </w:tcPr>
          <w:p w14:paraId="6CCB57C4"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基金类型</w:t>
            </w:r>
          </w:p>
        </w:tc>
        <w:tc>
          <w:tcPr>
            <w:tcW w:w="2977" w:type="dxa"/>
            <w:tcBorders>
              <w:right w:val="nil"/>
            </w:tcBorders>
          </w:tcPr>
          <w:p w14:paraId="4FF2F336"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混合型</w:t>
            </w:r>
          </w:p>
        </w:tc>
        <w:tc>
          <w:tcPr>
            <w:tcW w:w="2551" w:type="dxa"/>
            <w:tcBorders>
              <w:left w:val="nil"/>
              <w:right w:val="nil"/>
            </w:tcBorders>
          </w:tcPr>
          <w:p w14:paraId="366945F2"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交易币种</w:t>
            </w:r>
          </w:p>
        </w:tc>
        <w:tc>
          <w:tcPr>
            <w:tcW w:w="2552" w:type="dxa"/>
            <w:tcBorders>
              <w:left w:val="nil"/>
            </w:tcBorders>
          </w:tcPr>
          <w:p w14:paraId="7FAD1AE5"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人民币</w:t>
            </w:r>
          </w:p>
        </w:tc>
      </w:tr>
      <w:tr w:rsidR="00D37C06" w:rsidRPr="006E46ED" w14:paraId="0E2457AF" w14:textId="77777777">
        <w:trPr>
          <w:trHeight w:val="20"/>
        </w:trPr>
        <w:tc>
          <w:tcPr>
            <w:tcW w:w="1985" w:type="dxa"/>
          </w:tcPr>
          <w:p w14:paraId="706E2275"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运作方式</w:t>
            </w:r>
          </w:p>
        </w:tc>
        <w:tc>
          <w:tcPr>
            <w:tcW w:w="2977" w:type="dxa"/>
          </w:tcPr>
          <w:p w14:paraId="4C2CC782" w14:textId="595A0069" w:rsidR="00D37C06" w:rsidRPr="006E46ED" w:rsidRDefault="006E785C">
            <w:pPr>
              <w:pStyle w:val="aa"/>
              <w:spacing w:line="360" w:lineRule="exact"/>
              <w:ind w:firstLineChars="0" w:firstLine="0"/>
              <w:rPr>
                <w:rFonts w:asciiTheme="minorEastAsia" w:hAnsiTheme="minorEastAsia"/>
                <w:szCs w:val="21"/>
              </w:rPr>
            </w:pPr>
            <w:r>
              <w:rPr>
                <w:rFonts w:asciiTheme="minorEastAsia" w:hAnsiTheme="minorEastAsia" w:hint="eastAsia"/>
                <w:szCs w:val="21"/>
              </w:rPr>
              <w:t>普通</w:t>
            </w:r>
            <w:bookmarkStart w:id="0" w:name="_GoBack"/>
            <w:bookmarkEnd w:id="0"/>
            <w:r w:rsidR="005471A5" w:rsidRPr="006E46ED">
              <w:rPr>
                <w:rFonts w:asciiTheme="minorEastAsia" w:hAnsiTheme="minorEastAsia" w:hint="eastAsia"/>
                <w:szCs w:val="21"/>
              </w:rPr>
              <w:t>开放式</w:t>
            </w:r>
          </w:p>
        </w:tc>
        <w:tc>
          <w:tcPr>
            <w:tcW w:w="2551" w:type="dxa"/>
          </w:tcPr>
          <w:p w14:paraId="6CEE9A5E"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开放频率</w:t>
            </w:r>
          </w:p>
        </w:tc>
        <w:tc>
          <w:tcPr>
            <w:tcW w:w="2552" w:type="dxa"/>
          </w:tcPr>
          <w:p w14:paraId="18A507AE"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szCs w:val="21"/>
              </w:rPr>
              <w:t>每个开放日</w:t>
            </w:r>
          </w:p>
        </w:tc>
      </w:tr>
      <w:tr w:rsidR="00D37C06" w:rsidRPr="006E46ED" w14:paraId="768DBD74" w14:textId="77777777">
        <w:trPr>
          <w:trHeight w:val="20"/>
        </w:trPr>
        <w:tc>
          <w:tcPr>
            <w:tcW w:w="1985" w:type="dxa"/>
            <w:vMerge w:val="restart"/>
            <w:vAlign w:val="center"/>
          </w:tcPr>
          <w:p w14:paraId="23449444" w14:textId="77777777" w:rsidR="00D37C06" w:rsidRPr="006E46ED" w:rsidRDefault="005471A5">
            <w:pPr>
              <w:pStyle w:val="aa"/>
              <w:spacing w:line="360" w:lineRule="exact"/>
              <w:ind w:firstLineChars="0" w:firstLine="0"/>
              <w:jc w:val="left"/>
              <w:rPr>
                <w:rFonts w:asciiTheme="minorEastAsia" w:hAnsiTheme="minorEastAsia"/>
                <w:szCs w:val="21"/>
              </w:rPr>
            </w:pPr>
            <w:r w:rsidRPr="006E46ED">
              <w:rPr>
                <w:rFonts w:asciiTheme="minorEastAsia" w:hAnsiTheme="minorEastAsia" w:hint="eastAsia"/>
                <w:szCs w:val="21"/>
              </w:rPr>
              <w:t>基金经理</w:t>
            </w:r>
          </w:p>
        </w:tc>
        <w:tc>
          <w:tcPr>
            <w:tcW w:w="2977" w:type="dxa"/>
            <w:vMerge w:val="restart"/>
            <w:vAlign w:val="center"/>
          </w:tcPr>
          <w:p w14:paraId="18F8B751" w14:textId="77777777" w:rsidR="00D37C06" w:rsidRPr="006E46ED" w:rsidRDefault="005471A5">
            <w:pPr>
              <w:pStyle w:val="aa"/>
              <w:spacing w:line="360" w:lineRule="exact"/>
              <w:ind w:firstLineChars="0" w:firstLine="0"/>
              <w:jc w:val="left"/>
              <w:rPr>
                <w:rFonts w:asciiTheme="minorEastAsia" w:hAnsiTheme="minorEastAsia"/>
                <w:szCs w:val="21"/>
              </w:rPr>
            </w:pPr>
            <w:r w:rsidRPr="006E46ED">
              <w:rPr>
                <w:rFonts w:asciiTheme="minorEastAsia" w:hAnsiTheme="minorEastAsia" w:hint="eastAsia"/>
                <w:szCs w:val="21"/>
              </w:rPr>
              <w:t>孙振波</w:t>
            </w:r>
          </w:p>
        </w:tc>
        <w:tc>
          <w:tcPr>
            <w:tcW w:w="2551" w:type="dxa"/>
          </w:tcPr>
          <w:p w14:paraId="189D6443"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开始担任本</w:t>
            </w:r>
            <w:proofErr w:type="gramStart"/>
            <w:r w:rsidRPr="006E46ED">
              <w:rPr>
                <w:rFonts w:asciiTheme="minorEastAsia" w:hAnsiTheme="minorEastAsia" w:hint="eastAsia"/>
                <w:szCs w:val="21"/>
              </w:rPr>
              <w:t>基金基金</w:t>
            </w:r>
            <w:proofErr w:type="gramEnd"/>
            <w:r w:rsidRPr="006E46ED">
              <w:rPr>
                <w:rFonts w:asciiTheme="minorEastAsia" w:hAnsiTheme="minorEastAsia" w:hint="eastAsia"/>
                <w:szCs w:val="21"/>
              </w:rPr>
              <w:t>经理的日期</w:t>
            </w:r>
          </w:p>
        </w:tc>
        <w:tc>
          <w:tcPr>
            <w:tcW w:w="2552" w:type="dxa"/>
          </w:tcPr>
          <w:p w14:paraId="691C1CE7" w14:textId="21752D6F" w:rsidR="00D37C06" w:rsidRPr="006E46ED" w:rsidRDefault="00886061">
            <w:pPr>
              <w:pStyle w:val="aa"/>
              <w:spacing w:line="360" w:lineRule="exact"/>
              <w:ind w:firstLineChars="0" w:firstLine="0"/>
              <w:rPr>
                <w:rFonts w:asciiTheme="minorEastAsia" w:hAnsiTheme="minorEastAsia"/>
                <w:szCs w:val="21"/>
              </w:rPr>
            </w:pPr>
            <w:r w:rsidRPr="006E46ED">
              <w:rPr>
                <w:rFonts w:asciiTheme="minorEastAsia" w:hAnsiTheme="minorEastAsia"/>
                <w:szCs w:val="21"/>
              </w:rPr>
              <w:t>2023-05-12</w:t>
            </w:r>
          </w:p>
        </w:tc>
      </w:tr>
      <w:tr w:rsidR="00D37C06" w:rsidRPr="006E46ED" w14:paraId="36EAFCB8" w14:textId="77777777">
        <w:trPr>
          <w:trHeight w:val="20"/>
        </w:trPr>
        <w:tc>
          <w:tcPr>
            <w:tcW w:w="1985" w:type="dxa"/>
            <w:vMerge/>
          </w:tcPr>
          <w:p w14:paraId="36AA0ECA" w14:textId="77777777" w:rsidR="00D37C06" w:rsidRPr="006E46ED" w:rsidRDefault="00D37C06">
            <w:pPr>
              <w:pStyle w:val="aa"/>
              <w:spacing w:line="360" w:lineRule="exact"/>
              <w:ind w:firstLineChars="0" w:firstLine="0"/>
              <w:rPr>
                <w:rFonts w:asciiTheme="minorEastAsia" w:hAnsiTheme="minorEastAsia"/>
                <w:szCs w:val="21"/>
              </w:rPr>
            </w:pPr>
          </w:p>
        </w:tc>
        <w:tc>
          <w:tcPr>
            <w:tcW w:w="2977" w:type="dxa"/>
            <w:vMerge/>
          </w:tcPr>
          <w:p w14:paraId="35063AC4" w14:textId="77777777" w:rsidR="00D37C06" w:rsidRPr="006E46ED" w:rsidRDefault="00D37C06">
            <w:pPr>
              <w:pStyle w:val="aa"/>
              <w:spacing w:line="360" w:lineRule="exact"/>
              <w:ind w:firstLineChars="0" w:firstLine="0"/>
              <w:rPr>
                <w:rFonts w:asciiTheme="minorEastAsia" w:hAnsiTheme="minorEastAsia"/>
                <w:szCs w:val="21"/>
              </w:rPr>
            </w:pPr>
          </w:p>
        </w:tc>
        <w:tc>
          <w:tcPr>
            <w:tcW w:w="2551" w:type="dxa"/>
          </w:tcPr>
          <w:p w14:paraId="4B0953CF" w14:textId="77777777" w:rsidR="00D37C06" w:rsidRPr="006E46ED" w:rsidRDefault="005471A5">
            <w:pPr>
              <w:pStyle w:val="aa"/>
              <w:spacing w:line="360" w:lineRule="exact"/>
              <w:ind w:firstLineChars="0" w:firstLine="0"/>
              <w:rPr>
                <w:rFonts w:asciiTheme="minorEastAsia" w:hAnsiTheme="minorEastAsia"/>
                <w:szCs w:val="21"/>
              </w:rPr>
            </w:pPr>
            <w:r w:rsidRPr="006E46ED">
              <w:rPr>
                <w:rFonts w:asciiTheme="minorEastAsia" w:hAnsiTheme="minorEastAsia" w:hint="eastAsia"/>
                <w:szCs w:val="21"/>
              </w:rPr>
              <w:t>证券从业日期</w:t>
            </w:r>
          </w:p>
        </w:tc>
        <w:tc>
          <w:tcPr>
            <w:tcW w:w="2552" w:type="dxa"/>
          </w:tcPr>
          <w:p w14:paraId="3FE1078A" w14:textId="7DC73629" w:rsidR="00D37C06" w:rsidRPr="006E46ED" w:rsidRDefault="00AA6E55">
            <w:pPr>
              <w:pStyle w:val="aa"/>
              <w:spacing w:line="360" w:lineRule="exact"/>
              <w:ind w:firstLineChars="0" w:firstLine="0"/>
              <w:rPr>
                <w:rFonts w:asciiTheme="minorEastAsia" w:hAnsiTheme="minorEastAsia"/>
                <w:szCs w:val="21"/>
              </w:rPr>
            </w:pPr>
            <w:r w:rsidRPr="006E46ED">
              <w:rPr>
                <w:rFonts w:asciiTheme="minorEastAsia" w:hAnsiTheme="minorEastAsia"/>
                <w:szCs w:val="21"/>
              </w:rPr>
              <w:t>2019</w:t>
            </w:r>
            <w:r w:rsidRPr="006E46ED">
              <w:rPr>
                <w:rFonts w:asciiTheme="minorEastAsia" w:hAnsiTheme="minorEastAsia" w:hint="eastAsia"/>
                <w:szCs w:val="21"/>
              </w:rPr>
              <w:t>-0</w:t>
            </w:r>
            <w:r w:rsidRPr="006E46ED">
              <w:rPr>
                <w:rFonts w:asciiTheme="minorEastAsia" w:hAnsiTheme="minorEastAsia"/>
                <w:szCs w:val="21"/>
              </w:rPr>
              <w:t>7</w:t>
            </w:r>
            <w:r w:rsidRPr="006E46ED">
              <w:rPr>
                <w:rFonts w:asciiTheme="minorEastAsia" w:hAnsiTheme="minorEastAsia" w:hint="eastAsia"/>
                <w:szCs w:val="21"/>
              </w:rPr>
              <w:t>-</w:t>
            </w:r>
            <w:r w:rsidRPr="006E46ED">
              <w:rPr>
                <w:rFonts w:asciiTheme="minorEastAsia" w:hAnsiTheme="minorEastAsia"/>
                <w:szCs w:val="21"/>
              </w:rPr>
              <w:t>01</w:t>
            </w:r>
          </w:p>
        </w:tc>
      </w:tr>
    </w:tbl>
    <w:p w14:paraId="6FEDF289" w14:textId="77777777" w:rsidR="00D37C06" w:rsidRPr="006E46ED" w:rsidRDefault="00D37C06">
      <w:pPr>
        <w:spacing w:line="340" w:lineRule="exact"/>
        <w:rPr>
          <w:rFonts w:asciiTheme="minorEastAsia" w:hAnsiTheme="minorEastAsia"/>
          <w:b/>
          <w:szCs w:val="21"/>
        </w:rPr>
      </w:pPr>
    </w:p>
    <w:p w14:paraId="167E6DDB" w14:textId="77777777" w:rsidR="00D37C06" w:rsidRPr="006E46ED" w:rsidRDefault="005471A5">
      <w:pPr>
        <w:spacing w:line="340" w:lineRule="exact"/>
        <w:rPr>
          <w:rFonts w:asciiTheme="minorEastAsia" w:hAnsiTheme="minorEastAsia"/>
          <w:b/>
          <w:szCs w:val="21"/>
        </w:rPr>
      </w:pPr>
      <w:r w:rsidRPr="006E46ED">
        <w:rPr>
          <w:rFonts w:asciiTheme="minorEastAsia" w:hAnsiTheme="minorEastAsia"/>
          <w:b/>
          <w:szCs w:val="21"/>
        </w:rPr>
        <w:t>二</w:t>
      </w:r>
      <w:r w:rsidRPr="006E46ED">
        <w:rPr>
          <w:rFonts w:asciiTheme="minorEastAsia" w:hAnsiTheme="minorEastAsia" w:hint="eastAsia"/>
          <w:b/>
          <w:szCs w:val="21"/>
        </w:rPr>
        <w:t>、基金投资与净值表现</w:t>
      </w:r>
    </w:p>
    <w:p w14:paraId="0B49163F" w14:textId="77777777" w:rsidR="00D37C06" w:rsidRPr="006E46ED" w:rsidRDefault="005471A5">
      <w:pPr>
        <w:spacing w:line="340" w:lineRule="exact"/>
        <w:rPr>
          <w:rFonts w:asciiTheme="minorEastAsia" w:hAnsiTheme="minorEastAsia"/>
          <w:b/>
          <w:szCs w:val="21"/>
        </w:rPr>
      </w:pPr>
      <w:r w:rsidRPr="006E46ED">
        <w:rPr>
          <w:rFonts w:asciiTheme="minorEastAsia" w:hAnsiTheme="minorEastAsia" w:hint="eastAsia"/>
          <w:b/>
          <w:szCs w:val="21"/>
        </w:rPr>
        <w:t>（一）投资目标与投资策略</w:t>
      </w:r>
    </w:p>
    <w:p w14:paraId="0DE71E65" w14:textId="77777777" w:rsidR="00D37C06" w:rsidRPr="006E46ED" w:rsidRDefault="005471A5">
      <w:pPr>
        <w:spacing w:line="340" w:lineRule="exact"/>
        <w:contextualSpacing/>
        <w:rPr>
          <w:rFonts w:asciiTheme="minorEastAsia" w:hAnsiTheme="minorEastAsia"/>
          <w:szCs w:val="21"/>
        </w:rPr>
      </w:pPr>
      <w:r w:rsidRPr="006E46ED">
        <w:rPr>
          <w:rFonts w:asciiTheme="minorEastAsia" w:hAnsiTheme="minorEastAsia"/>
          <w:szCs w:val="21"/>
        </w:rPr>
        <w:t>详见</w:t>
      </w:r>
      <w:r w:rsidRPr="006E46ED">
        <w:rPr>
          <w:rFonts w:asciiTheme="minorEastAsia" w:hAnsiTheme="minorEastAsia" w:hint="eastAsia"/>
          <w:szCs w:val="21"/>
        </w:rPr>
        <w:t>《东方阿尔法瑞丰混合型发起式证券投资基金招募说明书》第九部分“基金的投资”。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D37C06" w:rsidRPr="006E46ED" w14:paraId="2E63F4AC" w14:textId="77777777">
        <w:tc>
          <w:tcPr>
            <w:tcW w:w="1940" w:type="dxa"/>
          </w:tcPr>
          <w:p w14:paraId="7685C24F" w14:textId="77777777" w:rsidR="00D37C06" w:rsidRPr="006E46ED" w:rsidRDefault="005471A5">
            <w:pPr>
              <w:spacing w:line="360" w:lineRule="exact"/>
              <w:rPr>
                <w:rFonts w:asciiTheme="minorEastAsia" w:hAnsiTheme="minorEastAsia"/>
                <w:b/>
                <w:szCs w:val="21"/>
              </w:rPr>
            </w:pPr>
            <w:r w:rsidRPr="006E46ED">
              <w:rPr>
                <w:rFonts w:asciiTheme="minorEastAsia" w:hAnsiTheme="minorEastAsia" w:hint="eastAsia"/>
                <w:b/>
                <w:szCs w:val="21"/>
              </w:rPr>
              <w:t>投资目标</w:t>
            </w:r>
          </w:p>
        </w:tc>
        <w:tc>
          <w:tcPr>
            <w:tcW w:w="7924" w:type="dxa"/>
          </w:tcPr>
          <w:p w14:paraId="047C44B1" w14:textId="77777777" w:rsidR="00D37C06" w:rsidRPr="006E46ED" w:rsidRDefault="005471A5">
            <w:pPr>
              <w:spacing w:line="360" w:lineRule="exact"/>
              <w:rPr>
                <w:rFonts w:asciiTheme="minorEastAsia" w:hAnsiTheme="minorEastAsia"/>
                <w:bCs/>
                <w:szCs w:val="21"/>
              </w:rPr>
            </w:pPr>
            <w:r w:rsidRPr="006E46ED">
              <w:rPr>
                <w:rFonts w:asciiTheme="minorEastAsia" w:hAnsiTheme="minorEastAsia" w:hint="eastAsia"/>
                <w:bCs/>
                <w:szCs w:val="21"/>
              </w:rPr>
              <w:t>本基金在严格控制风险的基础之上，通过深入研究、优选个股、主动的投资管理方式力求实现组合资产的稳健增值。</w:t>
            </w:r>
          </w:p>
        </w:tc>
      </w:tr>
      <w:tr w:rsidR="00D37C06" w:rsidRPr="006E46ED" w14:paraId="3AA53CA8" w14:textId="77777777">
        <w:tc>
          <w:tcPr>
            <w:tcW w:w="1940" w:type="dxa"/>
          </w:tcPr>
          <w:p w14:paraId="4BAE3111" w14:textId="77777777" w:rsidR="00D37C06" w:rsidRPr="006E46ED" w:rsidRDefault="005471A5">
            <w:pPr>
              <w:spacing w:line="360" w:lineRule="exact"/>
              <w:rPr>
                <w:rFonts w:asciiTheme="minorEastAsia" w:hAnsiTheme="minorEastAsia"/>
                <w:b/>
                <w:szCs w:val="21"/>
              </w:rPr>
            </w:pPr>
            <w:r w:rsidRPr="006E46ED">
              <w:rPr>
                <w:rFonts w:asciiTheme="minorEastAsia" w:hAnsiTheme="minorEastAsia" w:hint="eastAsia"/>
                <w:b/>
                <w:szCs w:val="21"/>
              </w:rPr>
              <w:t>投资范围</w:t>
            </w:r>
          </w:p>
        </w:tc>
        <w:tc>
          <w:tcPr>
            <w:tcW w:w="7924" w:type="dxa"/>
          </w:tcPr>
          <w:p w14:paraId="4E562B24" w14:textId="41B7376E" w:rsidR="00D37C06" w:rsidRPr="006E46ED" w:rsidRDefault="00BB27F2" w:rsidP="009A63EB">
            <w:pPr>
              <w:spacing w:line="360" w:lineRule="exact"/>
              <w:ind w:firstLineChars="200" w:firstLine="420"/>
              <w:rPr>
                <w:rFonts w:asciiTheme="minorEastAsia" w:hAnsiTheme="minorEastAsia"/>
                <w:bCs/>
                <w:szCs w:val="21"/>
              </w:rPr>
            </w:pPr>
            <w:r w:rsidRPr="006E46ED">
              <w:rPr>
                <w:rFonts w:asciiTheme="minorEastAsia" w:hAnsi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6E46ED">
              <w:rPr>
                <w:rFonts w:asciiTheme="minorEastAsia" w:hAnsiTheme="minorEastAsia" w:hint="eastAsia"/>
                <w:bCs/>
                <w:szCs w:val="21"/>
              </w:rPr>
              <w:t>通股票</w:t>
            </w:r>
            <w:proofErr w:type="gramEnd"/>
            <w:r w:rsidRPr="006E46ED">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6E46ED">
              <w:rPr>
                <w:rFonts w:asciiTheme="minorEastAsia" w:hAnsiTheme="minorEastAsia" w:hint="eastAsia"/>
                <w:bCs/>
                <w:szCs w:val="21"/>
              </w:rPr>
              <w:t>的纯债部分</w:t>
            </w:r>
            <w:proofErr w:type="gramEnd"/>
            <w:r w:rsidRPr="006E46ED">
              <w:rPr>
                <w:rFonts w:asciiTheme="minorEastAsia" w:hAnsiTheme="minorEastAsia" w:hint="eastAsia"/>
                <w:bCs/>
                <w:szCs w:val="21"/>
              </w:rPr>
              <w:t>、可交换债、央行票据、中期票据、公开发行的证券公司短期公司债券、短期融资</w:t>
            </w:r>
            <w:proofErr w:type="gramStart"/>
            <w:r w:rsidRPr="006E46ED">
              <w:rPr>
                <w:rFonts w:asciiTheme="minorEastAsia" w:hAnsiTheme="minorEastAsia" w:hint="eastAsia"/>
                <w:bCs/>
                <w:szCs w:val="21"/>
              </w:rPr>
              <w:t>券</w:t>
            </w:r>
            <w:proofErr w:type="gramEnd"/>
            <w:r w:rsidRPr="006E46ED">
              <w:rPr>
                <w:rFonts w:asciiTheme="minorEastAsia" w:hAnsiTheme="minorEastAsia" w:hint="eastAsia"/>
                <w:bCs/>
                <w:szCs w:val="21"/>
              </w:rPr>
              <w:t>、超短期融资</w:t>
            </w:r>
            <w:proofErr w:type="gramStart"/>
            <w:r w:rsidRPr="006E46ED">
              <w:rPr>
                <w:rFonts w:asciiTheme="minorEastAsia" w:hAnsiTheme="minorEastAsia" w:hint="eastAsia"/>
                <w:bCs/>
                <w:szCs w:val="21"/>
              </w:rPr>
              <w:t>券</w:t>
            </w:r>
            <w:proofErr w:type="gramEnd"/>
            <w:r w:rsidRPr="006E46ED">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sidR="005471A5" w:rsidRPr="006E46ED">
              <w:rPr>
                <w:rFonts w:asciiTheme="minorEastAsia" w:hAnsiTheme="minorEastAsia" w:hint="eastAsia"/>
                <w:bCs/>
                <w:szCs w:val="21"/>
              </w:rPr>
              <w:t>如法律法规或监管机构以后允许基金投资其他品种，基金管理人在履行适当程序后，可以将其纳入投资范围。</w:t>
            </w:r>
          </w:p>
          <w:p w14:paraId="3C9EFEE4" w14:textId="5514FEB2" w:rsidR="00D37C06" w:rsidRPr="006E46ED" w:rsidRDefault="005471A5" w:rsidP="009A63EB">
            <w:pPr>
              <w:spacing w:line="360" w:lineRule="exact"/>
              <w:ind w:firstLineChars="200" w:firstLine="420"/>
              <w:rPr>
                <w:rFonts w:asciiTheme="minorEastAsia" w:hAnsiTheme="minorEastAsia"/>
                <w:bCs/>
                <w:szCs w:val="21"/>
              </w:rPr>
            </w:pPr>
            <w:r w:rsidRPr="006E46ED">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6E46ED">
              <w:rPr>
                <w:rFonts w:asciiTheme="minorEastAsia" w:hAnsiTheme="minorEastAsia" w:hint="eastAsia"/>
                <w:bCs/>
                <w:szCs w:val="21"/>
              </w:rPr>
              <w:t>通股票</w:t>
            </w:r>
            <w:proofErr w:type="gramEnd"/>
            <w:r w:rsidRPr="006E46ED">
              <w:rPr>
                <w:rFonts w:asciiTheme="minorEastAsia" w:hAnsiTheme="minorEastAsia" w:hint="eastAsia"/>
                <w:bCs/>
                <w:szCs w:val="21"/>
              </w:rPr>
              <w:t>及深港通股票）的投资比例不超过股票资产的50%。本基金每个交易日日终在扣除股指期货、国债期货及股票期权合约需</w:t>
            </w:r>
            <w:r w:rsidRPr="006E46ED">
              <w:rPr>
                <w:rFonts w:asciiTheme="minorEastAsia" w:hAnsiTheme="minorEastAsia" w:hint="eastAsia"/>
                <w:bCs/>
                <w:szCs w:val="21"/>
              </w:rPr>
              <w:lastRenderedPageBreak/>
              <w:t>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D37C06" w:rsidRPr="006E46ED" w14:paraId="43EFB32C" w14:textId="77777777">
        <w:tc>
          <w:tcPr>
            <w:tcW w:w="1940" w:type="dxa"/>
          </w:tcPr>
          <w:p w14:paraId="7014CBF9" w14:textId="77777777" w:rsidR="00D37C06" w:rsidRPr="006E46ED" w:rsidRDefault="005471A5">
            <w:pPr>
              <w:spacing w:line="360" w:lineRule="exact"/>
              <w:rPr>
                <w:rFonts w:asciiTheme="minorEastAsia" w:hAnsiTheme="minorEastAsia"/>
                <w:b/>
                <w:szCs w:val="21"/>
              </w:rPr>
            </w:pPr>
            <w:r w:rsidRPr="006E46ED">
              <w:rPr>
                <w:rFonts w:asciiTheme="minorEastAsia" w:hAnsiTheme="minorEastAsia" w:hint="eastAsia"/>
                <w:b/>
                <w:szCs w:val="21"/>
              </w:rPr>
              <w:lastRenderedPageBreak/>
              <w:t>主要投资策略</w:t>
            </w:r>
          </w:p>
        </w:tc>
        <w:tc>
          <w:tcPr>
            <w:tcW w:w="7924" w:type="dxa"/>
          </w:tcPr>
          <w:p w14:paraId="68E21294" w14:textId="7B057293" w:rsidR="00D37C06" w:rsidRPr="006E46ED" w:rsidRDefault="005471A5" w:rsidP="00F47823">
            <w:pPr>
              <w:spacing w:line="360" w:lineRule="exact"/>
              <w:ind w:firstLineChars="200" w:firstLine="420"/>
              <w:rPr>
                <w:rFonts w:asciiTheme="minorEastAsia" w:hAnsiTheme="minorEastAsia"/>
                <w:bCs/>
                <w:szCs w:val="21"/>
              </w:rPr>
            </w:pPr>
            <w:r w:rsidRPr="006E46ED">
              <w:rPr>
                <w:rFonts w:asciiTheme="minorEastAsia" w:hAnsiTheme="minorEastAsia" w:hint="eastAsia"/>
                <w:bCs/>
                <w:szCs w:val="21"/>
              </w:rPr>
              <w:t>基金基于宏观经济研究，确定大类资产配置比例；通过上市公司基本面分析，主要采用优选个股的主动投资策略，获取超额收益。优选个股是指积极、深入、全面地了解上市公司基本面，动态评估公司价值</w:t>
            </w:r>
            <w:r w:rsidR="00CB592C" w:rsidRPr="006E46ED">
              <w:rPr>
                <w:rFonts w:asciiTheme="minorEastAsia" w:hAnsiTheme="minorEastAsia" w:hint="eastAsia"/>
                <w:bCs/>
                <w:szCs w:val="21"/>
              </w:rPr>
              <w:t>。</w:t>
            </w:r>
            <w:r w:rsidRPr="006E46ED">
              <w:rPr>
                <w:rFonts w:asciiTheme="minorEastAsia" w:hAnsiTheme="minorEastAsia" w:hint="eastAsia"/>
                <w:bCs/>
                <w:szCs w:val="21"/>
              </w:rPr>
              <w:t>当股价低于合理价值区域时，买入并持有；在股价回复到合理价值的过程中，分享股价提升带来的超额收益。</w:t>
            </w:r>
          </w:p>
        </w:tc>
      </w:tr>
      <w:tr w:rsidR="00D37C06" w:rsidRPr="006E46ED" w14:paraId="5FE98677" w14:textId="77777777">
        <w:tc>
          <w:tcPr>
            <w:tcW w:w="1940" w:type="dxa"/>
          </w:tcPr>
          <w:p w14:paraId="5DB97F0A" w14:textId="77777777" w:rsidR="00D37C06" w:rsidRPr="006E46ED" w:rsidRDefault="005471A5">
            <w:pPr>
              <w:spacing w:line="360" w:lineRule="exact"/>
              <w:rPr>
                <w:rFonts w:asciiTheme="minorEastAsia" w:hAnsiTheme="minorEastAsia"/>
                <w:b/>
                <w:szCs w:val="21"/>
              </w:rPr>
            </w:pPr>
            <w:r w:rsidRPr="006E46ED">
              <w:rPr>
                <w:rFonts w:asciiTheme="minorEastAsia" w:hAnsiTheme="minorEastAsia" w:hint="eastAsia"/>
                <w:b/>
                <w:szCs w:val="21"/>
              </w:rPr>
              <w:t>业绩比较基准</w:t>
            </w:r>
          </w:p>
        </w:tc>
        <w:tc>
          <w:tcPr>
            <w:tcW w:w="7924" w:type="dxa"/>
          </w:tcPr>
          <w:p w14:paraId="304B9D97" w14:textId="77777777" w:rsidR="00D37C06" w:rsidRPr="006E46ED" w:rsidRDefault="005471A5">
            <w:pPr>
              <w:spacing w:line="360" w:lineRule="exact"/>
              <w:rPr>
                <w:rFonts w:asciiTheme="minorEastAsia" w:hAnsiTheme="minorEastAsia"/>
                <w:szCs w:val="21"/>
              </w:rPr>
            </w:pPr>
            <w:r w:rsidRPr="006E46ED">
              <w:rPr>
                <w:rFonts w:asciiTheme="minorEastAsia" w:hAnsiTheme="minorEastAsia" w:hint="eastAsia"/>
                <w:szCs w:val="21"/>
              </w:rPr>
              <w:t>中证800指数收益率×60%+中证综合债券指数收益率×20%+恒生指数收益率×20%</w:t>
            </w:r>
          </w:p>
        </w:tc>
      </w:tr>
      <w:tr w:rsidR="00D37C06" w:rsidRPr="006E46ED" w14:paraId="567491AC" w14:textId="77777777">
        <w:tc>
          <w:tcPr>
            <w:tcW w:w="1940" w:type="dxa"/>
          </w:tcPr>
          <w:p w14:paraId="1CD8708E" w14:textId="77777777" w:rsidR="00D37C06" w:rsidRPr="006E46ED" w:rsidRDefault="005471A5">
            <w:pPr>
              <w:spacing w:line="360" w:lineRule="exact"/>
              <w:rPr>
                <w:rFonts w:asciiTheme="minorEastAsia" w:hAnsiTheme="minorEastAsia"/>
                <w:b/>
                <w:szCs w:val="21"/>
              </w:rPr>
            </w:pPr>
            <w:r w:rsidRPr="006E46ED">
              <w:rPr>
                <w:rFonts w:asciiTheme="minorEastAsia" w:hAnsiTheme="minorEastAsia" w:hint="eastAsia"/>
                <w:b/>
                <w:szCs w:val="21"/>
              </w:rPr>
              <w:t>风险收益特征</w:t>
            </w:r>
          </w:p>
        </w:tc>
        <w:tc>
          <w:tcPr>
            <w:tcW w:w="7924" w:type="dxa"/>
          </w:tcPr>
          <w:p w14:paraId="025D7595" w14:textId="171E5074" w:rsidR="00D37C06" w:rsidRPr="006E46ED" w:rsidRDefault="00CB592C" w:rsidP="00F47823">
            <w:pPr>
              <w:spacing w:line="360" w:lineRule="exact"/>
              <w:ind w:firstLineChars="200" w:firstLine="420"/>
              <w:rPr>
                <w:rFonts w:asciiTheme="minorEastAsia" w:hAnsiTheme="minorEastAsia"/>
                <w:bCs/>
                <w:szCs w:val="21"/>
              </w:rPr>
            </w:pPr>
            <w:r w:rsidRPr="006E46ED">
              <w:rPr>
                <w:rFonts w:asciiTheme="minorEastAsia" w:hAnsiTheme="minorEastAsia" w:hint="eastAsia"/>
                <w:bCs/>
                <w:szCs w:val="21"/>
              </w:rPr>
              <w:t>本基金为混合型基金，其预期收益和风险高于货币型基金、债券型基金。</w:t>
            </w:r>
            <w:r w:rsidR="00AA6E55" w:rsidRPr="006E46ED">
              <w:rPr>
                <w:rFonts w:asciiTheme="minorEastAsia" w:hAnsiTheme="minorEastAsia" w:hint="eastAsia"/>
                <w:bCs/>
                <w:szCs w:val="21"/>
              </w:rPr>
              <w:t>本基金如果投资港股通标的股票，需承担汇率风险以及境外市场的风险。</w:t>
            </w:r>
          </w:p>
        </w:tc>
      </w:tr>
    </w:tbl>
    <w:p w14:paraId="51054455" w14:textId="0D7270CA" w:rsidR="00D37C06" w:rsidRPr="006E46ED" w:rsidRDefault="006E46ED">
      <w:pPr>
        <w:spacing w:line="340" w:lineRule="exact"/>
        <w:contextualSpacing/>
        <w:rPr>
          <w:rFonts w:asciiTheme="minorEastAsia" w:hAnsiTheme="minorEastAsia"/>
          <w:szCs w:val="21"/>
        </w:rPr>
      </w:pPr>
      <w:r w:rsidRPr="006E46ED">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A5D9F90" w14:textId="77777777" w:rsidR="006E46ED" w:rsidRPr="006E46ED" w:rsidRDefault="006E46ED">
      <w:pPr>
        <w:spacing w:line="340" w:lineRule="exact"/>
        <w:contextualSpacing/>
        <w:rPr>
          <w:rFonts w:asciiTheme="minorEastAsia" w:hAnsiTheme="minorEastAsia"/>
          <w:b/>
          <w:szCs w:val="21"/>
        </w:rPr>
      </w:pPr>
    </w:p>
    <w:p w14:paraId="521B6158"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（二）投资组合资产配置图表/区域配置图表</w:t>
      </w:r>
    </w:p>
    <w:p w14:paraId="7F725F75"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投资组合资产配置图表</w:t>
      </w:r>
    </w:p>
    <w:p w14:paraId="61C4FA52" w14:textId="77777777" w:rsidR="00D37C06" w:rsidRPr="006E46ED" w:rsidRDefault="005471A5">
      <w:pPr>
        <w:spacing w:line="340" w:lineRule="exact"/>
        <w:contextualSpacing/>
        <w:rPr>
          <w:rFonts w:asciiTheme="minorEastAsia" w:hAnsiTheme="minorEastAsia"/>
          <w:szCs w:val="21"/>
        </w:rPr>
      </w:pPr>
      <w:r w:rsidRPr="006E46ED">
        <w:rPr>
          <w:rFonts w:asciiTheme="minorEastAsia" w:hAnsiTheme="minorEastAsia" w:hint="eastAsia"/>
          <w:szCs w:val="21"/>
        </w:rPr>
        <w:t>无</w:t>
      </w:r>
    </w:p>
    <w:p w14:paraId="5CC40E81" w14:textId="77777777" w:rsidR="00D37C06" w:rsidRPr="006E46ED" w:rsidRDefault="00D37C06">
      <w:pPr>
        <w:spacing w:line="340" w:lineRule="exact"/>
        <w:contextualSpacing/>
        <w:rPr>
          <w:rFonts w:asciiTheme="minorEastAsia" w:hAnsiTheme="minorEastAsia"/>
          <w:szCs w:val="21"/>
        </w:rPr>
      </w:pPr>
    </w:p>
    <w:p w14:paraId="686D4839"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（三）自基金合同生效以来基金每年的净值增长率与同期业绩比较基准的比较图</w:t>
      </w:r>
    </w:p>
    <w:p w14:paraId="437898FC" w14:textId="77777777" w:rsidR="00D37C06" w:rsidRPr="006E46ED" w:rsidRDefault="005471A5">
      <w:pPr>
        <w:spacing w:line="340" w:lineRule="exact"/>
        <w:contextualSpacing/>
        <w:rPr>
          <w:rFonts w:asciiTheme="minorEastAsia" w:hAnsiTheme="minorEastAsia"/>
          <w:szCs w:val="21"/>
        </w:rPr>
      </w:pPr>
      <w:r w:rsidRPr="006E46ED">
        <w:rPr>
          <w:rFonts w:asciiTheme="minorEastAsia" w:hAnsiTheme="minorEastAsia" w:hint="eastAsia"/>
          <w:szCs w:val="21"/>
        </w:rPr>
        <w:t>无</w:t>
      </w:r>
    </w:p>
    <w:p w14:paraId="0491D311" w14:textId="77777777" w:rsidR="00D37C06" w:rsidRPr="006E46ED" w:rsidRDefault="00D37C06">
      <w:pPr>
        <w:spacing w:line="340" w:lineRule="exact"/>
        <w:contextualSpacing/>
        <w:rPr>
          <w:rFonts w:asciiTheme="minorEastAsia" w:hAnsiTheme="minorEastAsia"/>
          <w:b/>
          <w:szCs w:val="21"/>
        </w:rPr>
      </w:pPr>
    </w:p>
    <w:p w14:paraId="695AECA5"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b/>
          <w:szCs w:val="21"/>
        </w:rPr>
        <w:t>三</w:t>
      </w:r>
      <w:r w:rsidRPr="006E46ED">
        <w:rPr>
          <w:rFonts w:asciiTheme="minorEastAsia" w:hAnsiTheme="minorEastAsia" w:hint="eastAsia"/>
          <w:b/>
          <w:szCs w:val="21"/>
        </w:rPr>
        <w:t>、</w:t>
      </w:r>
      <w:r w:rsidRPr="006E46ED">
        <w:rPr>
          <w:rFonts w:asciiTheme="minorEastAsia" w:hAnsiTheme="minorEastAsia"/>
          <w:b/>
          <w:szCs w:val="21"/>
        </w:rPr>
        <w:t>投资本基金涉及的费用</w:t>
      </w:r>
    </w:p>
    <w:p w14:paraId="60355BFE"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（一）基金销售相关费用</w:t>
      </w:r>
    </w:p>
    <w:p w14:paraId="7A17083F" w14:textId="2D8D5366"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以下费用在申购</w:t>
      </w:r>
      <w:r w:rsidRPr="006E46ED">
        <w:rPr>
          <w:rFonts w:asciiTheme="minorEastAsia" w:hAnsiTheme="minorEastAsia" w:hint="eastAsia"/>
          <w:szCs w:val="21"/>
        </w:rPr>
        <w:t>/赎回基金过程中收取：</w:t>
      </w:r>
    </w:p>
    <w:p w14:paraId="60A44515"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东方阿尔法瑞丰混合</w:t>
      </w:r>
      <w:r w:rsidRPr="006E46ED">
        <w:rPr>
          <w:rFonts w:asciiTheme="minorEastAsia" w:hAnsiTheme="minorEastAsia"/>
          <w:szCs w:val="21"/>
        </w:rPr>
        <w:t>A</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76"/>
        <w:gridCol w:w="8"/>
        <w:gridCol w:w="2126"/>
      </w:tblGrid>
      <w:tr w:rsidR="00D37C06" w:rsidRPr="006E46ED" w14:paraId="50D76C24" w14:textId="77777777">
        <w:tc>
          <w:tcPr>
            <w:tcW w:w="1984" w:type="dxa"/>
          </w:tcPr>
          <w:p w14:paraId="18FB1B8F"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费用类型</w:t>
            </w:r>
          </w:p>
        </w:tc>
        <w:tc>
          <w:tcPr>
            <w:tcW w:w="2411" w:type="dxa"/>
          </w:tcPr>
          <w:p w14:paraId="745D0A1F"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金额（M）/</w:t>
            </w:r>
          </w:p>
          <w:p w14:paraId="305A4AE9"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持有期间（N）</w:t>
            </w:r>
          </w:p>
        </w:tc>
        <w:tc>
          <w:tcPr>
            <w:tcW w:w="1984" w:type="dxa"/>
            <w:gridSpan w:val="2"/>
          </w:tcPr>
          <w:p w14:paraId="12F8AC08"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收费方式/费率</w:t>
            </w:r>
          </w:p>
        </w:tc>
        <w:tc>
          <w:tcPr>
            <w:tcW w:w="2126" w:type="dxa"/>
          </w:tcPr>
          <w:p w14:paraId="68EC6B25"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备注</w:t>
            </w:r>
          </w:p>
        </w:tc>
      </w:tr>
      <w:tr w:rsidR="00C44565" w:rsidRPr="006E46ED" w14:paraId="5DDECBA2" w14:textId="77777777">
        <w:trPr>
          <w:trHeight w:val="20"/>
        </w:trPr>
        <w:tc>
          <w:tcPr>
            <w:tcW w:w="1984" w:type="dxa"/>
            <w:vMerge w:val="restart"/>
          </w:tcPr>
          <w:p w14:paraId="4D11C43D" w14:textId="77777777" w:rsidR="00C44565" w:rsidRPr="006E46ED" w:rsidRDefault="00C44565">
            <w:pPr>
              <w:spacing w:line="340" w:lineRule="exact"/>
              <w:contextualSpacing/>
              <w:rPr>
                <w:rFonts w:asciiTheme="minorEastAsia" w:hAnsiTheme="minorEastAsia"/>
                <w:b/>
                <w:szCs w:val="21"/>
              </w:rPr>
            </w:pPr>
            <w:r w:rsidRPr="006E46ED">
              <w:rPr>
                <w:rFonts w:asciiTheme="minorEastAsia" w:hAnsiTheme="minorEastAsia" w:hint="eastAsia"/>
                <w:b/>
                <w:szCs w:val="21"/>
              </w:rPr>
              <w:t>申购费（前收费）</w:t>
            </w:r>
          </w:p>
          <w:p w14:paraId="6780B606" w14:textId="27151377" w:rsidR="00C44565" w:rsidRPr="006E46ED" w:rsidRDefault="00C44565" w:rsidP="00023CD4">
            <w:pPr>
              <w:spacing w:line="340" w:lineRule="exact"/>
              <w:contextualSpacing/>
              <w:rPr>
                <w:rFonts w:asciiTheme="minorEastAsia" w:hAnsiTheme="minorEastAsia"/>
                <w:b/>
                <w:szCs w:val="21"/>
              </w:rPr>
            </w:pPr>
          </w:p>
        </w:tc>
        <w:tc>
          <w:tcPr>
            <w:tcW w:w="2411" w:type="dxa"/>
          </w:tcPr>
          <w:p w14:paraId="4FD40235"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M＜</w:t>
            </w:r>
            <w:r w:rsidRPr="006E46ED">
              <w:rPr>
                <w:rFonts w:asciiTheme="minorEastAsia" w:hAnsiTheme="minorEastAsia"/>
                <w:szCs w:val="21"/>
              </w:rPr>
              <w:t>100</w:t>
            </w:r>
            <w:r w:rsidRPr="006E46ED">
              <w:rPr>
                <w:rFonts w:asciiTheme="minorEastAsia" w:hAnsiTheme="minorEastAsia" w:hint="eastAsia"/>
                <w:szCs w:val="21"/>
              </w:rPr>
              <w:t>万</w:t>
            </w:r>
          </w:p>
        </w:tc>
        <w:tc>
          <w:tcPr>
            <w:tcW w:w="1984" w:type="dxa"/>
            <w:gridSpan w:val="2"/>
          </w:tcPr>
          <w:p w14:paraId="13659907"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1.50%</w:t>
            </w:r>
          </w:p>
        </w:tc>
        <w:tc>
          <w:tcPr>
            <w:tcW w:w="2126" w:type="dxa"/>
          </w:tcPr>
          <w:p w14:paraId="3BAC58FE"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非养老金客户</w:t>
            </w:r>
          </w:p>
        </w:tc>
      </w:tr>
      <w:tr w:rsidR="00C44565" w:rsidRPr="006E46ED" w14:paraId="27A02DEC" w14:textId="77777777">
        <w:trPr>
          <w:trHeight w:val="20"/>
        </w:trPr>
        <w:tc>
          <w:tcPr>
            <w:tcW w:w="1984" w:type="dxa"/>
            <w:vMerge/>
          </w:tcPr>
          <w:p w14:paraId="4736EB01" w14:textId="1EA2227C" w:rsidR="00C44565" w:rsidRPr="006E46ED" w:rsidRDefault="00C44565" w:rsidP="00023CD4">
            <w:pPr>
              <w:spacing w:line="340" w:lineRule="exact"/>
              <w:contextualSpacing/>
              <w:rPr>
                <w:rFonts w:asciiTheme="minorEastAsia" w:hAnsiTheme="minorEastAsia"/>
                <w:b/>
                <w:szCs w:val="21"/>
              </w:rPr>
            </w:pPr>
          </w:p>
        </w:tc>
        <w:tc>
          <w:tcPr>
            <w:tcW w:w="2411" w:type="dxa"/>
          </w:tcPr>
          <w:p w14:paraId="20E26772"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szCs w:val="21"/>
              </w:rPr>
              <w:t>100</w:t>
            </w:r>
            <w:r w:rsidRPr="006E46ED">
              <w:rPr>
                <w:rFonts w:asciiTheme="minorEastAsia" w:hAnsiTheme="minorEastAsia" w:hint="eastAsia"/>
                <w:szCs w:val="21"/>
              </w:rPr>
              <w:t>万≤M＜</w:t>
            </w:r>
            <w:r w:rsidRPr="006E46ED">
              <w:rPr>
                <w:rFonts w:asciiTheme="minorEastAsia" w:hAnsiTheme="minorEastAsia"/>
                <w:szCs w:val="21"/>
              </w:rPr>
              <w:t>500</w:t>
            </w:r>
            <w:r w:rsidRPr="006E46ED">
              <w:rPr>
                <w:rFonts w:asciiTheme="minorEastAsia" w:hAnsiTheme="minorEastAsia" w:hint="eastAsia"/>
                <w:szCs w:val="21"/>
              </w:rPr>
              <w:t>万</w:t>
            </w:r>
          </w:p>
        </w:tc>
        <w:tc>
          <w:tcPr>
            <w:tcW w:w="1984" w:type="dxa"/>
            <w:gridSpan w:val="2"/>
          </w:tcPr>
          <w:p w14:paraId="28A75157"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1.00%</w:t>
            </w:r>
          </w:p>
        </w:tc>
        <w:tc>
          <w:tcPr>
            <w:tcW w:w="2126" w:type="dxa"/>
          </w:tcPr>
          <w:p w14:paraId="35E830AD"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非养老金客户</w:t>
            </w:r>
          </w:p>
        </w:tc>
      </w:tr>
      <w:tr w:rsidR="00C44565" w:rsidRPr="006E46ED" w14:paraId="79BB41E3" w14:textId="77777777">
        <w:trPr>
          <w:trHeight w:val="20"/>
        </w:trPr>
        <w:tc>
          <w:tcPr>
            <w:tcW w:w="1984" w:type="dxa"/>
            <w:vMerge/>
          </w:tcPr>
          <w:p w14:paraId="470E7EBE" w14:textId="71BC005C" w:rsidR="00C44565" w:rsidRPr="006E46ED" w:rsidRDefault="00C44565" w:rsidP="00023CD4">
            <w:pPr>
              <w:spacing w:line="340" w:lineRule="exact"/>
              <w:contextualSpacing/>
              <w:rPr>
                <w:rFonts w:asciiTheme="minorEastAsia" w:hAnsiTheme="minorEastAsia"/>
                <w:b/>
                <w:szCs w:val="21"/>
              </w:rPr>
            </w:pPr>
          </w:p>
        </w:tc>
        <w:tc>
          <w:tcPr>
            <w:tcW w:w="2411" w:type="dxa"/>
          </w:tcPr>
          <w:p w14:paraId="122107DB"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M≥</w:t>
            </w:r>
            <w:r w:rsidRPr="006E46ED">
              <w:rPr>
                <w:rFonts w:asciiTheme="minorEastAsia" w:hAnsiTheme="minorEastAsia"/>
                <w:szCs w:val="21"/>
              </w:rPr>
              <w:t>500</w:t>
            </w:r>
            <w:r w:rsidRPr="006E46ED">
              <w:rPr>
                <w:rFonts w:asciiTheme="minorEastAsia" w:hAnsiTheme="minorEastAsia" w:hint="eastAsia"/>
                <w:szCs w:val="21"/>
              </w:rPr>
              <w:t>万</w:t>
            </w:r>
          </w:p>
        </w:tc>
        <w:tc>
          <w:tcPr>
            <w:tcW w:w="1984" w:type="dxa"/>
            <w:gridSpan w:val="2"/>
          </w:tcPr>
          <w:p w14:paraId="18372551"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1000元/笔</w:t>
            </w:r>
          </w:p>
        </w:tc>
        <w:tc>
          <w:tcPr>
            <w:tcW w:w="2126" w:type="dxa"/>
          </w:tcPr>
          <w:p w14:paraId="169F5637"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非养老金客户</w:t>
            </w:r>
          </w:p>
        </w:tc>
      </w:tr>
      <w:tr w:rsidR="00C44565" w:rsidRPr="006E46ED" w14:paraId="0F4B1B4F" w14:textId="77777777">
        <w:trPr>
          <w:trHeight w:val="20"/>
        </w:trPr>
        <w:tc>
          <w:tcPr>
            <w:tcW w:w="1984" w:type="dxa"/>
            <w:vMerge/>
          </w:tcPr>
          <w:p w14:paraId="1FDB8D5D" w14:textId="5BAD33D0" w:rsidR="00C44565" w:rsidRPr="006E46ED" w:rsidRDefault="00C44565">
            <w:pPr>
              <w:spacing w:line="340" w:lineRule="exact"/>
              <w:contextualSpacing/>
              <w:rPr>
                <w:rFonts w:asciiTheme="minorEastAsia" w:hAnsiTheme="minorEastAsia"/>
                <w:b/>
                <w:szCs w:val="21"/>
              </w:rPr>
            </w:pPr>
          </w:p>
        </w:tc>
        <w:tc>
          <w:tcPr>
            <w:tcW w:w="2411" w:type="dxa"/>
          </w:tcPr>
          <w:p w14:paraId="44CAF1D7"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M＜</w:t>
            </w:r>
            <w:r w:rsidRPr="006E46ED">
              <w:rPr>
                <w:rFonts w:asciiTheme="minorEastAsia" w:hAnsiTheme="minorEastAsia"/>
                <w:szCs w:val="21"/>
              </w:rPr>
              <w:t>100</w:t>
            </w:r>
            <w:r w:rsidRPr="006E46ED">
              <w:rPr>
                <w:rFonts w:asciiTheme="minorEastAsia" w:hAnsiTheme="minorEastAsia" w:hint="eastAsia"/>
                <w:szCs w:val="21"/>
              </w:rPr>
              <w:t>万</w:t>
            </w:r>
          </w:p>
        </w:tc>
        <w:tc>
          <w:tcPr>
            <w:tcW w:w="1984" w:type="dxa"/>
            <w:gridSpan w:val="2"/>
          </w:tcPr>
          <w:p w14:paraId="38ACA2C4"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szCs w:val="21"/>
              </w:rPr>
              <w:t>0.</w:t>
            </w:r>
            <w:r w:rsidRPr="006E46ED">
              <w:rPr>
                <w:rFonts w:asciiTheme="minorEastAsia" w:hAnsiTheme="minorEastAsia" w:hint="eastAsia"/>
                <w:szCs w:val="21"/>
              </w:rPr>
              <w:t>15%</w:t>
            </w:r>
          </w:p>
        </w:tc>
        <w:tc>
          <w:tcPr>
            <w:tcW w:w="2126" w:type="dxa"/>
          </w:tcPr>
          <w:p w14:paraId="51ED14FD"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养老金客户</w:t>
            </w:r>
          </w:p>
        </w:tc>
      </w:tr>
      <w:tr w:rsidR="00C44565" w:rsidRPr="006E46ED" w14:paraId="74455855" w14:textId="77777777">
        <w:trPr>
          <w:trHeight w:val="20"/>
        </w:trPr>
        <w:tc>
          <w:tcPr>
            <w:tcW w:w="1984" w:type="dxa"/>
            <w:vMerge/>
          </w:tcPr>
          <w:p w14:paraId="4F6360AB" w14:textId="77777777" w:rsidR="00C44565" w:rsidRPr="006E46ED" w:rsidRDefault="00C44565">
            <w:pPr>
              <w:spacing w:line="340" w:lineRule="exact"/>
              <w:contextualSpacing/>
              <w:rPr>
                <w:rFonts w:asciiTheme="minorEastAsia" w:hAnsiTheme="minorEastAsia"/>
                <w:b/>
                <w:szCs w:val="21"/>
              </w:rPr>
            </w:pPr>
          </w:p>
        </w:tc>
        <w:tc>
          <w:tcPr>
            <w:tcW w:w="2411" w:type="dxa"/>
          </w:tcPr>
          <w:p w14:paraId="32805817"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szCs w:val="21"/>
              </w:rPr>
              <w:t>100</w:t>
            </w:r>
            <w:r w:rsidRPr="006E46ED">
              <w:rPr>
                <w:rFonts w:asciiTheme="minorEastAsia" w:hAnsiTheme="minorEastAsia" w:hint="eastAsia"/>
                <w:szCs w:val="21"/>
              </w:rPr>
              <w:t>万≤M＜</w:t>
            </w:r>
            <w:r w:rsidRPr="006E46ED">
              <w:rPr>
                <w:rFonts w:asciiTheme="minorEastAsia" w:hAnsiTheme="minorEastAsia"/>
                <w:szCs w:val="21"/>
              </w:rPr>
              <w:t>500</w:t>
            </w:r>
            <w:r w:rsidRPr="006E46ED">
              <w:rPr>
                <w:rFonts w:asciiTheme="minorEastAsia" w:hAnsiTheme="minorEastAsia" w:hint="eastAsia"/>
                <w:szCs w:val="21"/>
              </w:rPr>
              <w:t>万</w:t>
            </w:r>
          </w:p>
        </w:tc>
        <w:tc>
          <w:tcPr>
            <w:tcW w:w="1984" w:type="dxa"/>
            <w:gridSpan w:val="2"/>
          </w:tcPr>
          <w:p w14:paraId="00C02747"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szCs w:val="21"/>
              </w:rPr>
              <w:t>0.</w:t>
            </w:r>
            <w:r w:rsidRPr="006E46ED">
              <w:rPr>
                <w:rFonts w:asciiTheme="minorEastAsia" w:hAnsiTheme="minorEastAsia" w:hint="eastAsia"/>
                <w:szCs w:val="21"/>
              </w:rPr>
              <w:t>10%</w:t>
            </w:r>
          </w:p>
        </w:tc>
        <w:tc>
          <w:tcPr>
            <w:tcW w:w="2126" w:type="dxa"/>
          </w:tcPr>
          <w:p w14:paraId="66AF75C1"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养老金客户</w:t>
            </w:r>
          </w:p>
        </w:tc>
      </w:tr>
      <w:tr w:rsidR="00C44565" w:rsidRPr="006E46ED" w14:paraId="25913E98" w14:textId="77777777">
        <w:trPr>
          <w:trHeight w:val="20"/>
        </w:trPr>
        <w:tc>
          <w:tcPr>
            <w:tcW w:w="1984" w:type="dxa"/>
            <w:vMerge/>
          </w:tcPr>
          <w:p w14:paraId="235ABDC6" w14:textId="77777777" w:rsidR="00C44565" w:rsidRPr="006E46ED" w:rsidRDefault="00C44565">
            <w:pPr>
              <w:spacing w:line="340" w:lineRule="exact"/>
              <w:contextualSpacing/>
              <w:rPr>
                <w:rFonts w:asciiTheme="minorEastAsia" w:hAnsiTheme="minorEastAsia"/>
                <w:b/>
                <w:szCs w:val="21"/>
              </w:rPr>
            </w:pPr>
          </w:p>
        </w:tc>
        <w:tc>
          <w:tcPr>
            <w:tcW w:w="2411" w:type="dxa"/>
          </w:tcPr>
          <w:p w14:paraId="6B2F295F"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M≥</w:t>
            </w:r>
            <w:r w:rsidRPr="006E46ED">
              <w:rPr>
                <w:rFonts w:asciiTheme="minorEastAsia" w:hAnsiTheme="minorEastAsia"/>
                <w:szCs w:val="21"/>
              </w:rPr>
              <w:t>500</w:t>
            </w:r>
            <w:r w:rsidRPr="006E46ED">
              <w:rPr>
                <w:rFonts w:asciiTheme="minorEastAsia" w:hAnsiTheme="minorEastAsia" w:hint="eastAsia"/>
                <w:szCs w:val="21"/>
              </w:rPr>
              <w:t>万</w:t>
            </w:r>
          </w:p>
        </w:tc>
        <w:tc>
          <w:tcPr>
            <w:tcW w:w="1984" w:type="dxa"/>
            <w:gridSpan w:val="2"/>
          </w:tcPr>
          <w:p w14:paraId="0B53168E"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1000元/笔</w:t>
            </w:r>
          </w:p>
        </w:tc>
        <w:tc>
          <w:tcPr>
            <w:tcW w:w="2126" w:type="dxa"/>
          </w:tcPr>
          <w:p w14:paraId="0D94EE93" w14:textId="77777777" w:rsidR="00C44565" w:rsidRPr="006E46ED" w:rsidRDefault="00C44565">
            <w:pPr>
              <w:spacing w:line="340" w:lineRule="exact"/>
              <w:contextualSpacing/>
              <w:rPr>
                <w:rFonts w:asciiTheme="minorEastAsia" w:hAnsiTheme="minorEastAsia"/>
                <w:szCs w:val="21"/>
              </w:rPr>
            </w:pPr>
            <w:r w:rsidRPr="006E46ED">
              <w:rPr>
                <w:rFonts w:asciiTheme="minorEastAsia" w:hAnsiTheme="minorEastAsia" w:hint="eastAsia"/>
                <w:szCs w:val="21"/>
              </w:rPr>
              <w:t>养老金客户</w:t>
            </w:r>
          </w:p>
        </w:tc>
      </w:tr>
      <w:tr w:rsidR="006673CF" w:rsidRPr="006E46ED" w14:paraId="02F833A9" w14:textId="0E5EE202" w:rsidTr="002B0F81">
        <w:trPr>
          <w:trHeight w:val="144"/>
        </w:trPr>
        <w:tc>
          <w:tcPr>
            <w:tcW w:w="1984" w:type="dxa"/>
            <w:vMerge w:val="restart"/>
          </w:tcPr>
          <w:p w14:paraId="501B01BE" w14:textId="77777777" w:rsidR="006673CF" w:rsidRPr="006E46ED" w:rsidRDefault="006673CF" w:rsidP="00F95242">
            <w:pPr>
              <w:spacing w:line="340" w:lineRule="exact"/>
              <w:contextualSpacing/>
              <w:rPr>
                <w:rFonts w:asciiTheme="minorEastAsia" w:hAnsiTheme="minorEastAsia"/>
                <w:b/>
                <w:szCs w:val="21"/>
              </w:rPr>
            </w:pPr>
            <w:r w:rsidRPr="006E46ED">
              <w:rPr>
                <w:rFonts w:asciiTheme="minorEastAsia" w:hAnsiTheme="minorEastAsia" w:hint="eastAsia"/>
                <w:b/>
                <w:szCs w:val="21"/>
              </w:rPr>
              <w:t>赎回费</w:t>
            </w:r>
          </w:p>
        </w:tc>
        <w:tc>
          <w:tcPr>
            <w:tcW w:w="2411" w:type="dxa"/>
          </w:tcPr>
          <w:p w14:paraId="23049C98" w14:textId="7384E67E"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0＜N＜7天</w:t>
            </w:r>
          </w:p>
        </w:tc>
        <w:tc>
          <w:tcPr>
            <w:tcW w:w="1976" w:type="dxa"/>
          </w:tcPr>
          <w:p w14:paraId="2F7A3786" w14:textId="4C8B742C"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1.50%</w:t>
            </w:r>
          </w:p>
        </w:tc>
        <w:tc>
          <w:tcPr>
            <w:tcW w:w="2134" w:type="dxa"/>
            <w:gridSpan w:val="2"/>
          </w:tcPr>
          <w:p w14:paraId="69111C73" w14:textId="77777777" w:rsidR="006673CF" w:rsidRPr="006E46ED" w:rsidRDefault="006673CF" w:rsidP="00F95242">
            <w:pPr>
              <w:contextualSpacing/>
              <w:rPr>
                <w:rFonts w:asciiTheme="minorEastAsia" w:hAnsiTheme="minorEastAsia"/>
                <w:szCs w:val="21"/>
              </w:rPr>
            </w:pPr>
          </w:p>
        </w:tc>
      </w:tr>
      <w:tr w:rsidR="006673CF" w:rsidRPr="006E46ED" w14:paraId="740DFE5D" w14:textId="30C8FE15" w:rsidTr="002B0F81">
        <w:trPr>
          <w:trHeight w:val="151"/>
        </w:trPr>
        <w:tc>
          <w:tcPr>
            <w:tcW w:w="1984" w:type="dxa"/>
            <w:vMerge/>
          </w:tcPr>
          <w:p w14:paraId="34BE26DD" w14:textId="77777777" w:rsidR="006673CF" w:rsidRPr="006E46ED" w:rsidRDefault="006673CF" w:rsidP="00F95242">
            <w:pPr>
              <w:spacing w:line="340" w:lineRule="exact"/>
              <w:contextualSpacing/>
              <w:rPr>
                <w:rFonts w:asciiTheme="minorEastAsia" w:hAnsiTheme="minorEastAsia"/>
                <w:b/>
                <w:szCs w:val="21"/>
              </w:rPr>
            </w:pPr>
          </w:p>
        </w:tc>
        <w:tc>
          <w:tcPr>
            <w:tcW w:w="2411" w:type="dxa"/>
          </w:tcPr>
          <w:p w14:paraId="7DE5CD9D" w14:textId="1CF49454"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7天≤N＜30天</w:t>
            </w:r>
          </w:p>
        </w:tc>
        <w:tc>
          <w:tcPr>
            <w:tcW w:w="1976" w:type="dxa"/>
          </w:tcPr>
          <w:p w14:paraId="1628474C" w14:textId="6DEB13E9"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0.75%</w:t>
            </w:r>
          </w:p>
        </w:tc>
        <w:tc>
          <w:tcPr>
            <w:tcW w:w="2134" w:type="dxa"/>
            <w:gridSpan w:val="2"/>
          </w:tcPr>
          <w:p w14:paraId="29C82FBE" w14:textId="77777777" w:rsidR="006673CF" w:rsidRPr="006E46ED" w:rsidRDefault="006673CF" w:rsidP="00F95242">
            <w:pPr>
              <w:contextualSpacing/>
              <w:rPr>
                <w:rFonts w:asciiTheme="minorEastAsia" w:hAnsiTheme="minorEastAsia"/>
                <w:szCs w:val="21"/>
              </w:rPr>
            </w:pPr>
          </w:p>
        </w:tc>
      </w:tr>
      <w:tr w:rsidR="006673CF" w:rsidRPr="006E46ED" w14:paraId="0A10B265" w14:textId="38C7041F" w:rsidTr="002B0F81">
        <w:trPr>
          <w:trHeight w:val="234"/>
        </w:trPr>
        <w:tc>
          <w:tcPr>
            <w:tcW w:w="1984" w:type="dxa"/>
            <w:vMerge/>
          </w:tcPr>
          <w:p w14:paraId="1B8784F8" w14:textId="77777777" w:rsidR="006673CF" w:rsidRPr="006E46ED" w:rsidRDefault="006673CF" w:rsidP="00F95242">
            <w:pPr>
              <w:spacing w:line="340" w:lineRule="exact"/>
              <w:contextualSpacing/>
              <w:rPr>
                <w:rFonts w:asciiTheme="minorEastAsia" w:hAnsiTheme="minorEastAsia"/>
                <w:b/>
                <w:szCs w:val="21"/>
              </w:rPr>
            </w:pPr>
          </w:p>
        </w:tc>
        <w:tc>
          <w:tcPr>
            <w:tcW w:w="2411" w:type="dxa"/>
          </w:tcPr>
          <w:p w14:paraId="3904D94A" w14:textId="6E67B0BA"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30天≤N＜</w:t>
            </w:r>
            <w:r w:rsidRPr="006E46ED">
              <w:rPr>
                <w:rFonts w:asciiTheme="minorEastAsia" w:hAnsiTheme="minorEastAsia"/>
                <w:szCs w:val="21"/>
              </w:rPr>
              <w:t>365</w:t>
            </w:r>
            <w:r w:rsidRPr="006E46ED">
              <w:rPr>
                <w:rFonts w:asciiTheme="minorEastAsia" w:hAnsiTheme="minorEastAsia" w:hint="eastAsia"/>
                <w:szCs w:val="21"/>
              </w:rPr>
              <w:t>天</w:t>
            </w:r>
          </w:p>
        </w:tc>
        <w:tc>
          <w:tcPr>
            <w:tcW w:w="1976" w:type="dxa"/>
          </w:tcPr>
          <w:p w14:paraId="283FD93C" w14:textId="1AF3BCBE"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0.50%</w:t>
            </w:r>
          </w:p>
        </w:tc>
        <w:tc>
          <w:tcPr>
            <w:tcW w:w="2134" w:type="dxa"/>
            <w:gridSpan w:val="2"/>
          </w:tcPr>
          <w:p w14:paraId="45F5F473" w14:textId="77777777" w:rsidR="006673CF" w:rsidRPr="006E46ED" w:rsidRDefault="006673CF" w:rsidP="00F95242">
            <w:pPr>
              <w:contextualSpacing/>
              <w:rPr>
                <w:rFonts w:asciiTheme="minorEastAsia" w:hAnsiTheme="minorEastAsia"/>
                <w:szCs w:val="21"/>
              </w:rPr>
            </w:pPr>
          </w:p>
        </w:tc>
      </w:tr>
      <w:tr w:rsidR="006673CF" w:rsidRPr="006E46ED" w14:paraId="3AA2DE64" w14:textId="2D779022" w:rsidTr="006673CF">
        <w:trPr>
          <w:trHeight w:val="335"/>
        </w:trPr>
        <w:tc>
          <w:tcPr>
            <w:tcW w:w="1984" w:type="dxa"/>
            <w:vMerge/>
          </w:tcPr>
          <w:p w14:paraId="6B847CB8" w14:textId="77777777" w:rsidR="006673CF" w:rsidRPr="006E46ED" w:rsidRDefault="006673CF" w:rsidP="00F95242">
            <w:pPr>
              <w:spacing w:line="340" w:lineRule="exact"/>
              <w:contextualSpacing/>
              <w:rPr>
                <w:rFonts w:asciiTheme="minorEastAsia" w:hAnsiTheme="minorEastAsia"/>
                <w:b/>
                <w:szCs w:val="21"/>
              </w:rPr>
            </w:pPr>
          </w:p>
        </w:tc>
        <w:tc>
          <w:tcPr>
            <w:tcW w:w="2411" w:type="dxa"/>
          </w:tcPr>
          <w:p w14:paraId="54B18E09" w14:textId="5ECC5F14"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365天≤N＜</w:t>
            </w:r>
            <w:r w:rsidRPr="006E46ED">
              <w:rPr>
                <w:rFonts w:asciiTheme="minorEastAsia" w:hAnsiTheme="minorEastAsia"/>
                <w:szCs w:val="21"/>
              </w:rPr>
              <w:t>730</w:t>
            </w:r>
            <w:r w:rsidRPr="006E46ED">
              <w:rPr>
                <w:rFonts w:asciiTheme="minorEastAsia" w:hAnsiTheme="minorEastAsia" w:hint="eastAsia"/>
                <w:szCs w:val="21"/>
              </w:rPr>
              <w:t>天</w:t>
            </w:r>
          </w:p>
        </w:tc>
        <w:tc>
          <w:tcPr>
            <w:tcW w:w="1976" w:type="dxa"/>
          </w:tcPr>
          <w:p w14:paraId="4D893663" w14:textId="6F0CE1AC" w:rsidR="006673CF" w:rsidRPr="006E46ED" w:rsidRDefault="006673CF" w:rsidP="00F95242">
            <w:pPr>
              <w:contextualSpacing/>
              <w:rPr>
                <w:rFonts w:asciiTheme="minorEastAsia" w:hAnsiTheme="minorEastAsia"/>
                <w:szCs w:val="21"/>
              </w:rPr>
            </w:pPr>
            <w:r w:rsidRPr="006E46ED">
              <w:rPr>
                <w:rFonts w:asciiTheme="minorEastAsia" w:hAnsiTheme="minorEastAsia"/>
                <w:szCs w:val="21"/>
              </w:rPr>
              <w:t>0.25</w:t>
            </w:r>
            <w:r w:rsidRPr="006E46ED">
              <w:rPr>
                <w:rFonts w:asciiTheme="minorEastAsia" w:hAnsiTheme="minorEastAsia" w:hint="eastAsia"/>
                <w:szCs w:val="21"/>
              </w:rPr>
              <w:t>%</w:t>
            </w:r>
          </w:p>
        </w:tc>
        <w:tc>
          <w:tcPr>
            <w:tcW w:w="2134" w:type="dxa"/>
            <w:gridSpan w:val="2"/>
          </w:tcPr>
          <w:p w14:paraId="5EE13C58" w14:textId="77777777" w:rsidR="006673CF" w:rsidRPr="006E46ED" w:rsidRDefault="006673CF" w:rsidP="00F95242">
            <w:pPr>
              <w:contextualSpacing/>
              <w:rPr>
                <w:rFonts w:asciiTheme="minorEastAsia" w:hAnsiTheme="minorEastAsia"/>
                <w:szCs w:val="21"/>
              </w:rPr>
            </w:pPr>
          </w:p>
        </w:tc>
      </w:tr>
      <w:tr w:rsidR="006673CF" w:rsidRPr="006E46ED" w14:paraId="2E674480" w14:textId="77777777" w:rsidTr="00E00038">
        <w:trPr>
          <w:trHeight w:val="274"/>
        </w:trPr>
        <w:tc>
          <w:tcPr>
            <w:tcW w:w="1984" w:type="dxa"/>
            <w:vMerge/>
          </w:tcPr>
          <w:p w14:paraId="02DE6203" w14:textId="77777777" w:rsidR="006673CF" w:rsidRPr="006E46ED" w:rsidRDefault="006673CF" w:rsidP="00F95242">
            <w:pPr>
              <w:spacing w:line="340" w:lineRule="exact"/>
              <w:contextualSpacing/>
              <w:rPr>
                <w:rFonts w:asciiTheme="minorEastAsia" w:hAnsiTheme="minorEastAsia"/>
                <w:b/>
                <w:szCs w:val="21"/>
              </w:rPr>
            </w:pPr>
          </w:p>
        </w:tc>
        <w:tc>
          <w:tcPr>
            <w:tcW w:w="2411" w:type="dxa"/>
          </w:tcPr>
          <w:p w14:paraId="2862C896" w14:textId="21397119" w:rsidR="006673CF" w:rsidRPr="006E46ED" w:rsidRDefault="006673CF" w:rsidP="00F95242">
            <w:pPr>
              <w:contextualSpacing/>
              <w:rPr>
                <w:rFonts w:asciiTheme="minorEastAsia" w:hAnsiTheme="minorEastAsia"/>
                <w:szCs w:val="21"/>
              </w:rPr>
            </w:pPr>
            <w:r w:rsidRPr="006E46ED">
              <w:rPr>
                <w:rFonts w:asciiTheme="minorEastAsia" w:hAnsiTheme="minorEastAsia"/>
                <w:szCs w:val="21"/>
              </w:rPr>
              <w:t>730</w:t>
            </w:r>
            <w:r w:rsidRPr="006E46ED">
              <w:rPr>
                <w:rFonts w:asciiTheme="minorEastAsia" w:hAnsiTheme="minorEastAsia" w:hint="eastAsia"/>
                <w:szCs w:val="21"/>
              </w:rPr>
              <w:t>天≤N</w:t>
            </w:r>
          </w:p>
        </w:tc>
        <w:tc>
          <w:tcPr>
            <w:tcW w:w="1976" w:type="dxa"/>
          </w:tcPr>
          <w:p w14:paraId="70B5DE82" w14:textId="34E509E1" w:rsidR="006673CF" w:rsidRPr="006E46ED" w:rsidRDefault="006673CF" w:rsidP="00F95242">
            <w:pPr>
              <w:contextualSpacing/>
              <w:rPr>
                <w:rFonts w:asciiTheme="minorEastAsia" w:hAnsiTheme="minorEastAsia"/>
                <w:szCs w:val="21"/>
              </w:rPr>
            </w:pPr>
            <w:r w:rsidRPr="006E46ED">
              <w:rPr>
                <w:rFonts w:asciiTheme="minorEastAsia" w:hAnsiTheme="minorEastAsia" w:hint="eastAsia"/>
                <w:szCs w:val="21"/>
              </w:rPr>
              <w:t>0</w:t>
            </w:r>
            <w:r w:rsidRPr="006E46ED">
              <w:rPr>
                <w:rFonts w:asciiTheme="minorEastAsia" w:hAnsiTheme="minorEastAsia"/>
                <w:szCs w:val="21"/>
              </w:rPr>
              <w:t>.00</w:t>
            </w:r>
            <w:r w:rsidRPr="006E46ED">
              <w:rPr>
                <w:rFonts w:asciiTheme="minorEastAsia" w:hAnsiTheme="minorEastAsia" w:hint="eastAsia"/>
                <w:szCs w:val="21"/>
              </w:rPr>
              <w:t>%</w:t>
            </w:r>
          </w:p>
        </w:tc>
        <w:tc>
          <w:tcPr>
            <w:tcW w:w="2134" w:type="dxa"/>
            <w:gridSpan w:val="2"/>
          </w:tcPr>
          <w:p w14:paraId="0C262507" w14:textId="77777777" w:rsidR="006673CF" w:rsidRPr="006E46ED" w:rsidRDefault="006673CF" w:rsidP="00F95242">
            <w:pPr>
              <w:contextualSpacing/>
              <w:rPr>
                <w:rFonts w:asciiTheme="minorEastAsia" w:hAnsiTheme="minorEastAsia"/>
                <w:szCs w:val="21"/>
              </w:rPr>
            </w:pPr>
          </w:p>
        </w:tc>
      </w:tr>
    </w:tbl>
    <w:p w14:paraId="6D7237F6" w14:textId="1514C26C" w:rsidR="00F95242" w:rsidRPr="006E46ED" w:rsidRDefault="005471A5" w:rsidP="00F95242">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注:投资人重复申购，须按每次申购所对应的费率档次分别计费。</w:t>
      </w:r>
    </w:p>
    <w:p w14:paraId="51D9DAD1" w14:textId="77777777" w:rsidR="00F95242" w:rsidRPr="006E46ED" w:rsidRDefault="00F95242">
      <w:pPr>
        <w:spacing w:line="340" w:lineRule="exact"/>
        <w:contextualSpacing/>
        <w:rPr>
          <w:rFonts w:asciiTheme="minorEastAsia" w:hAnsiTheme="minorEastAsia"/>
          <w:b/>
          <w:szCs w:val="21"/>
        </w:rPr>
      </w:pPr>
    </w:p>
    <w:p w14:paraId="3D9FE7B8"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（二）基金运作相关费用</w:t>
      </w:r>
    </w:p>
    <w:p w14:paraId="3A895726" w14:textId="77777777" w:rsidR="00D37C06" w:rsidRPr="006E46ED" w:rsidRDefault="005471A5">
      <w:pPr>
        <w:spacing w:line="340" w:lineRule="exact"/>
        <w:ind w:firstLineChars="200" w:firstLine="422"/>
        <w:contextualSpacing/>
        <w:rPr>
          <w:rFonts w:asciiTheme="minorEastAsia" w:hAnsiTheme="minorEastAsia"/>
          <w:b/>
          <w:szCs w:val="21"/>
        </w:rPr>
      </w:pPr>
      <w:r w:rsidRPr="006E46ED">
        <w:rPr>
          <w:rFonts w:asciiTheme="minorEastAsia" w:hAnsiTheme="minorEastAsia"/>
          <w:b/>
          <w:szCs w:val="21"/>
        </w:rPr>
        <w:lastRenderedPageBreak/>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37C06" w:rsidRPr="006E46ED" w14:paraId="2FBF86DE" w14:textId="77777777">
        <w:tc>
          <w:tcPr>
            <w:tcW w:w="2268" w:type="dxa"/>
          </w:tcPr>
          <w:p w14:paraId="41E12B24"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费用类型</w:t>
            </w:r>
          </w:p>
        </w:tc>
        <w:tc>
          <w:tcPr>
            <w:tcW w:w="6946" w:type="dxa"/>
          </w:tcPr>
          <w:p w14:paraId="7640D1DA" w14:textId="77777777" w:rsidR="00D37C06" w:rsidRPr="006E46ED" w:rsidRDefault="005471A5">
            <w:pPr>
              <w:spacing w:line="340" w:lineRule="exact"/>
              <w:contextualSpacing/>
              <w:jc w:val="center"/>
              <w:rPr>
                <w:rFonts w:asciiTheme="minorEastAsia" w:hAnsiTheme="minorEastAsia"/>
                <w:b/>
                <w:szCs w:val="21"/>
              </w:rPr>
            </w:pPr>
            <w:r w:rsidRPr="006E46ED">
              <w:rPr>
                <w:rFonts w:asciiTheme="minorEastAsia" w:hAnsiTheme="minorEastAsia" w:hint="eastAsia"/>
                <w:b/>
                <w:szCs w:val="21"/>
              </w:rPr>
              <w:t>收费方式/年费率</w:t>
            </w:r>
          </w:p>
        </w:tc>
      </w:tr>
      <w:tr w:rsidR="00D37C06" w:rsidRPr="006E46ED" w14:paraId="42920009" w14:textId="77777777">
        <w:tc>
          <w:tcPr>
            <w:tcW w:w="2268" w:type="dxa"/>
          </w:tcPr>
          <w:p w14:paraId="61A5B110"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管理费</w:t>
            </w:r>
          </w:p>
        </w:tc>
        <w:tc>
          <w:tcPr>
            <w:tcW w:w="6946" w:type="dxa"/>
          </w:tcPr>
          <w:p w14:paraId="2C86986B" w14:textId="68A54166" w:rsidR="00D37C06" w:rsidRPr="006E46ED" w:rsidRDefault="005471A5" w:rsidP="000B2A92">
            <w:pPr>
              <w:spacing w:line="340" w:lineRule="exact"/>
              <w:contextualSpacing/>
              <w:rPr>
                <w:rFonts w:asciiTheme="minorEastAsia" w:hAnsiTheme="minorEastAsia"/>
                <w:szCs w:val="21"/>
              </w:rPr>
            </w:pPr>
            <w:r w:rsidRPr="006E46ED">
              <w:rPr>
                <w:rFonts w:asciiTheme="minorEastAsia" w:hAnsiTheme="minorEastAsia" w:hint="eastAsia"/>
                <w:szCs w:val="21"/>
              </w:rPr>
              <w:t>固定费率1.</w:t>
            </w:r>
            <w:r w:rsidR="00793422" w:rsidRPr="006E46ED">
              <w:rPr>
                <w:rFonts w:asciiTheme="minorEastAsia" w:hAnsiTheme="minorEastAsia"/>
                <w:szCs w:val="21"/>
              </w:rPr>
              <w:t>20</w:t>
            </w:r>
            <w:r w:rsidRPr="006E46ED">
              <w:rPr>
                <w:rFonts w:asciiTheme="minorEastAsia" w:hAnsiTheme="minorEastAsia" w:hint="eastAsia"/>
                <w:szCs w:val="21"/>
              </w:rPr>
              <w:t>%</w:t>
            </w:r>
          </w:p>
        </w:tc>
      </w:tr>
      <w:tr w:rsidR="00D37C06" w:rsidRPr="006E46ED" w14:paraId="3DC8690C" w14:textId="77777777">
        <w:tc>
          <w:tcPr>
            <w:tcW w:w="2268" w:type="dxa"/>
          </w:tcPr>
          <w:p w14:paraId="761837D3"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托管费</w:t>
            </w:r>
          </w:p>
        </w:tc>
        <w:tc>
          <w:tcPr>
            <w:tcW w:w="6946" w:type="dxa"/>
          </w:tcPr>
          <w:p w14:paraId="1A22A2B3" w14:textId="26CAC344" w:rsidR="00D37C06" w:rsidRPr="006E46ED" w:rsidRDefault="005471A5" w:rsidP="000B2A92">
            <w:pPr>
              <w:spacing w:line="340" w:lineRule="exact"/>
              <w:contextualSpacing/>
              <w:rPr>
                <w:rFonts w:asciiTheme="minorEastAsia" w:hAnsiTheme="minorEastAsia"/>
                <w:szCs w:val="21"/>
              </w:rPr>
            </w:pPr>
            <w:r w:rsidRPr="006E46ED">
              <w:rPr>
                <w:rFonts w:asciiTheme="minorEastAsia" w:hAnsiTheme="minorEastAsia" w:hint="eastAsia"/>
                <w:szCs w:val="21"/>
              </w:rPr>
              <w:t>固定费率0.</w:t>
            </w:r>
            <w:r w:rsidR="000B2A92" w:rsidRPr="006E46ED">
              <w:rPr>
                <w:rFonts w:asciiTheme="minorEastAsia" w:hAnsiTheme="minorEastAsia" w:hint="eastAsia"/>
                <w:szCs w:val="21"/>
              </w:rPr>
              <w:t>2</w:t>
            </w:r>
            <w:r w:rsidR="000B2A92" w:rsidRPr="006E46ED">
              <w:rPr>
                <w:rFonts w:asciiTheme="minorEastAsia" w:hAnsiTheme="minorEastAsia"/>
                <w:szCs w:val="21"/>
              </w:rPr>
              <w:t>0</w:t>
            </w:r>
            <w:r w:rsidRPr="006E46ED">
              <w:rPr>
                <w:rFonts w:asciiTheme="minorEastAsia" w:hAnsiTheme="minorEastAsia" w:hint="eastAsia"/>
                <w:szCs w:val="21"/>
              </w:rPr>
              <w:t>%</w:t>
            </w:r>
          </w:p>
        </w:tc>
      </w:tr>
      <w:tr w:rsidR="00D37C06" w:rsidRPr="006E46ED" w14:paraId="24CA9D3D" w14:textId="77777777">
        <w:tc>
          <w:tcPr>
            <w:tcW w:w="2268" w:type="dxa"/>
          </w:tcPr>
          <w:p w14:paraId="4C72B7CB"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b/>
                <w:szCs w:val="21"/>
              </w:rPr>
              <w:t>其他费用</w:t>
            </w:r>
          </w:p>
        </w:tc>
        <w:tc>
          <w:tcPr>
            <w:tcW w:w="6946" w:type="dxa"/>
          </w:tcPr>
          <w:p w14:paraId="6801B6B1" w14:textId="77777777" w:rsidR="00D37C06" w:rsidRPr="006E46ED" w:rsidRDefault="005471A5">
            <w:pPr>
              <w:spacing w:line="340" w:lineRule="exact"/>
              <w:contextualSpacing/>
              <w:rPr>
                <w:rFonts w:asciiTheme="minorEastAsia" w:hAnsiTheme="minorEastAsia"/>
                <w:szCs w:val="21"/>
              </w:rPr>
            </w:pPr>
            <w:r w:rsidRPr="006E46ED">
              <w:rPr>
                <w:rFonts w:asciiTheme="minorEastAsia" w:hAnsiTheme="minorEastAsia" w:hint="eastAsia"/>
                <w:szCs w:val="21"/>
              </w:rPr>
              <w:t>《基金合同》生效后与基金相关的信息披露费用、会计师费、审计费、律师费、诉讼费和仲裁费等费用；基金份额持有人大会费用；基金的证券、期货</w:t>
            </w:r>
            <w:r w:rsidR="00CB592C" w:rsidRPr="006E46ED">
              <w:rPr>
                <w:rFonts w:asciiTheme="minorEastAsia" w:hAnsiTheme="minorEastAsia" w:hint="eastAsia"/>
                <w:szCs w:val="21"/>
              </w:rPr>
              <w:t>、期权</w:t>
            </w:r>
            <w:r w:rsidRPr="006E46ED">
              <w:rPr>
                <w:rFonts w:asciiTheme="minorEastAsia" w:hAnsiTheme="minorEastAsia" w:hint="eastAsia"/>
                <w:szCs w:val="21"/>
              </w:rPr>
              <w:t>交易费用；基金的银行汇划费用；基金相关的开户费用、账户维护费用；</w:t>
            </w:r>
            <w:r w:rsidR="00CB592C" w:rsidRPr="006E46ED">
              <w:rPr>
                <w:rFonts w:asciiTheme="minorEastAsia" w:hAnsiTheme="minorEastAsia" w:hint="eastAsia"/>
                <w:bCs/>
                <w:szCs w:val="21"/>
              </w:rPr>
              <w:t>基金投资港股通标的股票的合理费用；</w:t>
            </w:r>
            <w:r w:rsidRPr="006E46ED">
              <w:rPr>
                <w:rFonts w:asciiTheme="minorEastAsia" w:hAnsiTheme="minorEastAsia"/>
                <w:bCs/>
                <w:szCs w:val="21"/>
              </w:rPr>
              <w:t>按照国家有关规定和《基金合同》约定，可以在基金财产中列支的其他费用</w:t>
            </w:r>
            <w:r w:rsidRPr="006E46ED">
              <w:rPr>
                <w:rFonts w:asciiTheme="minorEastAsia" w:hAnsiTheme="minorEastAsia" w:hint="eastAsia"/>
                <w:bCs/>
                <w:szCs w:val="21"/>
              </w:rPr>
              <w:t>。</w:t>
            </w:r>
          </w:p>
        </w:tc>
      </w:tr>
    </w:tbl>
    <w:p w14:paraId="0BFEE715"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注：本基金交易证券、基金等产生的费用和税负，按实际发生额从基金资产扣除。</w:t>
      </w:r>
    </w:p>
    <w:p w14:paraId="4CF3D3C4" w14:textId="77777777" w:rsidR="00D37C06" w:rsidRPr="006E46ED" w:rsidRDefault="00D37C06">
      <w:pPr>
        <w:spacing w:line="340" w:lineRule="exact"/>
        <w:ind w:firstLineChars="200" w:firstLine="420"/>
        <w:contextualSpacing/>
        <w:rPr>
          <w:rFonts w:asciiTheme="minorEastAsia" w:hAnsiTheme="minorEastAsia"/>
          <w:szCs w:val="21"/>
        </w:rPr>
      </w:pPr>
    </w:p>
    <w:p w14:paraId="410FD674"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b/>
          <w:szCs w:val="21"/>
        </w:rPr>
        <w:t>四</w:t>
      </w:r>
      <w:r w:rsidRPr="006E46ED">
        <w:rPr>
          <w:rFonts w:asciiTheme="minorEastAsia" w:hAnsiTheme="minorEastAsia" w:hint="eastAsia"/>
          <w:b/>
          <w:szCs w:val="21"/>
        </w:rPr>
        <w:t>、</w:t>
      </w:r>
      <w:r w:rsidRPr="006E46ED">
        <w:rPr>
          <w:rFonts w:asciiTheme="minorEastAsia" w:hAnsiTheme="minorEastAsia"/>
          <w:b/>
          <w:szCs w:val="21"/>
        </w:rPr>
        <w:t>风险揭示与重要提示</w:t>
      </w:r>
    </w:p>
    <w:p w14:paraId="17A2E839"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（一）风险揭示</w:t>
      </w:r>
    </w:p>
    <w:p w14:paraId="5FB3A281"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本基金不提供任何保证。投资者可能损失本金。投资有风险，投资者购买基金时应认真阅读本基金的《招募说明书》等销售文件。</w:t>
      </w:r>
    </w:p>
    <w:p w14:paraId="096E19DD"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1、本基金特有风险</w:t>
      </w:r>
    </w:p>
    <w:p w14:paraId="5FE2F572"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（1）本基金</w:t>
      </w:r>
      <w:r w:rsidRPr="006E46ED">
        <w:rPr>
          <w:rFonts w:asciiTheme="minorEastAsia" w:hAnsiTheme="minorEastAsia" w:hint="eastAsia"/>
          <w:szCs w:val="21"/>
        </w:rPr>
        <w:t>为混合型基金，本基金</w:t>
      </w:r>
      <w:r w:rsidRPr="006E46ED">
        <w:rPr>
          <w:rFonts w:asciiTheme="minorEastAsia" w:hAnsiTheme="minorEastAsia"/>
          <w:szCs w:val="21"/>
        </w:rPr>
        <w:t>投资于股票的比例占基金资产的60%-95%，投资集中度比较明显，股票市场的价格波动可能会导致基金净值发生剧烈波动的风险。</w:t>
      </w:r>
    </w:p>
    <w:p w14:paraId="20EEFF2B" w14:textId="77777777" w:rsidR="00CB592C" w:rsidRPr="006E46ED" w:rsidRDefault="00CB592C" w:rsidP="00CB592C">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6E46ED">
        <w:rPr>
          <w:rFonts w:asciiTheme="minorEastAsia" w:hAnsiTheme="minorEastAsia"/>
          <w:szCs w:val="21"/>
        </w:rPr>
        <w:t>若基金</w:t>
      </w:r>
      <w:proofErr w:type="gramEnd"/>
      <w:r w:rsidRPr="006E46ED">
        <w:rPr>
          <w:rFonts w:asciiTheme="minorEastAsia" w:hAnsiTheme="minorEastAsia"/>
          <w:szCs w:val="21"/>
        </w:rPr>
        <w:t>资产净值低于2亿元，基金合同自动终止。因此，投资人将面对基金合同终止的不确定风险。</w:t>
      </w:r>
    </w:p>
    <w:p w14:paraId="0BBFC58E" w14:textId="1B0977D4"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w:t>
      </w:r>
      <w:r w:rsidR="00CB592C" w:rsidRPr="006E46ED">
        <w:rPr>
          <w:rFonts w:asciiTheme="minorEastAsia" w:hAnsiTheme="minorEastAsia"/>
          <w:szCs w:val="21"/>
        </w:rPr>
        <w:t>3</w:t>
      </w:r>
      <w:r w:rsidRPr="006E46ED">
        <w:rPr>
          <w:rFonts w:asciiTheme="minorEastAsia" w:hAnsiTheme="minorEastAsia" w:hint="eastAsia"/>
          <w:szCs w:val="21"/>
        </w:rPr>
        <w:t>）</w:t>
      </w:r>
      <w:r w:rsidRPr="006E46ED">
        <w:rPr>
          <w:rFonts w:asciiTheme="minorEastAsia" w:hAnsiTheme="minorEastAsia"/>
          <w:szCs w:val="21"/>
        </w:rPr>
        <w:t>本基金除了投资于A股市场优质企业外，还可在法律法规规定的范围内投资港股通标的股票，会面临港股</w:t>
      </w:r>
      <w:proofErr w:type="gramStart"/>
      <w:r w:rsidRPr="006E46ED">
        <w:rPr>
          <w:rFonts w:asciiTheme="minorEastAsia" w:hAnsiTheme="minorEastAsia"/>
          <w:szCs w:val="21"/>
        </w:rPr>
        <w:t>通机制</w:t>
      </w:r>
      <w:proofErr w:type="gramEnd"/>
      <w:r w:rsidRPr="006E46ED">
        <w:rPr>
          <w:rFonts w:asciiTheme="minorEastAsia" w:hAnsiTheme="minorEastAsia"/>
          <w:szCs w:val="21"/>
        </w:rPr>
        <w:t>下因投资环境、投资标的、市场制度以及交易规则等差异带来的特有风险。</w:t>
      </w:r>
    </w:p>
    <w:p w14:paraId="570A7D26" w14:textId="5546AE65"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w:t>
      </w:r>
      <w:r w:rsidR="00CB592C" w:rsidRPr="006E46ED">
        <w:rPr>
          <w:rFonts w:asciiTheme="minorEastAsia" w:hAnsiTheme="minorEastAsia"/>
          <w:szCs w:val="21"/>
        </w:rPr>
        <w:t>4</w:t>
      </w:r>
      <w:r w:rsidRPr="006E46ED">
        <w:rPr>
          <w:rFonts w:asciiTheme="minorEastAsia" w:hAnsiTheme="minorEastAsia"/>
          <w:szCs w:val="21"/>
        </w:rPr>
        <w:t>）本基金可投资</w:t>
      </w:r>
      <w:proofErr w:type="gramStart"/>
      <w:r w:rsidRPr="006E46ED">
        <w:rPr>
          <w:rFonts w:asciiTheme="minorEastAsia" w:hAnsiTheme="minorEastAsia"/>
          <w:szCs w:val="21"/>
        </w:rPr>
        <w:t>科创板</w:t>
      </w:r>
      <w:proofErr w:type="gramEnd"/>
      <w:r w:rsidRPr="006E46ED">
        <w:rPr>
          <w:rFonts w:asciiTheme="minorEastAsia" w:hAnsiTheme="minorEastAsia"/>
          <w:szCs w:val="21"/>
        </w:rPr>
        <w:t>上市交易股票，将承担因上市条件、交易规则、退市制度等差异带来的特有风险，包括流动性风险、退市风险、投资集中风险等。</w:t>
      </w:r>
    </w:p>
    <w:p w14:paraId="48700D38" w14:textId="139D433E" w:rsidR="00D37C06" w:rsidRPr="006E46ED" w:rsidRDefault="005471A5">
      <w:pPr>
        <w:spacing w:line="340" w:lineRule="exact"/>
        <w:ind w:firstLineChars="200" w:firstLine="420"/>
        <w:contextualSpacing/>
        <w:rPr>
          <w:rFonts w:asciiTheme="minorEastAsia" w:hAnsiTheme="minorEastAsia"/>
          <w:color w:val="000000" w:themeColor="text1"/>
          <w:szCs w:val="21"/>
        </w:rPr>
      </w:pPr>
      <w:r w:rsidRPr="006E46ED">
        <w:rPr>
          <w:rFonts w:asciiTheme="minorEastAsia" w:hAnsiTheme="minorEastAsia"/>
          <w:szCs w:val="21"/>
        </w:rPr>
        <w:t>（</w:t>
      </w:r>
      <w:r w:rsidR="00CB592C" w:rsidRPr="006E46ED">
        <w:rPr>
          <w:rFonts w:asciiTheme="minorEastAsia" w:hAnsiTheme="minorEastAsia"/>
          <w:szCs w:val="21"/>
        </w:rPr>
        <w:t>5</w:t>
      </w:r>
      <w:r w:rsidRPr="006E46ED">
        <w:rPr>
          <w:rFonts w:asciiTheme="minorEastAsia" w:hAnsiTheme="minorEastAsia"/>
          <w:szCs w:val="21"/>
        </w:rPr>
        <w:t>）</w:t>
      </w:r>
      <w:r w:rsidRPr="006E46ED">
        <w:rPr>
          <w:rFonts w:asciiTheme="minorEastAsia" w:hAnsiTheme="minorEastAsia" w:hint="eastAsia"/>
          <w:color w:val="000000" w:themeColor="text1"/>
          <w:szCs w:val="21"/>
        </w:rPr>
        <w:t>本基金可投资股指期货，可能会出现的风险</w:t>
      </w:r>
      <w:proofErr w:type="gramStart"/>
      <w:r w:rsidRPr="006E46ED">
        <w:rPr>
          <w:rFonts w:asciiTheme="minorEastAsia" w:hAnsiTheme="minorEastAsia" w:hint="eastAsia"/>
          <w:color w:val="000000" w:themeColor="text1"/>
          <w:szCs w:val="21"/>
        </w:rPr>
        <w:t>包括基差风险</w:t>
      </w:r>
      <w:proofErr w:type="gramEnd"/>
      <w:r w:rsidRPr="006E46ED">
        <w:rPr>
          <w:rFonts w:asciiTheme="minorEastAsia" w:hAnsiTheme="minorEastAsia" w:hint="eastAsia"/>
          <w:color w:val="000000" w:themeColor="text1"/>
          <w:szCs w:val="21"/>
        </w:rPr>
        <w:t>、合约品种差异造成的风险、标的物风险、衍生品模型风险等。</w:t>
      </w:r>
    </w:p>
    <w:p w14:paraId="0DB80533" w14:textId="1329603E"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w:t>
      </w:r>
      <w:r w:rsidR="00CB592C" w:rsidRPr="006E46ED">
        <w:rPr>
          <w:rFonts w:asciiTheme="minorEastAsia" w:hAnsiTheme="minorEastAsia"/>
          <w:szCs w:val="21"/>
        </w:rPr>
        <w:t>6</w:t>
      </w:r>
      <w:r w:rsidRPr="006E46ED">
        <w:rPr>
          <w:rFonts w:asciiTheme="minorEastAsia" w:hAnsiTheme="minorEastAsia"/>
          <w:szCs w:val="21"/>
        </w:rPr>
        <w:t>）本基金可投资国债期货，国债期货的风险主要包含市场风险、流动性风险、信用风险、合</w:t>
      </w:r>
      <w:proofErr w:type="gramStart"/>
      <w:r w:rsidRPr="006E46ED">
        <w:rPr>
          <w:rFonts w:asciiTheme="minorEastAsia" w:hAnsiTheme="minorEastAsia"/>
          <w:szCs w:val="21"/>
        </w:rPr>
        <w:t>规</w:t>
      </w:r>
      <w:proofErr w:type="gramEnd"/>
      <w:r w:rsidRPr="006E46ED">
        <w:rPr>
          <w:rFonts w:asciiTheme="minorEastAsia" w:hAnsiTheme="minorEastAsia"/>
          <w:szCs w:val="21"/>
        </w:rPr>
        <w:t>性风险以及国债期货实物交割风险等。</w:t>
      </w:r>
    </w:p>
    <w:p w14:paraId="67AC1F8F" w14:textId="355DDF46"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w:t>
      </w:r>
      <w:r w:rsidR="00CB592C" w:rsidRPr="006E46ED">
        <w:rPr>
          <w:rFonts w:asciiTheme="minorEastAsia" w:hAnsiTheme="minorEastAsia"/>
          <w:szCs w:val="21"/>
        </w:rPr>
        <w:t>7</w:t>
      </w:r>
      <w:r w:rsidRPr="006E46ED">
        <w:rPr>
          <w:rFonts w:asciiTheme="minorEastAsia" w:hAnsiTheme="minorEastAsia"/>
          <w:szCs w:val="21"/>
        </w:rPr>
        <w:t>）本基金可投资资产支持类证券，资产支持证券的风险主要包括信用风险、利率风险、流动性风险、提前偿付风险等。</w:t>
      </w:r>
    </w:p>
    <w:p w14:paraId="5143AD54" w14:textId="6D4B5579"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w:t>
      </w:r>
      <w:r w:rsidR="00CB592C" w:rsidRPr="006E46ED">
        <w:rPr>
          <w:rFonts w:asciiTheme="minorEastAsia" w:hAnsiTheme="minorEastAsia"/>
          <w:szCs w:val="21"/>
        </w:rPr>
        <w:t>8</w:t>
      </w:r>
      <w:r w:rsidRPr="006E46ED">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2C5D5D70" w14:textId="7E1AE303"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w:t>
      </w:r>
      <w:r w:rsidR="00CB592C" w:rsidRPr="006E46ED">
        <w:rPr>
          <w:rFonts w:asciiTheme="minorEastAsia" w:hAnsiTheme="minorEastAsia"/>
          <w:szCs w:val="21"/>
        </w:rPr>
        <w:t>9</w:t>
      </w:r>
      <w:r w:rsidRPr="006E46ED">
        <w:rPr>
          <w:rFonts w:asciiTheme="minorEastAsia" w:hAnsiTheme="minorEastAsia" w:hint="eastAsia"/>
          <w:szCs w:val="21"/>
        </w:rPr>
        <w:t>）本基金可投资股票期权，股票期权的风险包括市场风险、流动性风险和</w:t>
      </w:r>
      <w:proofErr w:type="gramStart"/>
      <w:r w:rsidRPr="006E46ED">
        <w:rPr>
          <w:rFonts w:asciiTheme="minorEastAsia" w:hAnsiTheme="minorEastAsia" w:hint="eastAsia"/>
          <w:szCs w:val="21"/>
        </w:rPr>
        <w:t>基差</w:t>
      </w:r>
      <w:proofErr w:type="gramEnd"/>
      <w:r w:rsidRPr="006E46ED">
        <w:rPr>
          <w:rFonts w:asciiTheme="minorEastAsia" w:hAnsiTheme="minorEastAsia" w:hint="eastAsia"/>
          <w:szCs w:val="21"/>
        </w:rPr>
        <w:t>风险。</w:t>
      </w:r>
    </w:p>
    <w:p w14:paraId="14D65713" w14:textId="6883E532"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w:t>
      </w:r>
      <w:r w:rsidR="00CB592C" w:rsidRPr="006E46ED">
        <w:rPr>
          <w:rFonts w:asciiTheme="minorEastAsia" w:hAnsiTheme="minorEastAsia"/>
          <w:szCs w:val="21"/>
        </w:rPr>
        <w:t>10</w:t>
      </w:r>
      <w:r w:rsidRPr="006E46ED">
        <w:rPr>
          <w:rFonts w:asciiTheme="minorEastAsia" w:hAnsiTheme="minorEastAsia"/>
          <w:szCs w:val="21"/>
        </w:rPr>
        <w:t>）本基金可参与融资交易，融资交易的风险主要包括流动性风险、信用风险等，这些风险可能会给基金净值带来一定的负面影响和损失。</w:t>
      </w:r>
    </w:p>
    <w:p w14:paraId="7DD72F04" w14:textId="26FC99CA"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w:t>
      </w:r>
      <w:r w:rsidR="00CB592C" w:rsidRPr="006E46ED">
        <w:rPr>
          <w:rFonts w:asciiTheme="minorEastAsia" w:hAnsiTheme="minorEastAsia"/>
          <w:szCs w:val="21"/>
        </w:rPr>
        <w:t>11</w:t>
      </w:r>
      <w:r w:rsidRPr="006E46ED">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4333B8B8"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szCs w:val="21"/>
        </w:rPr>
        <w:t>2、</w:t>
      </w:r>
      <w:r w:rsidRPr="006E46ED">
        <w:rPr>
          <w:rFonts w:asciiTheme="minorEastAsia" w:hAnsiTheme="minorEastAsia" w:hint="eastAsia"/>
          <w:szCs w:val="21"/>
        </w:rPr>
        <w:t>混合型证券投资</w:t>
      </w:r>
      <w:r w:rsidRPr="006E46ED">
        <w:rPr>
          <w:rFonts w:asciiTheme="minorEastAsia" w:hAnsiTheme="minorEastAsia"/>
          <w:szCs w:val="21"/>
        </w:rPr>
        <w:t>基金</w:t>
      </w:r>
      <w:r w:rsidRPr="006E46ED">
        <w:rPr>
          <w:rFonts w:asciiTheme="minorEastAsia" w:hAnsiTheme="minorEastAsia" w:hint="eastAsia"/>
          <w:szCs w:val="21"/>
        </w:rPr>
        <w:t>的</w:t>
      </w:r>
      <w:r w:rsidRPr="006E46ED">
        <w:rPr>
          <w:rFonts w:asciiTheme="minorEastAsia" w:hAnsiTheme="minorEastAsia"/>
          <w:szCs w:val="21"/>
        </w:rPr>
        <w:t>共有风险：市场风险、管理风险、职业道德风险、流动性风险、合</w:t>
      </w:r>
      <w:proofErr w:type="gramStart"/>
      <w:r w:rsidRPr="006E46ED">
        <w:rPr>
          <w:rFonts w:asciiTheme="minorEastAsia" w:hAnsiTheme="minorEastAsia"/>
          <w:szCs w:val="21"/>
        </w:rPr>
        <w:t>规</w:t>
      </w:r>
      <w:proofErr w:type="gramEnd"/>
      <w:r w:rsidRPr="006E46ED">
        <w:rPr>
          <w:rFonts w:asciiTheme="minorEastAsia" w:hAnsiTheme="minorEastAsia"/>
          <w:szCs w:val="21"/>
        </w:rPr>
        <w:t>风险、投资管理风险、操作和技术风险以及不可抗力可能导致的其他风险。</w:t>
      </w:r>
    </w:p>
    <w:p w14:paraId="324245E2"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hint="eastAsia"/>
          <w:b/>
          <w:szCs w:val="21"/>
        </w:rPr>
        <w:t>（二）重要提示</w:t>
      </w:r>
    </w:p>
    <w:p w14:paraId="337FBD2E"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lastRenderedPageBreak/>
        <w:t>中国证监会对本基金</w:t>
      </w:r>
      <w:proofErr w:type="gramStart"/>
      <w:r w:rsidRPr="006E46ED">
        <w:rPr>
          <w:rFonts w:asciiTheme="minorEastAsia" w:hAnsiTheme="minorEastAsia" w:hint="eastAsia"/>
          <w:szCs w:val="21"/>
        </w:rPr>
        <w:t>募</w:t>
      </w:r>
      <w:proofErr w:type="gramEnd"/>
      <w:r w:rsidRPr="006E46ED">
        <w:rPr>
          <w:rFonts w:asciiTheme="minorEastAsia" w:hAnsiTheme="minorEastAsia" w:hint="eastAsia"/>
          <w:szCs w:val="21"/>
        </w:rPr>
        <w:t>集的核准，并不表明其对本基金的价值和收益</w:t>
      </w:r>
      <w:proofErr w:type="gramStart"/>
      <w:r w:rsidRPr="006E46ED">
        <w:rPr>
          <w:rFonts w:asciiTheme="minorEastAsia" w:hAnsiTheme="minorEastAsia" w:hint="eastAsia"/>
          <w:szCs w:val="21"/>
        </w:rPr>
        <w:t>作出</w:t>
      </w:r>
      <w:proofErr w:type="gramEnd"/>
      <w:r w:rsidRPr="006E46ED">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6894B87"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C234E44"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6E46ED">
        <w:rPr>
          <w:rFonts w:asciiTheme="minorEastAsia" w:hAnsiTheme="minorEastAsia"/>
          <w:szCs w:val="21"/>
        </w:rPr>
        <w:t>“</w:t>
      </w:r>
      <w:r w:rsidRPr="006E46ED">
        <w:rPr>
          <w:rFonts w:asciiTheme="minorEastAsia" w:hAnsiTheme="minorEastAsia" w:hint="eastAsia"/>
          <w:szCs w:val="21"/>
        </w:rPr>
        <w:t>争议的处理和适用法律</w:t>
      </w:r>
      <w:r w:rsidRPr="006E46ED">
        <w:rPr>
          <w:rFonts w:asciiTheme="minorEastAsia" w:hAnsiTheme="minorEastAsia"/>
          <w:szCs w:val="21"/>
        </w:rPr>
        <w:t>”</w:t>
      </w:r>
      <w:r w:rsidRPr="006E46ED">
        <w:rPr>
          <w:rFonts w:asciiTheme="minorEastAsia" w:hAnsiTheme="minorEastAsia" w:hint="eastAsia"/>
          <w:szCs w:val="21"/>
        </w:rPr>
        <w:t>。</w:t>
      </w:r>
    </w:p>
    <w:p w14:paraId="117E407A" w14:textId="77777777" w:rsidR="00D37C06" w:rsidRPr="006E46ED" w:rsidRDefault="00D37C06">
      <w:pPr>
        <w:spacing w:line="340" w:lineRule="exact"/>
        <w:ind w:firstLineChars="200" w:firstLine="420"/>
        <w:contextualSpacing/>
        <w:rPr>
          <w:rFonts w:asciiTheme="minorEastAsia" w:hAnsiTheme="minorEastAsia"/>
          <w:szCs w:val="21"/>
        </w:rPr>
      </w:pPr>
    </w:p>
    <w:p w14:paraId="337C3D85"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b/>
          <w:szCs w:val="21"/>
        </w:rPr>
        <w:t>五</w:t>
      </w:r>
      <w:r w:rsidRPr="006E46ED">
        <w:rPr>
          <w:rFonts w:asciiTheme="minorEastAsia" w:hAnsiTheme="minorEastAsia" w:hint="eastAsia"/>
          <w:b/>
          <w:szCs w:val="21"/>
        </w:rPr>
        <w:t>、</w:t>
      </w:r>
      <w:r w:rsidRPr="006E46ED">
        <w:rPr>
          <w:rFonts w:asciiTheme="minorEastAsia" w:hAnsiTheme="minorEastAsia"/>
          <w:b/>
          <w:szCs w:val="21"/>
        </w:rPr>
        <w:t>其他资料查询方式</w:t>
      </w:r>
    </w:p>
    <w:p w14:paraId="4050EFCF"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以下资料详见东方阿尔法基金官方网站【www.dfa66.com】【客服电话：400-</w:t>
      </w:r>
      <w:r w:rsidRPr="006E46ED">
        <w:rPr>
          <w:rFonts w:asciiTheme="minorEastAsia" w:hAnsiTheme="minorEastAsia"/>
          <w:szCs w:val="21"/>
        </w:rPr>
        <w:t>930</w:t>
      </w:r>
      <w:r w:rsidRPr="006E46ED">
        <w:rPr>
          <w:rFonts w:asciiTheme="minorEastAsia" w:hAnsiTheme="minorEastAsia" w:hint="eastAsia"/>
          <w:szCs w:val="21"/>
        </w:rPr>
        <w:t>-</w:t>
      </w:r>
      <w:r w:rsidRPr="006E46ED">
        <w:rPr>
          <w:rFonts w:asciiTheme="minorEastAsia" w:hAnsiTheme="minorEastAsia"/>
          <w:szCs w:val="21"/>
        </w:rPr>
        <w:t>6677</w:t>
      </w:r>
      <w:r w:rsidRPr="006E46ED">
        <w:rPr>
          <w:rFonts w:asciiTheme="minorEastAsia" w:hAnsiTheme="minorEastAsia" w:hint="eastAsia"/>
          <w:szCs w:val="21"/>
        </w:rPr>
        <w:t>】</w:t>
      </w:r>
    </w:p>
    <w:p w14:paraId="7C0C9F87" w14:textId="77777777" w:rsidR="00D37C06" w:rsidRPr="006E46ED" w:rsidRDefault="005471A5">
      <w:pPr>
        <w:spacing w:line="340" w:lineRule="exact"/>
        <w:ind w:firstLineChars="200" w:firstLine="420"/>
        <w:contextualSpacing/>
        <w:rPr>
          <w:rFonts w:asciiTheme="minorEastAsia" w:hAnsiTheme="minorEastAsia"/>
          <w:szCs w:val="21"/>
        </w:rPr>
      </w:pPr>
      <w:r w:rsidRPr="006E46ED">
        <w:rPr>
          <w:rFonts w:asciiTheme="minorEastAsia" w:hAnsiTheme="minorEastAsia" w:hint="eastAsia"/>
          <w:szCs w:val="21"/>
        </w:rPr>
        <w:t>（1）基金合同、托管协议、招募说明书</w:t>
      </w:r>
    </w:p>
    <w:p w14:paraId="0B50FB40" w14:textId="77777777" w:rsidR="00D37C06" w:rsidRPr="006E46ED" w:rsidRDefault="005471A5">
      <w:pPr>
        <w:pStyle w:val="aa"/>
        <w:spacing w:line="340" w:lineRule="exact"/>
        <w:ind w:left="420" w:firstLineChars="0" w:firstLine="0"/>
        <w:contextualSpacing/>
        <w:rPr>
          <w:rFonts w:asciiTheme="minorEastAsia" w:hAnsiTheme="minorEastAsia"/>
          <w:szCs w:val="21"/>
        </w:rPr>
      </w:pPr>
      <w:r w:rsidRPr="006E46ED">
        <w:rPr>
          <w:rFonts w:asciiTheme="minorEastAsia" w:hAnsiTheme="minorEastAsia" w:hint="eastAsia"/>
          <w:szCs w:val="21"/>
        </w:rPr>
        <w:t>（2）定期报告，包括基金季度报告、中期报告和年度报告</w:t>
      </w:r>
    </w:p>
    <w:p w14:paraId="3CC38DCF" w14:textId="77777777" w:rsidR="00D37C06" w:rsidRPr="006E46ED" w:rsidRDefault="005471A5">
      <w:pPr>
        <w:pStyle w:val="aa"/>
        <w:spacing w:line="340" w:lineRule="exact"/>
        <w:ind w:left="420" w:firstLineChars="0" w:firstLine="0"/>
        <w:contextualSpacing/>
        <w:rPr>
          <w:rFonts w:asciiTheme="minorEastAsia" w:hAnsiTheme="minorEastAsia"/>
          <w:szCs w:val="21"/>
        </w:rPr>
      </w:pPr>
      <w:r w:rsidRPr="006E46ED">
        <w:rPr>
          <w:rFonts w:asciiTheme="minorEastAsia" w:hAnsiTheme="minorEastAsia" w:hint="eastAsia"/>
          <w:szCs w:val="21"/>
        </w:rPr>
        <w:t>（3）基金份额净值</w:t>
      </w:r>
    </w:p>
    <w:p w14:paraId="35240395" w14:textId="77777777" w:rsidR="00D37C06" w:rsidRPr="006E46ED" w:rsidRDefault="005471A5">
      <w:pPr>
        <w:pStyle w:val="aa"/>
        <w:spacing w:line="340" w:lineRule="exact"/>
        <w:ind w:left="420" w:firstLineChars="0" w:firstLine="0"/>
        <w:contextualSpacing/>
        <w:rPr>
          <w:rFonts w:asciiTheme="minorEastAsia" w:hAnsiTheme="minorEastAsia"/>
          <w:szCs w:val="21"/>
        </w:rPr>
      </w:pPr>
      <w:r w:rsidRPr="006E46ED">
        <w:rPr>
          <w:rFonts w:asciiTheme="minorEastAsia" w:hAnsiTheme="minorEastAsia" w:hint="eastAsia"/>
          <w:szCs w:val="21"/>
        </w:rPr>
        <w:t>（4）基金销售机构及联系方式</w:t>
      </w:r>
    </w:p>
    <w:p w14:paraId="41AA4C9C" w14:textId="77777777" w:rsidR="00D37C06" w:rsidRPr="006E46ED" w:rsidRDefault="005471A5">
      <w:pPr>
        <w:pStyle w:val="aa"/>
        <w:spacing w:line="340" w:lineRule="exact"/>
        <w:ind w:left="420" w:firstLineChars="0" w:firstLine="0"/>
        <w:contextualSpacing/>
        <w:rPr>
          <w:rFonts w:asciiTheme="minorEastAsia" w:hAnsiTheme="minorEastAsia"/>
          <w:szCs w:val="21"/>
        </w:rPr>
      </w:pPr>
      <w:r w:rsidRPr="006E46ED">
        <w:rPr>
          <w:rFonts w:asciiTheme="minorEastAsia" w:hAnsiTheme="minorEastAsia" w:hint="eastAsia"/>
          <w:szCs w:val="21"/>
        </w:rPr>
        <w:t>（5）其他重要资料</w:t>
      </w:r>
    </w:p>
    <w:p w14:paraId="3D49E293" w14:textId="77777777" w:rsidR="00D37C06" w:rsidRPr="006E46ED" w:rsidRDefault="00D37C06">
      <w:pPr>
        <w:pStyle w:val="aa"/>
        <w:spacing w:line="340" w:lineRule="exact"/>
        <w:ind w:left="420" w:firstLineChars="0" w:firstLine="0"/>
        <w:contextualSpacing/>
        <w:rPr>
          <w:rFonts w:asciiTheme="minorEastAsia" w:hAnsiTheme="minorEastAsia"/>
          <w:szCs w:val="21"/>
        </w:rPr>
      </w:pPr>
    </w:p>
    <w:p w14:paraId="5685FC70" w14:textId="77777777" w:rsidR="00D37C06" w:rsidRPr="006E46ED" w:rsidRDefault="005471A5">
      <w:pPr>
        <w:spacing w:line="340" w:lineRule="exact"/>
        <w:contextualSpacing/>
        <w:rPr>
          <w:rFonts w:asciiTheme="minorEastAsia" w:hAnsiTheme="minorEastAsia"/>
          <w:b/>
          <w:szCs w:val="21"/>
        </w:rPr>
      </w:pPr>
      <w:r w:rsidRPr="006E46ED">
        <w:rPr>
          <w:rFonts w:asciiTheme="minorEastAsia" w:hAnsiTheme="minorEastAsia"/>
          <w:b/>
          <w:szCs w:val="21"/>
        </w:rPr>
        <w:t>六</w:t>
      </w:r>
      <w:r w:rsidRPr="006E46ED">
        <w:rPr>
          <w:rFonts w:asciiTheme="minorEastAsia" w:hAnsiTheme="minorEastAsia" w:hint="eastAsia"/>
          <w:b/>
          <w:szCs w:val="21"/>
        </w:rPr>
        <w:t>、</w:t>
      </w:r>
      <w:r w:rsidRPr="006E46ED">
        <w:rPr>
          <w:rFonts w:asciiTheme="minorEastAsia" w:hAnsiTheme="minorEastAsia"/>
          <w:b/>
          <w:szCs w:val="21"/>
        </w:rPr>
        <w:t>其他情况说明</w:t>
      </w:r>
    </w:p>
    <w:p w14:paraId="6D324920" w14:textId="77777777" w:rsidR="00D37C06" w:rsidRDefault="005471A5">
      <w:pPr>
        <w:spacing w:line="340" w:lineRule="exact"/>
        <w:ind w:firstLineChars="200" w:firstLine="420"/>
        <w:contextualSpacing/>
        <w:rPr>
          <w:rFonts w:asciiTheme="minorEastAsia" w:hAnsiTheme="minorEastAsia"/>
          <w:bCs/>
          <w:szCs w:val="21"/>
        </w:rPr>
      </w:pPr>
      <w:r w:rsidRPr="006E46ED">
        <w:rPr>
          <w:rFonts w:asciiTheme="minorEastAsia" w:hAnsiTheme="minorEastAsia" w:hint="eastAsia"/>
          <w:szCs w:val="21"/>
        </w:rPr>
        <w:t>无</w:t>
      </w:r>
    </w:p>
    <w:sectPr w:rsidR="00D37C06">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BB199" w14:textId="77777777" w:rsidR="00FF7103" w:rsidRDefault="00FF7103">
      <w:r>
        <w:separator/>
      </w:r>
    </w:p>
  </w:endnote>
  <w:endnote w:type="continuationSeparator" w:id="0">
    <w:p w14:paraId="35738137" w14:textId="77777777" w:rsidR="00FF7103" w:rsidRDefault="00FF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6943D3AA" w14:textId="4E1830EA" w:rsidR="00D37C06" w:rsidRDefault="005471A5">
        <w:pPr>
          <w:pStyle w:val="a4"/>
          <w:jc w:val="center"/>
        </w:pPr>
        <w:r>
          <w:fldChar w:fldCharType="begin"/>
        </w:r>
        <w:r>
          <w:instrText>PAGE   \* MERGEFORMAT</w:instrText>
        </w:r>
        <w:r>
          <w:fldChar w:fldCharType="separate"/>
        </w:r>
        <w:r w:rsidR="006E785C" w:rsidRPr="006E785C">
          <w:rPr>
            <w:noProof/>
            <w:lang w:val="zh-CN"/>
          </w:rPr>
          <w:t>4</w:t>
        </w:r>
        <w:r>
          <w:fldChar w:fldCharType="end"/>
        </w:r>
      </w:p>
    </w:sdtContent>
  </w:sdt>
  <w:p w14:paraId="6A1BFF64" w14:textId="77777777" w:rsidR="00D37C06" w:rsidRDefault="00D37C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52227" w14:textId="77777777" w:rsidR="00FF7103" w:rsidRDefault="00FF7103">
      <w:r>
        <w:separator/>
      </w:r>
    </w:p>
  </w:footnote>
  <w:footnote w:type="continuationSeparator" w:id="0">
    <w:p w14:paraId="365C68D0" w14:textId="77777777" w:rsidR="00FF7103" w:rsidRDefault="00FF7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ZTkxYTA3MzBlZDU0Y2MxODExMWZiM2U2ZTkzMTIifQ=="/>
  </w:docVars>
  <w:rsids>
    <w:rsidRoot w:val="00C9276B"/>
    <w:rsid w:val="00002635"/>
    <w:rsid w:val="000028DB"/>
    <w:rsid w:val="00003981"/>
    <w:rsid w:val="00027BA3"/>
    <w:rsid w:val="00035DF0"/>
    <w:rsid w:val="00074340"/>
    <w:rsid w:val="00075E30"/>
    <w:rsid w:val="000805FE"/>
    <w:rsid w:val="00095BBF"/>
    <w:rsid w:val="000B2A92"/>
    <w:rsid w:val="000C07A8"/>
    <w:rsid w:val="000D4EA9"/>
    <w:rsid w:val="000D7E21"/>
    <w:rsid w:val="000E6610"/>
    <w:rsid w:val="001038E9"/>
    <w:rsid w:val="00131A76"/>
    <w:rsid w:val="001417A0"/>
    <w:rsid w:val="001536AB"/>
    <w:rsid w:val="001739BB"/>
    <w:rsid w:val="0018376C"/>
    <w:rsid w:val="001857D4"/>
    <w:rsid w:val="001A6B72"/>
    <w:rsid w:val="001A7C67"/>
    <w:rsid w:val="001B09D7"/>
    <w:rsid w:val="001B4D1E"/>
    <w:rsid w:val="001D65A5"/>
    <w:rsid w:val="001E3DF7"/>
    <w:rsid w:val="00227272"/>
    <w:rsid w:val="0024041C"/>
    <w:rsid w:val="00252C3C"/>
    <w:rsid w:val="00253ADE"/>
    <w:rsid w:val="00260A5C"/>
    <w:rsid w:val="0027751F"/>
    <w:rsid w:val="002876C1"/>
    <w:rsid w:val="002A53BF"/>
    <w:rsid w:val="002C5E5F"/>
    <w:rsid w:val="002D4146"/>
    <w:rsid w:val="002E56ED"/>
    <w:rsid w:val="002F1C69"/>
    <w:rsid w:val="002F33D7"/>
    <w:rsid w:val="00322DFB"/>
    <w:rsid w:val="003312C5"/>
    <w:rsid w:val="00335CDB"/>
    <w:rsid w:val="00366C19"/>
    <w:rsid w:val="00387A98"/>
    <w:rsid w:val="00393690"/>
    <w:rsid w:val="003B28E4"/>
    <w:rsid w:val="003C1A67"/>
    <w:rsid w:val="003D38E8"/>
    <w:rsid w:val="003D449D"/>
    <w:rsid w:val="003E319A"/>
    <w:rsid w:val="004101A6"/>
    <w:rsid w:val="00410E4E"/>
    <w:rsid w:val="00411D8D"/>
    <w:rsid w:val="004312D9"/>
    <w:rsid w:val="00453549"/>
    <w:rsid w:val="004544EB"/>
    <w:rsid w:val="00457C80"/>
    <w:rsid w:val="00461049"/>
    <w:rsid w:val="00461ACC"/>
    <w:rsid w:val="0047358F"/>
    <w:rsid w:val="00474873"/>
    <w:rsid w:val="0048602F"/>
    <w:rsid w:val="00497D7C"/>
    <w:rsid w:val="004C13DC"/>
    <w:rsid w:val="004C7F14"/>
    <w:rsid w:val="004E1F83"/>
    <w:rsid w:val="004E5C28"/>
    <w:rsid w:val="004E7BBB"/>
    <w:rsid w:val="00502DAF"/>
    <w:rsid w:val="00503D3A"/>
    <w:rsid w:val="00514EF3"/>
    <w:rsid w:val="005326BA"/>
    <w:rsid w:val="005471A5"/>
    <w:rsid w:val="00564827"/>
    <w:rsid w:val="005658A5"/>
    <w:rsid w:val="00570986"/>
    <w:rsid w:val="0058312A"/>
    <w:rsid w:val="005A1129"/>
    <w:rsid w:val="005B0E50"/>
    <w:rsid w:val="005B0FEE"/>
    <w:rsid w:val="00621CD0"/>
    <w:rsid w:val="00663768"/>
    <w:rsid w:val="006673CF"/>
    <w:rsid w:val="006778AD"/>
    <w:rsid w:val="006A47A1"/>
    <w:rsid w:val="006E3305"/>
    <w:rsid w:val="006E46ED"/>
    <w:rsid w:val="006E785C"/>
    <w:rsid w:val="006F49B0"/>
    <w:rsid w:val="007043F3"/>
    <w:rsid w:val="00705EAA"/>
    <w:rsid w:val="00733019"/>
    <w:rsid w:val="00735306"/>
    <w:rsid w:val="0074027F"/>
    <w:rsid w:val="00740BA0"/>
    <w:rsid w:val="0074374B"/>
    <w:rsid w:val="00780781"/>
    <w:rsid w:val="00793422"/>
    <w:rsid w:val="00796F91"/>
    <w:rsid w:val="007A09D3"/>
    <w:rsid w:val="007A4FA4"/>
    <w:rsid w:val="007D1D02"/>
    <w:rsid w:val="007D54A0"/>
    <w:rsid w:val="007E53B8"/>
    <w:rsid w:val="007E5956"/>
    <w:rsid w:val="007F00FE"/>
    <w:rsid w:val="00817C56"/>
    <w:rsid w:val="00822A3A"/>
    <w:rsid w:val="008340DE"/>
    <w:rsid w:val="008436C9"/>
    <w:rsid w:val="00886061"/>
    <w:rsid w:val="008976B8"/>
    <w:rsid w:val="008D074A"/>
    <w:rsid w:val="008D155B"/>
    <w:rsid w:val="008D39EF"/>
    <w:rsid w:val="00911159"/>
    <w:rsid w:val="009234CA"/>
    <w:rsid w:val="00934ED3"/>
    <w:rsid w:val="00937FF3"/>
    <w:rsid w:val="00963FEC"/>
    <w:rsid w:val="00964B82"/>
    <w:rsid w:val="00971779"/>
    <w:rsid w:val="00975267"/>
    <w:rsid w:val="00975C1D"/>
    <w:rsid w:val="00976C18"/>
    <w:rsid w:val="00993A45"/>
    <w:rsid w:val="00995508"/>
    <w:rsid w:val="009A63EB"/>
    <w:rsid w:val="009B5CE5"/>
    <w:rsid w:val="009C6ABD"/>
    <w:rsid w:val="009E52B4"/>
    <w:rsid w:val="009F7C0D"/>
    <w:rsid w:val="00A0119C"/>
    <w:rsid w:val="00A12F39"/>
    <w:rsid w:val="00A4204A"/>
    <w:rsid w:val="00A627DB"/>
    <w:rsid w:val="00A81310"/>
    <w:rsid w:val="00A82C57"/>
    <w:rsid w:val="00A85AD0"/>
    <w:rsid w:val="00A85F79"/>
    <w:rsid w:val="00AA6E55"/>
    <w:rsid w:val="00AB473A"/>
    <w:rsid w:val="00AC17E1"/>
    <w:rsid w:val="00AE44C0"/>
    <w:rsid w:val="00AF4C00"/>
    <w:rsid w:val="00B0443E"/>
    <w:rsid w:val="00B0628E"/>
    <w:rsid w:val="00B13C2B"/>
    <w:rsid w:val="00B13C49"/>
    <w:rsid w:val="00B1573C"/>
    <w:rsid w:val="00B161F0"/>
    <w:rsid w:val="00B34F28"/>
    <w:rsid w:val="00B379CB"/>
    <w:rsid w:val="00B42188"/>
    <w:rsid w:val="00B71E5D"/>
    <w:rsid w:val="00B87D81"/>
    <w:rsid w:val="00BB27F2"/>
    <w:rsid w:val="00BB4DBD"/>
    <w:rsid w:val="00BC6B30"/>
    <w:rsid w:val="00BE5320"/>
    <w:rsid w:val="00BF0199"/>
    <w:rsid w:val="00C02F28"/>
    <w:rsid w:val="00C04FCF"/>
    <w:rsid w:val="00C44565"/>
    <w:rsid w:val="00C80EBC"/>
    <w:rsid w:val="00C83376"/>
    <w:rsid w:val="00C87C45"/>
    <w:rsid w:val="00C91203"/>
    <w:rsid w:val="00C9276B"/>
    <w:rsid w:val="00C97000"/>
    <w:rsid w:val="00CB592C"/>
    <w:rsid w:val="00CE2006"/>
    <w:rsid w:val="00D07E45"/>
    <w:rsid w:val="00D12B20"/>
    <w:rsid w:val="00D30976"/>
    <w:rsid w:val="00D37C06"/>
    <w:rsid w:val="00D4452C"/>
    <w:rsid w:val="00D6161D"/>
    <w:rsid w:val="00D72973"/>
    <w:rsid w:val="00DB2AEC"/>
    <w:rsid w:val="00E00038"/>
    <w:rsid w:val="00E00483"/>
    <w:rsid w:val="00E0755E"/>
    <w:rsid w:val="00E60419"/>
    <w:rsid w:val="00E658C4"/>
    <w:rsid w:val="00E66C05"/>
    <w:rsid w:val="00E844CD"/>
    <w:rsid w:val="00E87237"/>
    <w:rsid w:val="00E92573"/>
    <w:rsid w:val="00EA0311"/>
    <w:rsid w:val="00EA2A73"/>
    <w:rsid w:val="00EB3B24"/>
    <w:rsid w:val="00EB5579"/>
    <w:rsid w:val="00EC193E"/>
    <w:rsid w:val="00EC4022"/>
    <w:rsid w:val="00ED549B"/>
    <w:rsid w:val="00EE1EF8"/>
    <w:rsid w:val="00EE2851"/>
    <w:rsid w:val="00EF2BDB"/>
    <w:rsid w:val="00F13F63"/>
    <w:rsid w:val="00F17B54"/>
    <w:rsid w:val="00F214CE"/>
    <w:rsid w:val="00F34626"/>
    <w:rsid w:val="00F35547"/>
    <w:rsid w:val="00F4177C"/>
    <w:rsid w:val="00F47823"/>
    <w:rsid w:val="00F62953"/>
    <w:rsid w:val="00F86B88"/>
    <w:rsid w:val="00F95242"/>
    <w:rsid w:val="00FA0CFC"/>
    <w:rsid w:val="00FA2871"/>
    <w:rsid w:val="00FE117F"/>
    <w:rsid w:val="00FF7103"/>
    <w:rsid w:val="00FF7256"/>
    <w:rsid w:val="0454765F"/>
    <w:rsid w:val="04EF2D88"/>
    <w:rsid w:val="05E46773"/>
    <w:rsid w:val="16FC296F"/>
    <w:rsid w:val="21EE534A"/>
    <w:rsid w:val="235003E9"/>
    <w:rsid w:val="34D95450"/>
    <w:rsid w:val="3B6E533A"/>
    <w:rsid w:val="41B94814"/>
    <w:rsid w:val="445A0FFB"/>
    <w:rsid w:val="49FE28AB"/>
    <w:rsid w:val="4A7364C9"/>
    <w:rsid w:val="4F6A776F"/>
    <w:rsid w:val="5C0E3901"/>
    <w:rsid w:val="63D02031"/>
    <w:rsid w:val="65DB6FF5"/>
    <w:rsid w:val="79C4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81C995"/>
  <w15:docId w15:val="{15BDDF8D-C635-4F96-BEE1-ABABC8FD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styleId="ab">
    <w:name w:val="annotation reference"/>
    <w:basedOn w:val="a0"/>
    <w:uiPriority w:val="99"/>
    <w:semiHidden/>
    <w:unhideWhenUsed/>
    <w:rsid w:val="00457C80"/>
    <w:rPr>
      <w:sz w:val="21"/>
      <w:szCs w:val="21"/>
    </w:rPr>
  </w:style>
  <w:style w:type="paragraph" w:styleId="ac">
    <w:name w:val="annotation text"/>
    <w:basedOn w:val="a"/>
    <w:link w:val="Char3"/>
    <w:uiPriority w:val="99"/>
    <w:semiHidden/>
    <w:unhideWhenUsed/>
    <w:rsid w:val="00457C80"/>
    <w:pPr>
      <w:jc w:val="left"/>
    </w:pPr>
  </w:style>
  <w:style w:type="character" w:customStyle="1" w:styleId="Char3">
    <w:name w:val="批注文字 Char"/>
    <w:basedOn w:val="a0"/>
    <w:link w:val="ac"/>
    <w:uiPriority w:val="99"/>
    <w:semiHidden/>
    <w:rsid w:val="00457C80"/>
    <w:rPr>
      <w:kern w:val="2"/>
      <w:sz w:val="21"/>
      <w:szCs w:val="22"/>
    </w:rPr>
  </w:style>
  <w:style w:type="paragraph" w:styleId="ad">
    <w:name w:val="annotation subject"/>
    <w:basedOn w:val="ac"/>
    <w:next w:val="ac"/>
    <w:link w:val="Char4"/>
    <w:uiPriority w:val="99"/>
    <w:semiHidden/>
    <w:unhideWhenUsed/>
    <w:rsid w:val="00457C80"/>
    <w:rPr>
      <w:b/>
      <w:bCs/>
    </w:rPr>
  </w:style>
  <w:style w:type="character" w:customStyle="1" w:styleId="Char4">
    <w:name w:val="批注主题 Char"/>
    <w:basedOn w:val="Char3"/>
    <w:link w:val="ad"/>
    <w:uiPriority w:val="99"/>
    <w:semiHidden/>
    <w:rsid w:val="00457C8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2D79D-EB04-46E4-ADDE-19A02502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168</cp:revision>
  <cp:lastPrinted>2020-08-25T00:34:00Z</cp:lastPrinted>
  <dcterms:created xsi:type="dcterms:W3CDTF">2020-06-18T02:43:00Z</dcterms:created>
  <dcterms:modified xsi:type="dcterms:W3CDTF">2023-08-14T07:03:00Z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F0FD951AEA84419DAB7870B796B01C23</vt:lpwstr>
  </property>
</Properties>
</file>