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Times New Roman"/>
          <w:sz w:val="32"/>
          <w:szCs w:val="44"/>
          <w:highlight w:val="none"/>
        </w:rPr>
      </w:pPr>
      <w:r>
        <w:rPr>
          <w:rFonts w:hint="eastAsia" w:ascii="黑体" w:hAnsi="黑体" w:eastAsia="黑体" w:cs="Times New Roman"/>
          <w:sz w:val="32"/>
          <w:szCs w:val="44"/>
          <w:highlight w:val="none"/>
        </w:rPr>
        <w:t>东方</w:t>
      </w:r>
      <w:r>
        <w:rPr>
          <w:rFonts w:ascii="黑体" w:hAnsi="黑体" w:eastAsia="黑体" w:cs="Times New Roman"/>
          <w:sz w:val="32"/>
          <w:szCs w:val="44"/>
          <w:highlight w:val="none"/>
        </w:rPr>
        <w:t>阿尔法</w:t>
      </w:r>
      <w:r>
        <w:rPr>
          <w:rFonts w:hint="eastAsia" w:ascii="黑体" w:hAnsi="黑体" w:eastAsia="黑体" w:cs="Times New Roman"/>
          <w:sz w:val="32"/>
          <w:szCs w:val="44"/>
          <w:highlight w:val="none"/>
        </w:rPr>
        <w:t>优选</w:t>
      </w:r>
      <w:r>
        <w:rPr>
          <w:rFonts w:ascii="黑体" w:hAnsi="黑体" w:eastAsia="黑体" w:cs="Times New Roman"/>
          <w:sz w:val="32"/>
          <w:szCs w:val="44"/>
          <w:highlight w:val="none"/>
        </w:rPr>
        <w:t>混合型发起式证券投资基金（A类份额）</w:t>
      </w:r>
    </w:p>
    <w:p>
      <w:pPr>
        <w:jc w:val="center"/>
        <w:rPr>
          <w:rFonts w:ascii="黑体" w:hAnsi="黑体" w:eastAsia="黑体" w:cs="Times New Roman"/>
          <w:sz w:val="32"/>
          <w:szCs w:val="44"/>
          <w:highlight w:val="none"/>
        </w:rPr>
      </w:pPr>
      <w:r>
        <w:rPr>
          <w:rFonts w:ascii="黑体" w:hAnsi="黑体" w:eastAsia="黑体" w:cs="Times New Roman"/>
          <w:sz w:val="32"/>
          <w:szCs w:val="44"/>
          <w:highlight w:val="none"/>
        </w:rPr>
        <w:t>基金产品资料概</w:t>
      </w:r>
      <w:bookmarkStart w:id="0" w:name="_GoBack"/>
      <w:bookmarkEnd w:id="0"/>
      <w:r>
        <w:rPr>
          <w:rFonts w:ascii="黑体" w:hAnsi="黑体" w:eastAsia="黑体" w:cs="Times New Roman"/>
          <w:sz w:val="32"/>
          <w:szCs w:val="44"/>
          <w:highlight w:val="none"/>
        </w:rPr>
        <w:t>要</w:t>
      </w:r>
      <w:r>
        <w:rPr>
          <w:rFonts w:hint="eastAsia" w:ascii="黑体" w:hAnsi="黑体" w:eastAsia="黑体" w:cs="Times New Roman"/>
          <w:sz w:val="32"/>
          <w:szCs w:val="44"/>
          <w:highlight w:val="none"/>
        </w:rPr>
        <w:t>更新</w:t>
      </w:r>
    </w:p>
    <w:p>
      <w:pPr>
        <w:spacing w:after="156" w:afterLines="50"/>
        <w:jc w:val="right"/>
        <w:rPr>
          <w:rFonts w:asciiTheme="minorEastAsia" w:hAnsiTheme="minorEastAsia"/>
          <w:highlight w:val="none"/>
        </w:rPr>
      </w:pPr>
      <w:r>
        <w:rPr>
          <w:rFonts w:hint="eastAsia" w:asciiTheme="minorEastAsia" w:hAnsiTheme="minorEastAsia"/>
          <w:highlight w:val="none"/>
        </w:rPr>
        <w:t>编制日期：</w:t>
      </w:r>
      <w:r>
        <w:rPr>
          <w:rFonts w:hint="eastAsia" w:asciiTheme="minorEastAsia" w:hAnsiTheme="minorEastAsia"/>
          <w:highlight w:val="none"/>
          <w:lang w:val="en-US" w:eastAsia="zh-CN"/>
        </w:rPr>
        <w:t>2024</w:t>
      </w:r>
      <w:r>
        <w:rPr>
          <w:rFonts w:hint="eastAsia" w:asciiTheme="minorEastAsia" w:hAnsiTheme="minorEastAsia"/>
          <w:highlight w:val="none"/>
        </w:rPr>
        <w:t>年</w:t>
      </w:r>
      <w:r>
        <w:rPr>
          <w:rFonts w:hint="eastAsia" w:asciiTheme="minorEastAsia" w:hAnsiTheme="minorEastAsia"/>
          <w:highlight w:val="none"/>
          <w:lang w:val="en-US" w:eastAsia="zh-CN"/>
        </w:rPr>
        <w:t>04</w:t>
      </w:r>
      <w:r>
        <w:rPr>
          <w:rFonts w:asciiTheme="minorEastAsia" w:hAnsiTheme="minorEastAsia"/>
          <w:highlight w:val="none"/>
        </w:rPr>
        <w:t>月</w:t>
      </w:r>
      <w:r>
        <w:rPr>
          <w:rFonts w:hint="eastAsia" w:asciiTheme="minorEastAsia" w:hAnsiTheme="minorEastAsia"/>
          <w:highlight w:val="none"/>
          <w:lang w:val="en-US" w:eastAsia="zh-CN"/>
        </w:rPr>
        <w:t>29</w:t>
      </w:r>
      <w:r>
        <w:rPr>
          <w:rFonts w:hint="eastAsia" w:asciiTheme="minorEastAsia" w:hAnsiTheme="minorEastAsia"/>
          <w:highlight w:val="none"/>
        </w:rPr>
        <w:t>日</w:t>
      </w:r>
    </w:p>
    <w:p>
      <w:pPr>
        <w:tabs>
          <w:tab w:val="left" w:pos="3165"/>
          <w:tab w:val="center" w:pos="4722"/>
        </w:tabs>
        <w:spacing w:after="156" w:afterLines="50"/>
        <w:ind w:right="420"/>
        <w:jc w:val="left"/>
        <w:rPr>
          <w:rFonts w:asciiTheme="minorEastAsia" w:hAnsiTheme="minorEastAsia"/>
          <w:highlight w:val="none"/>
        </w:rPr>
      </w:pPr>
      <w:r>
        <w:rPr>
          <w:rFonts w:asciiTheme="minorEastAsia" w:hAnsiTheme="minorEastAsia"/>
          <w:highlight w:val="none"/>
        </w:rPr>
        <w:tab/>
      </w:r>
      <w:r>
        <w:rPr>
          <w:rFonts w:asciiTheme="minorEastAsia" w:hAnsiTheme="minorEastAsia"/>
          <w:highlight w:val="none"/>
        </w:rPr>
        <w:tab/>
      </w:r>
      <w:r>
        <w:rPr>
          <w:rFonts w:ascii="华文仿宋" w:hAnsi="华文仿宋" w:eastAsia="华文仿宋"/>
          <w:sz w:val="32"/>
          <w:szCs w:val="32"/>
          <w:highlight w:val="none"/>
        </w:rPr>
        <mc:AlternateContent>
          <mc:Choice Requires="wps">
            <w:drawing>
              <wp:anchor distT="45720" distB="45720" distL="114300" distR="114300" simplePos="0" relativeHeight="251659264" behindDoc="0" locked="0" layoutInCell="1" allowOverlap="1">
                <wp:simplePos x="0" y="0"/>
                <wp:positionH relativeFrom="margin">
                  <wp:posOffset>332740</wp:posOffset>
                </wp:positionH>
                <wp:positionV relativeFrom="paragraph">
                  <wp:posOffset>243840</wp:posOffset>
                </wp:positionV>
                <wp:extent cx="5876925" cy="2874010"/>
                <wp:effectExtent l="0" t="0" r="9525" b="127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ln>
                      </wps:spPr>
                      <wps:txbx>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6.2pt;margin-top:19.2pt;height:226.3pt;width:462.75pt;mso-position-horizontal-relative:margin;z-index:251659264;mso-width-relative:page;mso-height-relative:margin;mso-height-percent:200;" fillcolor="#FFFFFF" filled="t" stroked="f" coordsize="21600,21600" o:gfxdata="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VsET2QAAAAkBAAAPAAAAAAAAAAEAIAAAACIAAABkcnMv&#10;ZG93bnJldi54bWxQSwECFAAUAAAACACHTuJADeyNATsCAABVBAAADgAAAAAAAAABACAAAAAoAQAA&#10;ZHJzL2Uyb0RvYy54bWxQSwUGAAAAAAYABgBZAQAA1QUAAAAA&#10;">
                <v:fill on="t" focussize="0,0"/>
                <v:stroke on="f" miterlimit="8" joinstyle="miter"/>
                <v:imagedata o:title=""/>
                <o:lock v:ext="edit" aspectratio="f"/>
                <v:textbox style="mso-fit-shape-to-text:t;">
                  <w:txbxContent>
                    <w:p>
                      <w:pPr>
                        <w:jc w:val="distribute"/>
                        <w:rPr>
                          <w:rFonts w:asciiTheme="minorEastAsia" w:hAnsiTheme="minorEastAsia"/>
                          <w:b/>
                          <w:sz w:val="24"/>
                          <w:szCs w:val="32"/>
                        </w:rPr>
                      </w:pPr>
                      <w:r>
                        <w:rPr>
                          <w:rFonts w:hint="eastAsia" w:asciiTheme="minorEastAsia" w:hAnsiTheme="minorEastAsia"/>
                          <w:b/>
                          <w:sz w:val="24"/>
                          <w:szCs w:val="32"/>
                        </w:rPr>
                        <w:t>本概要提供本基金的重要信息，是招募说明书的一部分。</w:t>
                      </w:r>
                    </w:p>
                    <w:p>
                      <w:pPr>
                        <w:jc w:val="distribute"/>
                        <w:rPr>
                          <w:rFonts w:asciiTheme="minorEastAsia" w:hAnsiTheme="minorEastAsia"/>
                          <w:b/>
                          <w:sz w:val="24"/>
                          <w:szCs w:val="32"/>
                        </w:rPr>
                      </w:pPr>
                      <w:r>
                        <w:rPr>
                          <w:rFonts w:hint="eastAsia" w:asciiTheme="minorEastAsia" w:hAnsiTheme="minorEastAsia"/>
                          <w:b/>
                          <w:sz w:val="24"/>
                          <w:szCs w:val="32"/>
                        </w:rPr>
                        <w:t>作出投资决定前，请阅读完整的招募说明书等销售文件。</w:t>
                      </w:r>
                    </w:p>
                  </w:txbxContent>
                </v:textbox>
              </v:shape>
            </w:pict>
          </mc:Fallback>
        </mc:AlternateContent>
      </w:r>
      <w:r>
        <w:rPr>
          <w:rFonts w:asciiTheme="minorEastAsia" w:hAnsiTheme="minorEastAsia"/>
          <w:highlight w:val="none"/>
        </w:rPr>
        <w:t>送出日期</w:t>
      </w:r>
      <w:r>
        <w:rPr>
          <w:rFonts w:hint="eastAsia" w:asciiTheme="minorEastAsia" w:hAnsiTheme="minorEastAsia"/>
          <w:highlight w:val="none"/>
        </w:rPr>
        <w:t>：</w:t>
      </w:r>
      <w:r>
        <w:rPr>
          <w:rFonts w:hint="eastAsia" w:asciiTheme="minorEastAsia" w:hAnsiTheme="minorEastAsia"/>
          <w:highlight w:val="none"/>
          <w:lang w:val="en-US" w:eastAsia="zh-CN"/>
        </w:rPr>
        <w:t>2024</w:t>
      </w:r>
      <w:r>
        <w:rPr>
          <w:rFonts w:hint="eastAsia" w:asciiTheme="minorEastAsia" w:hAnsiTheme="minorEastAsia"/>
          <w:highlight w:val="none"/>
        </w:rPr>
        <w:t>年</w:t>
      </w:r>
      <w:r>
        <w:rPr>
          <w:rFonts w:hint="eastAsia" w:asciiTheme="minorEastAsia" w:hAnsiTheme="minorEastAsia"/>
          <w:highlight w:val="none"/>
          <w:lang w:val="en-US" w:eastAsia="zh-CN"/>
        </w:rPr>
        <w:t>04</w:t>
      </w:r>
      <w:r>
        <w:rPr>
          <w:rFonts w:hint="eastAsia" w:asciiTheme="minorEastAsia" w:hAnsiTheme="minorEastAsia"/>
          <w:highlight w:val="none"/>
        </w:rPr>
        <w:t>月</w:t>
      </w:r>
      <w:r>
        <w:rPr>
          <w:rFonts w:hint="eastAsia" w:asciiTheme="minorEastAsia" w:hAnsiTheme="minorEastAsia"/>
          <w:highlight w:val="none"/>
          <w:lang w:val="en-US" w:eastAsia="zh-CN"/>
        </w:rPr>
        <w:t>30</w:t>
      </w:r>
      <w:r>
        <w:rPr>
          <w:rFonts w:hint="eastAsia" w:asciiTheme="minorEastAsia" w:hAnsiTheme="minorEastAsia"/>
          <w:highlight w:val="none"/>
        </w:rPr>
        <w:t>日</w:t>
      </w:r>
    </w:p>
    <w:p>
      <w:pPr>
        <w:spacing w:after="156" w:afterLines="50"/>
        <w:jc w:val="right"/>
        <w:rPr>
          <w:rFonts w:ascii="华文仿宋" w:hAnsi="华文仿宋" w:eastAsia="华文仿宋"/>
          <w:highlight w:val="none"/>
        </w:rPr>
      </w:pPr>
    </w:p>
    <w:p>
      <w:pPr>
        <w:spacing w:after="156" w:afterLines="50"/>
        <w:ind w:right="840"/>
        <w:rPr>
          <w:highlight w:val="none"/>
        </w:rPr>
      </w:pPr>
    </w:p>
    <w:p>
      <w:pPr>
        <w:rPr>
          <w:rStyle w:val="17"/>
          <w:rFonts w:asciiTheme="minorEastAsia" w:hAnsiTheme="minorEastAsia"/>
          <w:b/>
          <w:i w:val="0"/>
          <w:color w:val="000000"/>
          <w:szCs w:val="21"/>
          <w:highlight w:val="none"/>
          <w14:textFill>
            <w14:solidFill>
              <w14:srgbClr w14:val="000000">
                <w14:lumMod w14:val="75000"/>
                <w14:lumOff w14:val="25000"/>
              </w14:srgbClr>
            </w14:solidFill>
          </w14:textFill>
        </w:rPr>
      </w:pPr>
      <w:r>
        <w:rPr>
          <w:rStyle w:val="17"/>
          <w:rFonts w:hint="eastAsia" w:asciiTheme="minorEastAsia" w:hAnsiTheme="minorEastAsia"/>
          <w:b/>
          <w:i w:val="0"/>
          <w:color w:val="000000"/>
          <w:szCs w:val="21"/>
          <w:highlight w:val="none"/>
          <w14:textFill>
            <w14:solidFill>
              <w14:srgbClr w14:val="000000">
                <w14:lumMod w14:val="75000"/>
                <w14:lumOff w14:val="25000"/>
              </w14:srgbClr>
            </w14:solidFill>
          </w14:textFill>
        </w:rPr>
        <w:t>一、产品概况</w:t>
      </w:r>
    </w:p>
    <w:tbl>
      <w:tblPr>
        <w:tblStyle w:val="9"/>
        <w:tblW w:w="10065"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85"/>
        <w:gridCol w:w="2977"/>
        <w:gridCol w:w="2551"/>
        <w:gridCol w:w="255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基金简称</w:t>
            </w:r>
          </w:p>
        </w:tc>
        <w:tc>
          <w:tcPr>
            <w:tcW w:w="2977"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东方阿尔法</w:t>
            </w:r>
            <w:r>
              <w:rPr>
                <w:rFonts w:hint="eastAsia" w:asciiTheme="minorEastAsia" w:hAnsiTheme="minorEastAsia"/>
                <w:szCs w:val="21"/>
                <w:highlight w:val="none"/>
              </w:rPr>
              <w:t>优选</w:t>
            </w:r>
            <w:r>
              <w:rPr>
                <w:rFonts w:hint="default" w:asciiTheme="minorEastAsia" w:hAnsiTheme="minorEastAsia"/>
                <w:szCs w:val="21"/>
                <w:highlight w:val="none"/>
              </w:rPr>
              <w:t>混合</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基金主代码</w:t>
            </w:r>
          </w:p>
        </w:tc>
        <w:tc>
          <w:tcPr>
            <w:tcW w:w="2552"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eastAsia" w:asciiTheme="minorEastAsia" w:hAnsiTheme="minorEastAsia"/>
                <w:szCs w:val="21"/>
                <w:highlight w:val="none"/>
              </w:rPr>
              <w:t>007518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下属基金简称</w:t>
            </w:r>
          </w:p>
        </w:tc>
        <w:tc>
          <w:tcPr>
            <w:tcW w:w="2977"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东方阿尔法优选混合A</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下属基金的基金代码</w:t>
            </w:r>
          </w:p>
        </w:tc>
        <w:tc>
          <w:tcPr>
            <w:tcW w:w="2552"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007518</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基金管理人</w:t>
            </w:r>
          </w:p>
        </w:tc>
        <w:tc>
          <w:tcPr>
            <w:tcW w:w="2977" w:type="dxa"/>
            <w:tcBorders>
              <w:bottom w:val="single" w:color="auto" w:sz="4" w:space="0"/>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东方阿尔法基金管理有限公司</w:t>
            </w:r>
          </w:p>
        </w:tc>
        <w:tc>
          <w:tcPr>
            <w:tcW w:w="2551" w:type="dxa"/>
            <w:tcBorders>
              <w:bottom w:val="single" w:color="auto" w:sz="4" w:space="0"/>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基金托管人</w:t>
            </w:r>
          </w:p>
        </w:tc>
        <w:tc>
          <w:tcPr>
            <w:tcW w:w="2552" w:type="dxa"/>
            <w:tcBorders>
              <w:bottom w:val="single" w:color="auto" w:sz="4" w:space="0"/>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招商银行股份有限公司</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基金合同生效日</w:t>
            </w:r>
          </w:p>
        </w:tc>
        <w:tc>
          <w:tcPr>
            <w:tcW w:w="2977" w:type="dxa"/>
            <w:tcBorders>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2019</w:t>
            </w:r>
            <w:r>
              <w:rPr>
                <w:rFonts w:hint="eastAsia" w:asciiTheme="minorEastAsia" w:hAnsiTheme="minorEastAsia"/>
                <w:szCs w:val="21"/>
                <w:highlight w:val="none"/>
              </w:rPr>
              <w:t>年9月12日</w:t>
            </w:r>
          </w:p>
        </w:tc>
        <w:tc>
          <w:tcPr>
            <w:tcW w:w="2551" w:type="dxa"/>
            <w:tcBorders>
              <w:left w:val="nil"/>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default" w:asciiTheme="minorEastAsia" w:hAnsiTheme="minorEastAsia"/>
                <w:b/>
                <w:szCs w:val="21"/>
                <w:highlight w:val="none"/>
              </w:rPr>
              <w:t>上市交易所及上市日期</w:t>
            </w:r>
          </w:p>
        </w:tc>
        <w:tc>
          <w:tcPr>
            <w:tcW w:w="2552" w:type="dxa"/>
            <w:tcBorders>
              <w:lef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暂未上市</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基金类型</w:t>
            </w:r>
          </w:p>
        </w:tc>
        <w:tc>
          <w:tcPr>
            <w:tcW w:w="2977" w:type="dxa"/>
            <w:tcBorders>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混合型</w:t>
            </w:r>
          </w:p>
        </w:tc>
        <w:tc>
          <w:tcPr>
            <w:tcW w:w="2551" w:type="dxa"/>
            <w:tcBorders>
              <w:left w:val="nil"/>
              <w:righ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交易币种</w:t>
            </w:r>
          </w:p>
        </w:tc>
        <w:tc>
          <w:tcPr>
            <w:tcW w:w="2552" w:type="dxa"/>
            <w:tcBorders>
              <w:left w:val="nil"/>
            </w:tcBorders>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人民币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1985"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运作方式</w:t>
            </w:r>
          </w:p>
        </w:tc>
        <w:tc>
          <w:tcPr>
            <w:tcW w:w="2977"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普通开放式</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开放频率</w:t>
            </w:r>
          </w:p>
        </w:tc>
        <w:tc>
          <w:tcPr>
            <w:tcW w:w="2552"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szCs w:val="21"/>
                <w:highlight w:val="none"/>
              </w:rPr>
            </w:pPr>
            <w:r>
              <w:rPr>
                <w:rFonts w:hint="default" w:asciiTheme="minorEastAsia" w:hAnsiTheme="minorEastAsia"/>
                <w:szCs w:val="21"/>
                <w:highlight w:val="none"/>
              </w:rPr>
              <w:t>每个开放日</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5" w:hRule="atLeast"/>
        </w:trPr>
        <w:tc>
          <w:tcPr>
            <w:tcW w:w="1985" w:type="dxa"/>
            <w:vMerge w:val="restart"/>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eastAsiaTheme="minorEastAsia"/>
                <w:szCs w:val="21"/>
                <w:highlight w:val="none"/>
                <w:lang w:val="en-US" w:eastAsia="zh-CN"/>
              </w:rPr>
            </w:pPr>
            <w:r>
              <w:rPr>
                <w:rFonts w:hint="eastAsia" w:asciiTheme="minorEastAsia" w:hAnsiTheme="minorEastAsia"/>
                <w:b/>
                <w:bCs/>
                <w:szCs w:val="21"/>
                <w:highlight w:val="none"/>
                <w:lang w:val="en-US" w:eastAsia="zh-CN"/>
              </w:rPr>
              <w:t>基金经理</w:t>
            </w:r>
          </w:p>
        </w:tc>
        <w:tc>
          <w:tcPr>
            <w:tcW w:w="2977" w:type="dxa"/>
            <w:vMerge w:val="restart"/>
          </w:tcPr>
          <w:p>
            <w:pPr>
              <w:keepNext w:val="0"/>
              <w:keepLines w:val="0"/>
              <w:suppressLineNumbers w:val="0"/>
              <w:spacing w:before="0" w:beforeAutospacing="0" w:after="0" w:afterAutospacing="0" w:line="360" w:lineRule="exact"/>
              <w:ind w:left="0" w:right="0"/>
              <w:jc w:val="left"/>
              <w:rPr>
                <w:rFonts w:hint="default" w:asciiTheme="minorEastAsia" w:hAnsiTheme="minorEastAsia"/>
                <w:szCs w:val="21"/>
                <w:highlight w:val="none"/>
              </w:rPr>
            </w:pPr>
          </w:p>
          <w:p>
            <w:pPr>
              <w:keepNext w:val="0"/>
              <w:keepLines w:val="0"/>
              <w:suppressLineNumbers w:val="0"/>
              <w:spacing w:before="0" w:beforeAutospacing="0" w:after="0" w:afterAutospacing="0" w:line="360" w:lineRule="exact"/>
              <w:ind w:left="0" w:right="0"/>
              <w:jc w:val="left"/>
              <w:rPr>
                <w:rFonts w:hint="default" w:asciiTheme="minorEastAsia" w:hAnsiTheme="minorEastAsia"/>
                <w:szCs w:val="21"/>
                <w:highlight w:val="none"/>
              </w:rPr>
            </w:pPr>
            <w:r>
              <w:rPr>
                <w:rFonts w:hint="default" w:asciiTheme="minorEastAsia" w:hAnsiTheme="minorEastAsia"/>
                <w:szCs w:val="21"/>
                <w:highlight w:val="none"/>
              </w:rPr>
              <w:t>周谧</w:t>
            </w: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开始担任本基金基金经理的日期</w:t>
            </w:r>
          </w:p>
        </w:tc>
        <w:tc>
          <w:tcPr>
            <w:tcW w:w="2552" w:type="dxa"/>
          </w:tcPr>
          <w:p>
            <w:pPr>
              <w:keepNext w:val="0"/>
              <w:keepLines w:val="0"/>
              <w:suppressLineNumbers w:val="0"/>
              <w:spacing w:before="0" w:beforeAutospacing="0" w:after="0" w:afterAutospacing="0" w:line="360" w:lineRule="exact"/>
              <w:ind w:left="0" w:right="0"/>
              <w:rPr>
                <w:rFonts w:hint="default" w:asciiTheme="minorEastAsia" w:hAnsiTheme="minorEastAsia"/>
                <w:szCs w:val="21"/>
                <w:highlight w:val="none"/>
              </w:rPr>
            </w:pPr>
            <w:r>
              <w:rPr>
                <w:rFonts w:hint="eastAsia" w:asciiTheme="minorEastAsia" w:hAnsiTheme="minorEastAsia"/>
                <w:szCs w:val="21"/>
                <w:highlight w:val="none"/>
              </w:rPr>
              <w:t>2</w:t>
            </w:r>
            <w:r>
              <w:rPr>
                <w:rFonts w:hint="default" w:asciiTheme="minorEastAsia" w:hAnsiTheme="minorEastAsia"/>
                <w:szCs w:val="21"/>
                <w:highlight w:val="none"/>
              </w:rPr>
              <w:t>023</w:t>
            </w:r>
            <w:r>
              <w:rPr>
                <w:rFonts w:hint="eastAsia" w:asciiTheme="minorEastAsia" w:hAnsiTheme="minorEastAsia"/>
                <w:szCs w:val="21"/>
                <w:highlight w:val="none"/>
              </w:rPr>
              <w:t>-</w:t>
            </w:r>
            <w:r>
              <w:rPr>
                <w:rFonts w:hint="default" w:asciiTheme="minorEastAsia" w:hAnsiTheme="minorEastAsia"/>
                <w:szCs w:val="21"/>
                <w:highlight w:val="none"/>
              </w:rPr>
              <w:t>03</w:t>
            </w:r>
            <w:r>
              <w:rPr>
                <w:rFonts w:hint="eastAsia" w:asciiTheme="minorEastAsia" w:hAnsiTheme="minorEastAsia"/>
                <w:szCs w:val="21"/>
                <w:highlight w:val="none"/>
              </w:rPr>
              <w:t>-</w:t>
            </w:r>
            <w:r>
              <w:rPr>
                <w:rFonts w:hint="default" w:asciiTheme="minorEastAsia" w:hAnsiTheme="minorEastAsia"/>
                <w:szCs w:val="21"/>
                <w:highlight w:val="none"/>
              </w:rPr>
              <w:t>03</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trPr>
        <w:tc>
          <w:tcPr>
            <w:tcW w:w="1985" w:type="dxa"/>
            <w:vMerge w:val="continue"/>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p>
        </w:tc>
        <w:tc>
          <w:tcPr>
            <w:tcW w:w="2977" w:type="dxa"/>
            <w:vMerge w:val="continue"/>
          </w:tcPr>
          <w:p>
            <w:pPr>
              <w:pStyle w:val="16"/>
              <w:keepNext w:val="0"/>
              <w:keepLines w:val="0"/>
              <w:suppressLineNumbers w:val="0"/>
              <w:spacing w:before="0" w:beforeAutospacing="0" w:after="0" w:afterAutospacing="0" w:line="360" w:lineRule="exact"/>
              <w:ind w:left="0" w:right="0" w:firstLine="422"/>
              <w:jc w:val="left"/>
              <w:rPr>
                <w:rFonts w:hint="default" w:asciiTheme="minorEastAsia" w:hAnsiTheme="minorEastAsia"/>
                <w:b/>
                <w:szCs w:val="21"/>
                <w:highlight w:val="none"/>
              </w:rPr>
            </w:pPr>
          </w:p>
        </w:tc>
        <w:tc>
          <w:tcPr>
            <w:tcW w:w="2551" w:type="dxa"/>
          </w:tcPr>
          <w:p>
            <w:pPr>
              <w:pStyle w:val="16"/>
              <w:keepNext w:val="0"/>
              <w:keepLines w:val="0"/>
              <w:suppressLineNumbers w:val="0"/>
              <w:spacing w:before="0" w:beforeAutospacing="0" w:after="0" w:afterAutospacing="0" w:line="360" w:lineRule="exact"/>
              <w:ind w:left="0" w:right="0" w:firstLine="0" w:firstLineChars="0"/>
              <w:rPr>
                <w:rFonts w:hint="default" w:asciiTheme="minorEastAsia" w:hAnsiTheme="minorEastAsia"/>
                <w:b/>
                <w:szCs w:val="21"/>
                <w:highlight w:val="none"/>
              </w:rPr>
            </w:pPr>
            <w:r>
              <w:rPr>
                <w:rFonts w:hint="eastAsia" w:asciiTheme="minorEastAsia" w:hAnsiTheme="minorEastAsia"/>
                <w:b/>
                <w:szCs w:val="21"/>
                <w:highlight w:val="none"/>
              </w:rPr>
              <w:t>证券从业日期</w:t>
            </w:r>
          </w:p>
        </w:tc>
        <w:tc>
          <w:tcPr>
            <w:tcW w:w="2552" w:type="dxa"/>
          </w:tcPr>
          <w:p>
            <w:pPr>
              <w:keepNext w:val="0"/>
              <w:keepLines w:val="0"/>
              <w:suppressLineNumbers w:val="0"/>
              <w:spacing w:before="0" w:beforeAutospacing="0" w:after="0" w:afterAutospacing="0" w:line="360" w:lineRule="exact"/>
              <w:ind w:left="0" w:right="0"/>
              <w:rPr>
                <w:rFonts w:hint="default" w:asciiTheme="minorEastAsia" w:hAnsiTheme="minorEastAsia"/>
                <w:szCs w:val="21"/>
                <w:highlight w:val="none"/>
              </w:rPr>
            </w:pPr>
            <w:r>
              <w:rPr>
                <w:rFonts w:hint="eastAsia" w:asciiTheme="minorEastAsia" w:hAnsiTheme="minorEastAsia"/>
                <w:szCs w:val="21"/>
                <w:highlight w:val="none"/>
              </w:rPr>
              <w:t>2</w:t>
            </w:r>
            <w:r>
              <w:rPr>
                <w:rFonts w:hint="default" w:asciiTheme="minorEastAsia" w:hAnsiTheme="minorEastAsia"/>
                <w:szCs w:val="21"/>
                <w:highlight w:val="none"/>
              </w:rPr>
              <w:t>010</w:t>
            </w:r>
            <w:r>
              <w:rPr>
                <w:rFonts w:hint="eastAsia" w:asciiTheme="minorEastAsia" w:hAnsiTheme="minorEastAsia"/>
                <w:szCs w:val="21"/>
                <w:highlight w:val="none"/>
              </w:rPr>
              <w:t>-</w:t>
            </w:r>
            <w:r>
              <w:rPr>
                <w:rFonts w:hint="default" w:asciiTheme="minorEastAsia" w:hAnsiTheme="minorEastAsia"/>
                <w:szCs w:val="21"/>
                <w:highlight w:val="none"/>
              </w:rPr>
              <w:t>07</w:t>
            </w:r>
            <w:r>
              <w:rPr>
                <w:rFonts w:hint="eastAsia" w:asciiTheme="minorEastAsia" w:hAnsiTheme="minorEastAsia"/>
                <w:szCs w:val="21"/>
                <w:highlight w:val="none"/>
              </w:rPr>
              <w:t>-</w:t>
            </w:r>
            <w:r>
              <w:rPr>
                <w:rFonts w:hint="default" w:asciiTheme="minorEastAsia" w:hAnsiTheme="minorEastAsia"/>
                <w:szCs w:val="21"/>
                <w:highlight w:val="none"/>
              </w:rPr>
              <w:t>23</w:t>
            </w:r>
          </w:p>
        </w:tc>
      </w:tr>
    </w:tbl>
    <w:p>
      <w:pPr>
        <w:spacing w:line="340" w:lineRule="exact"/>
        <w:rPr>
          <w:rFonts w:asciiTheme="minorEastAsia" w:hAnsiTheme="minorEastAsia"/>
          <w:b/>
          <w:szCs w:val="21"/>
          <w:highlight w:val="none"/>
        </w:rPr>
      </w:pPr>
    </w:p>
    <w:p>
      <w:pPr>
        <w:spacing w:line="340" w:lineRule="exact"/>
        <w:rPr>
          <w:rFonts w:asciiTheme="minorEastAsia" w:hAnsiTheme="minorEastAsia"/>
          <w:b/>
          <w:szCs w:val="21"/>
          <w:highlight w:val="none"/>
        </w:rPr>
      </w:pPr>
      <w:r>
        <w:rPr>
          <w:rFonts w:asciiTheme="minorEastAsia" w:hAnsiTheme="minorEastAsia"/>
          <w:b/>
          <w:szCs w:val="21"/>
          <w:highlight w:val="none"/>
        </w:rPr>
        <w:t>二</w:t>
      </w:r>
      <w:r>
        <w:rPr>
          <w:rFonts w:hint="eastAsia" w:asciiTheme="minorEastAsia" w:hAnsiTheme="minorEastAsia"/>
          <w:b/>
          <w:szCs w:val="21"/>
          <w:highlight w:val="none"/>
        </w:rPr>
        <w:t>、基金投资与净值表现</w:t>
      </w:r>
    </w:p>
    <w:p>
      <w:pPr>
        <w:spacing w:line="340" w:lineRule="exact"/>
        <w:rPr>
          <w:rFonts w:asciiTheme="minorEastAsia" w:hAnsiTheme="minorEastAsia"/>
          <w:b/>
          <w:szCs w:val="21"/>
          <w:highlight w:val="none"/>
        </w:rPr>
      </w:pPr>
      <w:r>
        <w:rPr>
          <w:rFonts w:hint="eastAsia" w:asciiTheme="minorEastAsia" w:hAnsiTheme="minorEastAsia"/>
          <w:b/>
          <w:szCs w:val="21"/>
          <w:highlight w:val="none"/>
        </w:rPr>
        <w:t>（一）投资目标与投资策略</w:t>
      </w:r>
    </w:p>
    <w:p>
      <w:pPr>
        <w:spacing w:line="340" w:lineRule="exact"/>
        <w:contextualSpacing/>
        <w:rPr>
          <w:rFonts w:asciiTheme="minorEastAsia" w:hAnsiTheme="minorEastAsia"/>
          <w:szCs w:val="21"/>
          <w:highlight w:val="none"/>
        </w:rPr>
      </w:pPr>
      <w:r>
        <w:rPr>
          <w:rFonts w:asciiTheme="minorEastAsia" w:hAnsiTheme="minorEastAsia"/>
          <w:szCs w:val="21"/>
          <w:highlight w:val="none"/>
        </w:rPr>
        <w:t>详见</w:t>
      </w:r>
      <w:r>
        <w:rPr>
          <w:rFonts w:hint="eastAsia" w:asciiTheme="minorEastAsia" w:hAnsiTheme="minorEastAsia"/>
          <w:szCs w:val="21"/>
          <w:highlight w:val="none"/>
        </w:rPr>
        <w:t>《东方阿尔法优选混合型发起式证券投资基金招募说明书》第九部分“基金的投资”。</w:t>
      </w:r>
    </w:p>
    <w:tbl>
      <w:tblPr>
        <w:tblStyle w:val="9"/>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40"/>
        <w:gridCol w:w="792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投资目标</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在严格控制风险的基础之上，通过深入研究、优选个股、主动的投资管理方式力求实现组合资产的稳健增值。</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投资范围</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本基金的投资范围为具有良好流动性的金融工具，包括国内依法发行上市的股票（包括主板、中小板、创业板及其他中国证监会</w:t>
            </w:r>
            <w:r>
              <w:rPr>
                <w:rFonts w:hint="default" w:asciiTheme="minorEastAsia" w:hAnsiTheme="minorEastAsia"/>
                <w:bCs/>
                <w:szCs w:val="21"/>
                <w:highlight w:val="none"/>
              </w:rPr>
              <w:t>允许基金投资</w:t>
            </w:r>
            <w:r>
              <w:rPr>
                <w:rFonts w:hint="eastAsia" w:asciiTheme="minorEastAsia" w:hAnsiTheme="minorEastAsia"/>
                <w:bCs/>
                <w:szCs w:val="21"/>
                <w:highlight w:val="none"/>
              </w:rPr>
              <w:t>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基金的投资组合比例为：本基金投资组合中股票资产投资比例为基金资产的60%-95%；其中对港股通标的股票（包括沪港通股票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主要投资策略</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Pr>
                <w:rFonts w:hint="default" w:asciiTheme="minorEastAsia" w:hAnsiTheme="minorEastAsia"/>
                <w:bCs/>
                <w:szCs w:val="21"/>
                <w:highlight w:val="none"/>
              </w:rPr>
              <w:t>恢复</w:t>
            </w:r>
            <w:r>
              <w:rPr>
                <w:rFonts w:hint="eastAsia" w:asciiTheme="minorEastAsia" w:hAnsiTheme="minorEastAsia"/>
                <w:bCs/>
                <w:szCs w:val="21"/>
                <w:highlight w:val="none"/>
              </w:rPr>
              <w:t>到合理价值的过程中，分享股价提升带来的超额收益。</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业绩比较基准</w:t>
            </w:r>
          </w:p>
        </w:tc>
        <w:tc>
          <w:tcPr>
            <w:tcW w:w="7924" w:type="dxa"/>
          </w:tcPr>
          <w:p>
            <w:pPr>
              <w:keepNext w:val="0"/>
              <w:keepLines w:val="0"/>
              <w:suppressLineNumbers w:val="0"/>
              <w:spacing w:before="0" w:beforeAutospacing="0" w:after="0" w:afterAutospacing="0" w:line="360" w:lineRule="exact"/>
              <w:ind w:left="0" w:right="0"/>
              <w:rPr>
                <w:rFonts w:hint="default" w:asciiTheme="minorEastAsia" w:hAnsiTheme="minorEastAsia"/>
                <w:szCs w:val="21"/>
                <w:highlight w:val="none"/>
              </w:rPr>
            </w:pPr>
            <w:r>
              <w:rPr>
                <w:rFonts w:hint="eastAsia" w:asciiTheme="minorEastAsia" w:hAnsiTheme="minorEastAsia"/>
                <w:bCs/>
                <w:szCs w:val="21"/>
                <w:highlight w:val="none"/>
              </w:rPr>
              <w:t>中证800指数收益率×80%+中证综合债券指数收益率×10%+恒生指数收益率×10%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40" w:type="dxa"/>
          </w:tcPr>
          <w:p>
            <w:pPr>
              <w:keepNext w:val="0"/>
              <w:keepLines w:val="0"/>
              <w:suppressLineNumbers w:val="0"/>
              <w:spacing w:before="0" w:beforeAutospacing="0" w:after="0" w:afterAutospacing="0" w:line="360" w:lineRule="exact"/>
              <w:ind w:left="0" w:right="0"/>
              <w:rPr>
                <w:rFonts w:hint="default" w:asciiTheme="minorEastAsia" w:hAnsiTheme="minorEastAsia"/>
                <w:b/>
                <w:szCs w:val="21"/>
                <w:highlight w:val="none"/>
              </w:rPr>
            </w:pPr>
            <w:r>
              <w:rPr>
                <w:rFonts w:hint="eastAsia" w:asciiTheme="minorEastAsia" w:hAnsiTheme="minorEastAsia"/>
                <w:b/>
                <w:szCs w:val="21"/>
                <w:highlight w:val="none"/>
              </w:rPr>
              <w:t>风险收益特征</w:t>
            </w:r>
          </w:p>
        </w:tc>
        <w:tc>
          <w:tcPr>
            <w:tcW w:w="7924" w:type="dxa"/>
          </w:tcPr>
          <w:p>
            <w:pPr>
              <w:keepNext w:val="0"/>
              <w:keepLines w:val="0"/>
              <w:suppressLineNumbers w:val="0"/>
              <w:spacing w:before="0" w:beforeAutospacing="0" w:after="0" w:afterAutospacing="0" w:line="360" w:lineRule="exact"/>
              <w:ind w:left="0" w:right="0" w:firstLine="420" w:firstLineChars="200"/>
              <w:rPr>
                <w:rFonts w:hint="default" w:asciiTheme="minorEastAsia" w:hAnsiTheme="minorEastAsia"/>
                <w:bCs/>
                <w:szCs w:val="21"/>
                <w:highlight w:val="none"/>
              </w:rPr>
            </w:pPr>
            <w:r>
              <w:rPr>
                <w:rFonts w:hint="eastAsia" w:asciiTheme="minorEastAsia" w:hAnsiTheme="minorEastAsia"/>
                <w:bCs/>
                <w:szCs w:val="21"/>
                <w:highlight w:val="none"/>
              </w:rPr>
              <w:t>本基金为混合型基金，其预期收益和风险高于货币型基金、债券型基金。本基金如果投资港股通标的股票，需承担汇率风险以及境外市场的风险。</w:t>
            </w:r>
          </w:p>
        </w:tc>
      </w:tr>
    </w:tbl>
    <w:p>
      <w:pPr>
        <w:spacing w:line="340" w:lineRule="exact"/>
        <w:contextualSpacing/>
        <w:rPr>
          <w:rFonts w:asciiTheme="minorEastAsia" w:hAnsiTheme="minorEastAsia"/>
          <w:szCs w:val="21"/>
          <w:highlight w:val="none"/>
        </w:rPr>
      </w:pPr>
      <w:r>
        <w:rPr>
          <w:rFonts w:asciiTheme="minorEastAsia" w:hAnsiTheme="minorEastAsia"/>
          <w:szCs w:val="21"/>
          <w:highlight w:val="none"/>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（二）投资组合资产配置图表/区域配置图表</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投资组合资产配置图表</w:t>
      </w:r>
    </w:p>
    <w:p>
      <w:pPr>
        <w:spacing w:line="340" w:lineRule="exact"/>
        <w:contextualSpacing/>
        <w:rPr>
          <w:rFonts w:asciiTheme="minorEastAsia" w:hAnsiTheme="minorEastAsia"/>
          <w:b/>
          <w:szCs w:val="21"/>
          <w:highlight w:val="none"/>
        </w:rPr>
      </w:pPr>
      <w:r>
        <w:rPr>
          <w:rFonts w:hint="default" w:ascii="Calibri" w:hAnsi="Calibri" w:eastAsia="宋体" w:cs="Times New Roman"/>
          <w:color w:val="000000"/>
          <w:kern w:val="2"/>
          <w:sz w:val="21"/>
          <w:szCs w:val="22"/>
          <w:highlight w:val="none"/>
          <w:lang w:val="en-US" w:eastAsia="zh-CN" w:bidi="ar"/>
        </w:rPr>
        <w:drawing>
          <wp:anchor distT="0" distB="0" distL="114300" distR="114300" simplePos="0" relativeHeight="251660288" behindDoc="0" locked="0" layoutInCell="1" allowOverlap="1">
            <wp:simplePos x="0" y="0"/>
            <wp:positionH relativeFrom="column">
              <wp:posOffset>532765</wp:posOffset>
            </wp:positionH>
            <wp:positionV relativeFrom="paragraph">
              <wp:posOffset>45085</wp:posOffset>
            </wp:positionV>
            <wp:extent cx="4320540" cy="2546350"/>
            <wp:effectExtent l="0" t="0" r="3810" b="6350"/>
            <wp:wrapNone/>
            <wp:docPr id="1" name="图片 1" descr="CN_51520000_007518_FA010080_2024000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N_51520000_007518_FA010080_20240003_1"/>
                    <pic:cNvPicPr>
                      <a:picLocks noChangeAspect="1"/>
                    </pic:cNvPicPr>
                  </pic:nvPicPr>
                  <pic:blipFill>
                    <a:blip r:embed="rId5"/>
                    <a:stretch>
                      <a:fillRect/>
                    </a:stretch>
                  </pic:blipFill>
                  <pic:spPr>
                    <a:xfrm>
                      <a:off x="0" y="0"/>
                      <a:ext cx="4320540" cy="2546350"/>
                    </a:xfrm>
                    <a:prstGeom prst="rect">
                      <a:avLst/>
                    </a:prstGeom>
                    <a:noFill/>
                    <a:ln>
                      <a:noFill/>
                    </a:ln>
                  </pic:spPr>
                </pic:pic>
              </a:graphicData>
            </a:graphic>
          </wp:anchor>
        </w:drawing>
      </w: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asciiTheme="minorEastAsia" w:hAnsiTheme="minorEastAsia"/>
          <w:b/>
          <w:szCs w:val="21"/>
          <w:highlight w:val="none"/>
        </w:rPr>
      </w:pPr>
    </w:p>
    <w:p>
      <w:pPr>
        <w:spacing w:line="340" w:lineRule="exact"/>
        <w:contextualSpacing/>
        <w:rPr>
          <w:rFonts w:hint="eastAsia" w:asciiTheme="minorEastAsia" w:hAnsiTheme="minorEastAsia"/>
          <w:b/>
          <w:szCs w:val="21"/>
          <w:highlight w:val="none"/>
        </w:rPr>
      </w:pP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（三）自基金合同生效以来基金每年的净值增长率与同期业绩比较基准的比较图</w:t>
      </w: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r>
        <w:rPr>
          <w:rFonts w:hint="default" w:ascii="Calibri" w:hAnsi="Calibri" w:eastAsia="宋体" w:cs="Times New Roman"/>
          <w:color w:val="000000"/>
          <w:kern w:val="2"/>
          <w:sz w:val="21"/>
          <w:szCs w:val="22"/>
          <w:highlight w:val="none"/>
          <w:lang w:val="en-US" w:eastAsia="zh-CN" w:bidi="ar"/>
        </w:rPr>
        <w:drawing>
          <wp:anchor distT="0" distB="0" distL="114300" distR="114300" simplePos="0" relativeHeight="251661312" behindDoc="0" locked="0" layoutInCell="1" allowOverlap="1">
            <wp:simplePos x="0" y="0"/>
            <wp:positionH relativeFrom="column">
              <wp:posOffset>408940</wp:posOffset>
            </wp:positionH>
            <wp:positionV relativeFrom="paragraph">
              <wp:posOffset>140335</wp:posOffset>
            </wp:positionV>
            <wp:extent cx="4795520" cy="2826385"/>
            <wp:effectExtent l="0" t="0" r="5080" b="12065"/>
            <wp:wrapNone/>
            <wp:docPr id="3" name="图片 2" descr="CN_51520000_007518_FA010080_20240003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N_51520000_007518_FA010080_20240003_6"/>
                    <pic:cNvPicPr>
                      <a:picLocks noChangeAspect="1"/>
                    </pic:cNvPicPr>
                  </pic:nvPicPr>
                  <pic:blipFill>
                    <a:blip r:embed="rId6"/>
                    <a:stretch>
                      <a:fillRect/>
                    </a:stretch>
                  </pic:blipFill>
                  <pic:spPr>
                    <a:xfrm>
                      <a:off x="0" y="0"/>
                      <a:ext cx="4795520" cy="2826385"/>
                    </a:xfrm>
                    <a:prstGeom prst="rect">
                      <a:avLst/>
                    </a:prstGeom>
                    <a:noFill/>
                    <a:ln>
                      <a:noFill/>
                    </a:ln>
                  </pic:spPr>
                </pic:pic>
              </a:graphicData>
            </a:graphic>
          </wp:anchor>
        </w:drawing>
      </w: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ascii="宋体" w:hAnsi="Calibri" w:eastAsia="宋体" w:cs="宋体"/>
          <w:color w:val="000000"/>
          <w:kern w:val="0"/>
          <w:szCs w:val="21"/>
          <w:highlight w:val="none"/>
        </w:rPr>
      </w:pPr>
    </w:p>
    <w:p>
      <w:pPr>
        <w:spacing w:line="340" w:lineRule="exact"/>
        <w:contextualSpacing/>
        <w:rPr>
          <w:rFonts w:hint="eastAsia" w:asciiTheme="minorEastAsia" w:hAnsiTheme="minorEastAsia"/>
          <w:b/>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三</w:t>
      </w:r>
      <w:r>
        <w:rPr>
          <w:rFonts w:hint="eastAsia" w:asciiTheme="minorEastAsia" w:hAnsiTheme="minorEastAsia"/>
          <w:b/>
          <w:szCs w:val="21"/>
          <w:highlight w:val="none"/>
        </w:rPr>
        <w:t>、</w:t>
      </w:r>
      <w:r>
        <w:rPr>
          <w:rFonts w:asciiTheme="minorEastAsia" w:hAnsiTheme="minorEastAsia"/>
          <w:b/>
          <w:szCs w:val="21"/>
          <w:highlight w:val="none"/>
        </w:rPr>
        <w:t>投资本基金涉及的费用</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（一）基金销售相关费用</w:t>
      </w:r>
    </w:p>
    <w:p>
      <w:pPr>
        <w:spacing w:line="340" w:lineRule="exact"/>
        <w:ind w:firstLine="420" w:firstLineChars="200"/>
        <w:contextualSpacing/>
        <w:rPr>
          <w:rFonts w:asciiTheme="minorEastAsia" w:hAnsiTheme="minorEastAsia"/>
          <w:szCs w:val="21"/>
          <w:highlight w:val="none"/>
        </w:rPr>
      </w:pPr>
      <w:r>
        <w:rPr>
          <w:rFonts w:asciiTheme="minorEastAsia" w:hAnsiTheme="minorEastAsia"/>
          <w:szCs w:val="21"/>
          <w:highlight w:val="none"/>
        </w:rPr>
        <w:t>以下费用在申购</w:t>
      </w:r>
      <w:r>
        <w:rPr>
          <w:rFonts w:hint="eastAsia" w:asciiTheme="minorEastAsia" w:hAnsiTheme="minorEastAsia"/>
          <w:szCs w:val="21"/>
          <w:highlight w:val="none"/>
        </w:rPr>
        <w:t>/赎回基金过程中收取：</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东方阿尔法优选混合A</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52"/>
        <w:gridCol w:w="2835"/>
        <w:gridCol w:w="1843"/>
        <w:gridCol w:w="198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2552"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费用类型</w:t>
            </w:r>
          </w:p>
        </w:tc>
        <w:tc>
          <w:tcPr>
            <w:tcW w:w="2835"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金额（M）/</w:t>
            </w:r>
          </w:p>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持有期间（N）</w:t>
            </w:r>
          </w:p>
        </w:tc>
        <w:tc>
          <w:tcPr>
            <w:tcW w:w="1843"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收费方式/费率</w:t>
            </w:r>
          </w:p>
        </w:tc>
        <w:tc>
          <w:tcPr>
            <w:tcW w:w="1984"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备注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restart"/>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申购费（前收费）</w:t>
            </w: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M＜</w:t>
            </w:r>
            <w:r>
              <w:rPr>
                <w:rFonts w:hint="default" w:asciiTheme="minorEastAsia" w:hAnsiTheme="minorEastAsia"/>
                <w:szCs w:val="21"/>
                <w:highlight w:val="none"/>
              </w:rPr>
              <w:t>100</w:t>
            </w:r>
            <w:r>
              <w:rPr>
                <w:rFonts w:hint="eastAsia" w:asciiTheme="minorEastAsia" w:hAnsiTheme="minorEastAsia"/>
                <w:szCs w:val="21"/>
                <w:highlight w:val="none"/>
              </w:rPr>
              <w:t>万</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1.50%</w:t>
            </w:r>
          </w:p>
        </w:tc>
        <w:tc>
          <w:tcPr>
            <w:tcW w:w="1984" w:type="dxa"/>
            <w:vAlign w:val="top"/>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eastAsiaTheme="minorEastAsia" w:cstheme="minorBidi"/>
                <w:kern w:val="2"/>
                <w:sz w:val="21"/>
                <w:szCs w:val="21"/>
                <w:highlight w:val="none"/>
                <w:lang w:val="en-US" w:eastAsia="zh-CN" w:bidi="ar-SA"/>
              </w:rPr>
            </w:pPr>
            <w:r>
              <w:rPr>
                <w:rFonts w:hint="default"/>
                <w:highlight w:val="none"/>
              </w:rPr>
              <w:t>非特定投资群体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100</w:t>
            </w:r>
            <w:r>
              <w:rPr>
                <w:rFonts w:hint="eastAsia" w:asciiTheme="minorEastAsia" w:hAnsiTheme="minorEastAsia"/>
                <w:szCs w:val="21"/>
                <w:highlight w:val="none"/>
              </w:rPr>
              <w:t>万≤M＜</w:t>
            </w:r>
            <w:r>
              <w:rPr>
                <w:rFonts w:hint="default" w:asciiTheme="minorEastAsia" w:hAnsiTheme="minorEastAsia"/>
                <w:szCs w:val="21"/>
                <w:highlight w:val="none"/>
              </w:rPr>
              <w:t>500</w:t>
            </w:r>
            <w:r>
              <w:rPr>
                <w:rFonts w:hint="eastAsia" w:asciiTheme="minorEastAsia" w:hAnsiTheme="minorEastAsia"/>
                <w:szCs w:val="21"/>
                <w:highlight w:val="none"/>
              </w:rPr>
              <w:t>万</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1.00%</w:t>
            </w:r>
          </w:p>
        </w:tc>
        <w:tc>
          <w:tcPr>
            <w:tcW w:w="1984" w:type="dxa"/>
            <w:vAlign w:val="top"/>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eastAsiaTheme="minorEastAsia" w:cstheme="minorBidi"/>
                <w:kern w:val="2"/>
                <w:sz w:val="21"/>
                <w:szCs w:val="21"/>
                <w:highlight w:val="none"/>
                <w:lang w:val="en-US" w:eastAsia="zh-CN" w:bidi="ar-SA"/>
              </w:rPr>
            </w:pPr>
            <w:r>
              <w:rPr>
                <w:rFonts w:hint="default"/>
                <w:highlight w:val="none"/>
              </w:rPr>
              <w:t>非特定投资群体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M≥</w:t>
            </w:r>
            <w:r>
              <w:rPr>
                <w:rFonts w:hint="default" w:asciiTheme="minorEastAsia" w:hAnsiTheme="minorEastAsia"/>
                <w:szCs w:val="21"/>
                <w:highlight w:val="none"/>
              </w:rPr>
              <w:t>500</w:t>
            </w:r>
            <w:r>
              <w:rPr>
                <w:rFonts w:hint="eastAsia" w:asciiTheme="minorEastAsia" w:hAnsiTheme="minorEastAsia"/>
                <w:szCs w:val="21"/>
                <w:highlight w:val="none"/>
              </w:rPr>
              <w:t>万</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1000元/笔</w:t>
            </w:r>
          </w:p>
        </w:tc>
        <w:tc>
          <w:tcPr>
            <w:tcW w:w="1984" w:type="dxa"/>
            <w:vAlign w:val="top"/>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eastAsiaTheme="minorEastAsia" w:cstheme="minorBidi"/>
                <w:kern w:val="2"/>
                <w:sz w:val="21"/>
                <w:szCs w:val="21"/>
                <w:highlight w:val="none"/>
                <w:lang w:val="en-US" w:eastAsia="zh-CN" w:bidi="ar-SA"/>
              </w:rPr>
            </w:pPr>
            <w:r>
              <w:rPr>
                <w:rFonts w:hint="default"/>
                <w:highlight w:val="none"/>
              </w:rPr>
              <w:t>非特定投资群体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M＜</w:t>
            </w:r>
            <w:r>
              <w:rPr>
                <w:rFonts w:hint="default" w:asciiTheme="minorEastAsia" w:hAnsiTheme="minorEastAsia"/>
                <w:szCs w:val="21"/>
                <w:highlight w:val="none"/>
              </w:rPr>
              <w:t>100</w:t>
            </w:r>
            <w:r>
              <w:rPr>
                <w:rFonts w:hint="eastAsia" w:asciiTheme="minorEastAsia" w:hAnsiTheme="minorEastAsia"/>
                <w:szCs w:val="21"/>
                <w:highlight w:val="none"/>
              </w:rPr>
              <w:t>万</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0.15%</w:t>
            </w:r>
          </w:p>
        </w:tc>
        <w:tc>
          <w:tcPr>
            <w:tcW w:w="1984" w:type="dxa"/>
            <w:vAlign w:val="top"/>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eastAsiaTheme="minorEastAsia" w:cstheme="minorBidi"/>
                <w:kern w:val="2"/>
                <w:sz w:val="21"/>
                <w:szCs w:val="21"/>
                <w:highlight w:val="none"/>
                <w:lang w:val="en-US" w:eastAsia="zh-CN" w:bidi="ar-SA"/>
              </w:rPr>
            </w:pPr>
            <w:r>
              <w:rPr>
                <w:rFonts w:hint="default"/>
                <w:highlight w:val="none"/>
              </w:rPr>
              <w:t>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100</w:t>
            </w:r>
            <w:r>
              <w:rPr>
                <w:rFonts w:hint="eastAsia" w:asciiTheme="minorEastAsia" w:hAnsiTheme="minorEastAsia"/>
                <w:szCs w:val="21"/>
                <w:highlight w:val="none"/>
              </w:rPr>
              <w:t>万≤M＜</w:t>
            </w:r>
            <w:r>
              <w:rPr>
                <w:rFonts w:hint="default" w:asciiTheme="minorEastAsia" w:hAnsiTheme="minorEastAsia"/>
                <w:szCs w:val="21"/>
                <w:highlight w:val="none"/>
              </w:rPr>
              <w:t>500</w:t>
            </w:r>
            <w:r>
              <w:rPr>
                <w:rFonts w:hint="eastAsia" w:asciiTheme="minorEastAsia" w:hAnsiTheme="minorEastAsia"/>
                <w:szCs w:val="21"/>
                <w:highlight w:val="none"/>
              </w:rPr>
              <w:t>万</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0.10%</w:t>
            </w:r>
          </w:p>
        </w:tc>
        <w:tc>
          <w:tcPr>
            <w:tcW w:w="1984" w:type="dxa"/>
            <w:vAlign w:val="top"/>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eastAsiaTheme="minorEastAsia" w:cstheme="minorBidi"/>
                <w:kern w:val="2"/>
                <w:sz w:val="21"/>
                <w:szCs w:val="21"/>
                <w:highlight w:val="none"/>
                <w:lang w:val="en-US" w:eastAsia="zh-CN" w:bidi="ar-SA"/>
              </w:rPr>
            </w:pPr>
            <w:r>
              <w:rPr>
                <w:rFonts w:hint="default"/>
                <w:highlight w:val="none"/>
              </w:rPr>
              <w:t>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M≥</w:t>
            </w:r>
            <w:r>
              <w:rPr>
                <w:rFonts w:hint="default" w:asciiTheme="minorEastAsia" w:hAnsiTheme="minorEastAsia"/>
                <w:szCs w:val="21"/>
                <w:highlight w:val="none"/>
              </w:rPr>
              <w:t>500</w:t>
            </w:r>
            <w:r>
              <w:rPr>
                <w:rFonts w:hint="eastAsia" w:asciiTheme="minorEastAsia" w:hAnsiTheme="minorEastAsia"/>
                <w:szCs w:val="21"/>
                <w:highlight w:val="none"/>
              </w:rPr>
              <w:t>万</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1000元/笔</w:t>
            </w:r>
          </w:p>
        </w:tc>
        <w:tc>
          <w:tcPr>
            <w:tcW w:w="1984" w:type="dxa"/>
            <w:vAlign w:val="top"/>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eastAsiaTheme="minorEastAsia" w:cstheme="minorBidi"/>
                <w:kern w:val="2"/>
                <w:sz w:val="21"/>
                <w:szCs w:val="21"/>
                <w:highlight w:val="none"/>
                <w:lang w:val="en-US" w:eastAsia="zh-CN" w:bidi="ar-SA"/>
              </w:rPr>
            </w:pPr>
            <w:r>
              <w:rPr>
                <w:rFonts w:hint="default"/>
                <w:highlight w:val="none"/>
              </w:rPr>
              <w:t>特定投资群体</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restart"/>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赎回费</w:t>
            </w: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0＜N＜7天</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1.50%</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7天≤N＜30天</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0.75%</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30天≤N＜</w:t>
            </w:r>
            <w:r>
              <w:rPr>
                <w:rFonts w:hint="default" w:asciiTheme="minorEastAsia" w:hAnsiTheme="minorEastAsia"/>
                <w:szCs w:val="21"/>
                <w:highlight w:val="none"/>
              </w:rPr>
              <w:t>365</w:t>
            </w:r>
            <w:r>
              <w:rPr>
                <w:rFonts w:hint="eastAsia" w:asciiTheme="minorEastAsia" w:hAnsiTheme="minorEastAsia"/>
                <w:szCs w:val="21"/>
                <w:highlight w:val="none"/>
              </w:rPr>
              <w:t>天</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0.50%</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365天≤N＜</w:t>
            </w:r>
            <w:r>
              <w:rPr>
                <w:rFonts w:hint="eastAsia" w:asciiTheme="minorEastAsia" w:hAnsiTheme="minorEastAsia"/>
                <w:szCs w:val="21"/>
                <w:highlight w:val="none"/>
              </w:rPr>
              <w:t>730天</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0.</w:t>
            </w:r>
            <w:r>
              <w:rPr>
                <w:rFonts w:hint="default" w:asciiTheme="minorEastAsia" w:hAnsiTheme="minorEastAsia"/>
                <w:szCs w:val="21"/>
                <w:highlight w:val="none"/>
              </w:rPr>
              <w:t>25</w:t>
            </w:r>
            <w:r>
              <w:rPr>
                <w:rFonts w:hint="eastAsia" w:asciiTheme="minorEastAsia" w:hAnsiTheme="minorEastAsia"/>
                <w:szCs w:val="21"/>
                <w:highlight w:val="none"/>
              </w:rPr>
              <w:t>%</w:t>
            </w:r>
          </w:p>
        </w:tc>
        <w:tc>
          <w:tcPr>
            <w:tcW w:w="1984" w:type="dxa"/>
          </w:tcPr>
          <w:p>
            <w:pPr>
              <w:keepNext w:val="0"/>
              <w:keepLines w:val="0"/>
              <w:suppressLineNumbers w:val="0"/>
              <w:spacing w:before="0" w:beforeAutospacing="0" w:after="0" w:afterAutospacing="0"/>
              <w:ind w:left="0" w:right="0"/>
              <w:contextualSpacing/>
              <w:rPr>
                <w:rFonts w:hint="default" w:asciiTheme="minorEastAsia" w:hAnsiTheme="minorEastAsia"/>
                <w:szCs w:val="21"/>
                <w:highlight w:val="none"/>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 w:hRule="atLeast"/>
        </w:trPr>
        <w:tc>
          <w:tcPr>
            <w:tcW w:w="2552" w:type="dxa"/>
            <w:vMerge w:val="continue"/>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c>
          <w:tcPr>
            <w:tcW w:w="2835"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default" w:asciiTheme="minorEastAsia" w:hAnsiTheme="minorEastAsia"/>
                <w:szCs w:val="21"/>
                <w:highlight w:val="none"/>
              </w:rPr>
              <w:t>730天≤N</w:t>
            </w:r>
          </w:p>
        </w:tc>
        <w:tc>
          <w:tcPr>
            <w:tcW w:w="1843"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0%</w:t>
            </w:r>
          </w:p>
        </w:tc>
        <w:tc>
          <w:tcPr>
            <w:tcW w:w="1984"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p>
        </w:tc>
      </w:tr>
    </w:tbl>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注:投资人重复申购，须按每次申购所对应的费率档次分别计费。</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（二）基金运作相关费用</w:t>
      </w:r>
    </w:p>
    <w:p>
      <w:pPr>
        <w:spacing w:line="340" w:lineRule="exact"/>
        <w:ind w:firstLine="422" w:firstLineChars="200"/>
        <w:contextualSpacing/>
        <w:rPr>
          <w:rFonts w:asciiTheme="minorEastAsia" w:hAnsiTheme="minorEastAsia"/>
          <w:b/>
          <w:szCs w:val="21"/>
          <w:highlight w:val="none"/>
        </w:rPr>
      </w:pPr>
      <w:r>
        <w:rPr>
          <w:rFonts w:asciiTheme="minorEastAsia" w:hAnsiTheme="minorEastAsia"/>
          <w:b/>
          <w:szCs w:val="21"/>
          <w:highlight w:val="none"/>
        </w:rPr>
        <w:t>以下费用将从基金资产中扣除</w:t>
      </w:r>
    </w:p>
    <w:tbl>
      <w:tblPr>
        <w:tblStyle w:val="9"/>
        <w:tblW w:w="0" w:type="auto"/>
        <w:tblInd w:w="567"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268"/>
        <w:gridCol w:w="694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费用类型</w:t>
            </w:r>
          </w:p>
        </w:tc>
        <w:tc>
          <w:tcPr>
            <w:tcW w:w="6946" w:type="dxa"/>
          </w:tcPr>
          <w:p>
            <w:pPr>
              <w:keepNext w:val="0"/>
              <w:keepLines w:val="0"/>
              <w:suppressLineNumbers w:val="0"/>
              <w:spacing w:before="0" w:beforeAutospacing="0" w:after="0" w:afterAutospacing="0" w:line="340" w:lineRule="exact"/>
              <w:ind w:left="0" w:right="0"/>
              <w:contextualSpacing/>
              <w:jc w:val="center"/>
              <w:rPr>
                <w:rFonts w:hint="default" w:asciiTheme="minorEastAsia" w:hAnsiTheme="minorEastAsia"/>
                <w:b/>
                <w:szCs w:val="21"/>
                <w:highlight w:val="none"/>
              </w:rPr>
            </w:pPr>
            <w:r>
              <w:rPr>
                <w:rFonts w:hint="eastAsia" w:asciiTheme="minorEastAsia" w:hAnsiTheme="minorEastAsia"/>
                <w:b/>
                <w:szCs w:val="21"/>
                <w:highlight w:val="none"/>
              </w:rPr>
              <w:t>收费方式/年费率</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管理费</w:t>
            </w:r>
          </w:p>
        </w:tc>
        <w:tc>
          <w:tcPr>
            <w:tcW w:w="6946"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固定费率1.</w:t>
            </w:r>
            <w:r>
              <w:rPr>
                <w:rFonts w:hint="default" w:asciiTheme="minorEastAsia" w:hAnsiTheme="minorEastAsia"/>
                <w:szCs w:val="21"/>
                <w:highlight w:val="none"/>
              </w:rPr>
              <w:t>20</w:t>
            </w:r>
            <w:r>
              <w:rPr>
                <w:rFonts w:hint="eastAsia" w:asciiTheme="minorEastAsia" w:hAnsiTheme="minorEastAsia"/>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eastAsia" w:asciiTheme="minorEastAsia" w:hAnsiTheme="minorEastAsia"/>
                <w:b/>
                <w:szCs w:val="21"/>
                <w:highlight w:val="none"/>
              </w:rPr>
              <w:t>托管费</w:t>
            </w:r>
          </w:p>
        </w:tc>
        <w:tc>
          <w:tcPr>
            <w:tcW w:w="6946"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szCs w:val="21"/>
                <w:highlight w:val="none"/>
              </w:rPr>
            </w:pPr>
            <w:r>
              <w:rPr>
                <w:rFonts w:hint="eastAsia" w:asciiTheme="minorEastAsia" w:hAnsiTheme="minorEastAsia"/>
                <w:szCs w:val="21"/>
                <w:highlight w:val="none"/>
              </w:rPr>
              <w:t>固定费率0.</w:t>
            </w:r>
            <w:r>
              <w:rPr>
                <w:rFonts w:hint="default" w:asciiTheme="minorEastAsia" w:hAnsiTheme="minorEastAsia"/>
                <w:szCs w:val="21"/>
                <w:highlight w:val="none"/>
              </w:rPr>
              <w:t>20</w:t>
            </w:r>
            <w:r>
              <w:rPr>
                <w:rFonts w:hint="eastAsia" w:asciiTheme="minorEastAsia" w:hAnsiTheme="minorEastAsia"/>
                <w:szCs w:val="21"/>
                <w:highlight w:val="none"/>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268" w:type="dxa"/>
          </w:tcPr>
          <w:p>
            <w:pPr>
              <w:keepNext w:val="0"/>
              <w:keepLines w:val="0"/>
              <w:suppressLineNumbers w:val="0"/>
              <w:spacing w:before="0" w:beforeAutospacing="0" w:after="0" w:afterAutospacing="0" w:line="340" w:lineRule="exact"/>
              <w:ind w:left="0" w:right="0"/>
              <w:contextualSpacing/>
              <w:rPr>
                <w:rFonts w:hint="default" w:asciiTheme="minorEastAsia" w:hAnsiTheme="minorEastAsia"/>
                <w:b/>
                <w:szCs w:val="21"/>
                <w:highlight w:val="none"/>
              </w:rPr>
            </w:pPr>
            <w:r>
              <w:rPr>
                <w:rFonts w:hint="default" w:asciiTheme="minorEastAsia" w:hAnsiTheme="minorEastAsia"/>
                <w:b/>
                <w:szCs w:val="21"/>
                <w:highlight w:val="none"/>
              </w:rPr>
              <w:t>其他费用</w:t>
            </w:r>
          </w:p>
        </w:tc>
        <w:tc>
          <w:tcPr>
            <w:tcW w:w="6946" w:type="dxa"/>
          </w:tcPr>
          <w:p>
            <w:pPr>
              <w:keepNext w:val="0"/>
              <w:keepLines w:val="0"/>
              <w:suppressLineNumbers w:val="0"/>
              <w:spacing w:before="0" w:beforeAutospacing="0" w:after="0" w:afterAutospacing="0" w:line="340" w:lineRule="exact"/>
              <w:ind w:left="0" w:right="0" w:firstLine="420" w:firstLineChars="200"/>
              <w:contextualSpacing/>
              <w:rPr>
                <w:rFonts w:hint="default" w:asciiTheme="minorEastAsia" w:hAnsiTheme="minorEastAsia"/>
                <w:szCs w:val="21"/>
                <w:highlight w:val="none"/>
              </w:rPr>
            </w:pPr>
            <w:r>
              <w:rPr>
                <w:rFonts w:hint="eastAsia" w:asciiTheme="minorEastAsia" w:hAnsiTheme="minorEastAsia"/>
                <w:szCs w:val="21"/>
                <w:highlight w:val="none"/>
              </w:rPr>
              <w:t>《基金合同》生效后与基金相关的信息披露费用、会计师费、律师费、诉讼费和仲裁费；基金份额持有人大会费用；基金的证券、期货交易费用；基金的银行汇划费用；基金的开户费用、账户维护费用；基金投资港股通标的股票的合理费用；证券账户的开户费、账户维护费用；</w:t>
            </w:r>
            <w:r>
              <w:rPr>
                <w:rFonts w:hint="default" w:asciiTheme="minorEastAsia" w:hAnsiTheme="minorEastAsia"/>
                <w:bCs/>
                <w:szCs w:val="21"/>
                <w:highlight w:val="none"/>
              </w:rPr>
              <w:t>按照国家有关规定和《基金合同》约定，可以在基金财产中列支的其他费用</w:t>
            </w:r>
            <w:r>
              <w:rPr>
                <w:rFonts w:hint="eastAsia" w:asciiTheme="minorEastAsia" w:hAnsiTheme="minorEastAsia"/>
                <w:bCs/>
                <w:szCs w:val="21"/>
                <w:highlight w:val="none"/>
              </w:rPr>
              <w:t>。</w:t>
            </w:r>
          </w:p>
        </w:tc>
      </w:tr>
    </w:tbl>
    <w:p>
      <w:pPr>
        <w:spacing w:line="340" w:lineRule="exact"/>
        <w:ind w:firstLine="420" w:firstLineChars="200"/>
        <w:contextualSpacing/>
        <w:rPr>
          <w:rFonts w:asciiTheme="minorEastAsia" w:hAnsiTheme="minorEastAsia"/>
          <w:szCs w:val="21"/>
          <w:highlight w:val="none"/>
        </w:rPr>
      </w:pPr>
      <w:r>
        <w:rPr>
          <w:rFonts w:asciiTheme="minorEastAsia" w:hAnsiTheme="minorEastAsia"/>
          <w:szCs w:val="21"/>
          <w:highlight w:val="none"/>
        </w:rPr>
        <w:t>注</w:t>
      </w:r>
      <w:r>
        <w:rPr>
          <w:rFonts w:hint="eastAsia" w:asciiTheme="minorEastAsia" w:hAnsiTheme="minorEastAsia"/>
          <w:szCs w:val="21"/>
          <w:highlight w:val="none"/>
        </w:rPr>
        <w:t>：本基金交易证券、基金等产生的费用和税负，按实际发生额从基金资产扣除。</w:t>
      </w:r>
    </w:p>
    <w:p>
      <w:pPr>
        <w:spacing w:line="340" w:lineRule="exact"/>
        <w:ind w:firstLine="420" w:firstLineChars="200"/>
        <w:contextualSpacing/>
        <w:rPr>
          <w:rFonts w:asciiTheme="minorEastAsia" w:hAnsiTheme="minorEastAsia"/>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四</w:t>
      </w:r>
      <w:r>
        <w:rPr>
          <w:rFonts w:hint="eastAsia" w:asciiTheme="minorEastAsia" w:hAnsiTheme="minorEastAsia"/>
          <w:b/>
          <w:szCs w:val="21"/>
          <w:highlight w:val="none"/>
        </w:rPr>
        <w:t>、</w:t>
      </w:r>
      <w:r>
        <w:rPr>
          <w:rFonts w:asciiTheme="minorEastAsia" w:hAnsiTheme="minorEastAsia"/>
          <w:b/>
          <w:szCs w:val="21"/>
          <w:highlight w:val="none"/>
        </w:rPr>
        <w:t>风险揭示与重要提示</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（一）风险揭示</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本基金不提供任何保证。投资者可能损失本金。投资有风险，投资者购买基金时应认真阅读本基金的《招募说明书》等销售文件。</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1、本基金特有风险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（1）本基金投资于股票的比例占基金资产的60%-95%，投资集中度比较明显，股票市场的价格波动可能会导致基金净值发生剧烈波动的风险。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（2）</w:t>
      </w:r>
      <w:r>
        <w:rPr>
          <w:rFonts w:asciiTheme="minorEastAsia" w:hAnsiTheme="minorEastAsia"/>
          <w:szCs w:val="21"/>
          <w:highlight w:val="none"/>
        </w:rPr>
        <w:t>本基金为发起式基金</w:t>
      </w:r>
      <w:r>
        <w:rPr>
          <w:rFonts w:hint="eastAsia" w:asciiTheme="minorEastAsia" w:hAnsiTheme="minorEastAsia"/>
          <w:szCs w:val="21"/>
          <w:highlight w:val="none"/>
        </w:rPr>
        <w:t>，</w:t>
      </w:r>
      <w:r>
        <w:rPr>
          <w:rFonts w:hint="eastAsia" w:asciiTheme="minorEastAsia" w:hAnsiTheme="minorEastAsia"/>
          <w:bCs/>
          <w:szCs w:val="21"/>
          <w:highlight w:val="none"/>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3</w:t>
      </w:r>
      <w:r>
        <w:rPr>
          <w:rFonts w:hint="eastAsia" w:asciiTheme="minorEastAsia" w:hAnsiTheme="minorEastAsia"/>
          <w:szCs w:val="21"/>
          <w:highlight w:val="none"/>
        </w:rPr>
        <w:t>）本基金可投资股指期货，可能会出现的风险包括基差风险、合约品种差异造成的风险、标的物风险、衍生品模型风险等。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4</w:t>
      </w:r>
      <w:r>
        <w:rPr>
          <w:rFonts w:hint="eastAsia" w:asciiTheme="minorEastAsia" w:hAnsiTheme="minorEastAsia"/>
          <w:szCs w:val="21"/>
          <w:highlight w:val="none"/>
        </w:rPr>
        <w:t>）本基金可投资国债期货，国债期货的风险主要包含市场风险、流动性风险、信用风险、合规性风险以及国债期货实物交割风险等。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5</w:t>
      </w:r>
      <w:r>
        <w:rPr>
          <w:rFonts w:hint="eastAsia" w:asciiTheme="minorEastAsia" w:hAnsiTheme="minorEastAsia"/>
          <w:szCs w:val="21"/>
          <w:highlight w:val="none"/>
        </w:rPr>
        <w:t>）本基金可投资资产支持类证券，资产支持证券的风险主要包括信用风险、利率风险、流动性风险、提前偿付风险等。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（6）</w:t>
      </w:r>
      <w:r>
        <w:rPr>
          <w:rFonts w:asciiTheme="minorEastAsia" w:hAnsiTheme="minorEastAsia"/>
          <w:szCs w:val="21"/>
          <w:highlight w:val="none"/>
        </w:rPr>
        <w:t>本基金除了投资于A股市场优质企业外，还可在法律法规规定的范围内投资港股通标的股票，会面临港股通机制下因投资环境、投资标的、市场制度以及交易规则等差异带来的特有风险。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（7）本基金可投资科创板上市交易股票，将承担因上市条件、交易规则、退市制度等差异带来的特有风险，包括流动性风险、退市风险、投资集中风险等。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8</w:t>
      </w:r>
      <w:r>
        <w:rPr>
          <w:rFonts w:hint="eastAsia" w:asciiTheme="minorEastAsia" w:hAnsiTheme="minorEastAsia"/>
          <w:szCs w:val="21"/>
          <w:highlight w:val="none"/>
        </w:rPr>
        <w:t>）</w:t>
      </w:r>
      <w:r>
        <w:rPr>
          <w:rFonts w:asciiTheme="minorEastAsia" w:hAnsiTheme="minorEastAsia"/>
          <w:szCs w:val="21"/>
          <w:highlight w:val="none"/>
        </w:rPr>
        <w:t>本基金可参与融资交易，融资交易的风险主要包括流动性风险、信用风险等，这些风险可能会给基金净值带来一定的负面影响和损失。</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（9）本基金的投资范围包括存托凭证，如果投资，可能面临存托凭证价格大幅波动甚至出现较大亏损的风险，以及与创新企业发行人、境外发行人、存托凭证发行机制和交易机制等相关的风险。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w:t>
      </w:r>
      <w:r>
        <w:rPr>
          <w:rFonts w:asciiTheme="minorEastAsia" w:hAnsiTheme="minorEastAsia"/>
          <w:szCs w:val="21"/>
          <w:highlight w:val="none"/>
        </w:rPr>
        <w:t>10</w:t>
      </w:r>
      <w:r>
        <w:rPr>
          <w:rFonts w:hint="eastAsia" w:asciiTheme="minorEastAsia" w:hAnsiTheme="minorEastAsia"/>
          <w:szCs w:val="21"/>
          <w:highlight w:val="none"/>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2、开放式基金的共有风险：市场风险、管理风险、职业道德风险、流动性风险、合规风险、投资管理风险、操作和技术风险以及不可抗力可能导致的其他风险。</w:t>
      </w:r>
    </w:p>
    <w:p>
      <w:pPr>
        <w:spacing w:line="340" w:lineRule="exact"/>
        <w:contextualSpacing/>
        <w:rPr>
          <w:rFonts w:asciiTheme="minorEastAsia" w:hAnsiTheme="minorEastAsia"/>
          <w:b/>
          <w:szCs w:val="21"/>
          <w:highlight w:val="none"/>
        </w:rPr>
      </w:pPr>
      <w:r>
        <w:rPr>
          <w:rFonts w:hint="eastAsia" w:asciiTheme="minorEastAsia" w:hAnsiTheme="minorEastAsia"/>
          <w:b/>
          <w:szCs w:val="21"/>
          <w:highlight w:val="none"/>
        </w:rPr>
        <w:t>（二）重要提示</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中国证监会对本基金募集的</w:t>
      </w:r>
      <w:r>
        <w:rPr>
          <w:rFonts w:asciiTheme="minorEastAsia" w:hAnsiTheme="minorEastAsia"/>
          <w:szCs w:val="21"/>
          <w:highlight w:val="none"/>
        </w:rPr>
        <w:t>注册</w:t>
      </w:r>
      <w:r>
        <w:rPr>
          <w:rFonts w:hint="eastAsia" w:asciiTheme="minorEastAsia" w:hAnsiTheme="minorEastAsia"/>
          <w:szCs w:val="21"/>
          <w:highlight w:val="none"/>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因《基金合同》而产生的或与《基金合同》有关的一切争议，应友好协商解决；如经友好协商未能解决的，则任何一方有权按《基金合同》的约定提交仲裁。详情见本基金《基金合同》第二十一部分</w:t>
      </w:r>
      <w:r>
        <w:rPr>
          <w:rFonts w:asciiTheme="minorEastAsia" w:hAnsiTheme="minorEastAsia"/>
          <w:szCs w:val="21"/>
          <w:highlight w:val="none"/>
        </w:rPr>
        <w:t>“</w:t>
      </w:r>
      <w:r>
        <w:rPr>
          <w:rFonts w:hint="eastAsia" w:asciiTheme="minorEastAsia" w:hAnsiTheme="minorEastAsia"/>
          <w:szCs w:val="21"/>
          <w:highlight w:val="none"/>
        </w:rPr>
        <w:t>争议的处理和适用法律</w:t>
      </w:r>
      <w:r>
        <w:rPr>
          <w:rFonts w:asciiTheme="minorEastAsia" w:hAnsiTheme="minorEastAsia"/>
          <w:szCs w:val="21"/>
          <w:highlight w:val="none"/>
        </w:rPr>
        <w:t>”</w:t>
      </w:r>
      <w:r>
        <w:rPr>
          <w:rFonts w:hint="eastAsia" w:asciiTheme="minorEastAsia" w:hAnsiTheme="minorEastAsia"/>
          <w:szCs w:val="21"/>
          <w:highlight w:val="none"/>
        </w:rPr>
        <w:t>。</w:t>
      </w:r>
    </w:p>
    <w:p>
      <w:pPr>
        <w:spacing w:line="340" w:lineRule="exact"/>
        <w:ind w:firstLine="420" w:firstLineChars="200"/>
        <w:contextualSpacing/>
        <w:rPr>
          <w:rFonts w:asciiTheme="minorEastAsia" w:hAnsiTheme="minorEastAsia"/>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五</w:t>
      </w:r>
      <w:r>
        <w:rPr>
          <w:rFonts w:hint="eastAsia" w:asciiTheme="minorEastAsia" w:hAnsiTheme="minorEastAsia"/>
          <w:b/>
          <w:szCs w:val="21"/>
          <w:highlight w:val="none"/>
        </w:rPr>
        <w:t>、</w:t>
      </w:r>
      <w:r>
        <w:rPr>
          <w:rFonts w:asciiTheme="minorEastAsia" w:hAnsiTheme="minorEastAsia"/>
          <w:b/>
          <w:szCs w:val="21"/>
          <w:highlight w:val="none"/>
        </w:rPr>
        <w:t>其他资料查询方式</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以下资料详见东方阿尔法基金官方网站【www.dfa66.com】【客服电话：400-</w:t>
      </w:r>
      <w:r>
        <w:rPr>
          <w:rFonts w:asciiTheme="minorEastAsia" w:hAnsiTheme="minorEastAsia"/>
          <w:szCs w:val="21"/>
          <w:highlight w:val="none"/>
        </w:rPr>
        <w:t>930</w:t>
      </w:r>
      <w:r>
        <w:rPr>
          <w:rFonts w:hint="eastAsia" w:asciiTheme="minorEastAsia" w:hAnsiTheme="minorEastAsia"/>
          <w:szCs w:val="21"/>
          <w:highlight w:val="none"/>
        </w:rPr>
        <w:t>-</w:t>
      </w:r>
      <w:r>
        <w:rPr>
          <w:rFonts w:asciiTheme="minorEastAsia" w:hAnsiTheme="minorEastAsia"/>
          <w:szCs w:val="21"/>
          <w:highlight w:val="none"/>
        </w:rPr>
        <w:t>6677</w:t>
      </w:r>
      <w:r>
        <w:rPr>
          <w:rFonts w:hint="eastAsia" w:asciiTheme="minorEastAsia" w:hAnsiTheme="minorEastAsia"/>
          <w:szCs w:val="21"/>
          <w:highlight w:val="none"/>
        </w:rPr>
        <w:t>】</w:t>
      </w:r>
    </w:p>
    <w:p>
      <w:pPr>
        <w:spacing w:line="340" w:lineRule="exact"/>
        <w:ind w:firstLine="420" w:firstLineChars="200"/>
        <w:contextualSpacing/>
        <w:rPr>
          <w:rFonts w:asciiTheme="minorEastAsia" w:hAnsiTheme="minorEastAsia"/>
          <w:szCs w:val="21"/>
          <w:highlight w:val="none"/>
        </w:rPr>
      </w:pPr>
      <w:r>
        <w:rPr>
          <w:rFonts w:hint="eastAsia" w:asciiTheme="minorEastAsia" w:hAnsiTheme="minorEastAsia"/>
          <w:szCs w:val="21"/>
          <w:highlight w:val="none"/>
        </w:rPr>
        <w:t>（1）基金合同、托管协议、招募说明书</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（2）定期报告，包括基金季度报告、中期报告和年度报告</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（3）基金份额净值</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（4）基金销售机构及联系方式</w:t>
      </w:r>
    </w:p>
    <w:p>
      <w:pPr>
        <w:pStyle w:val="16"/>
        <w:spacing w:line="340" w:lineRule="exact"/>
        <w:ind w:left="420" w:firstLine="0" w:firstLineChars="0"/>
        <w:contextualSpacing/>
        <w:rPr>
          <w:rFonts w:asciiTheme="minorEastAsia" w:hAnsiTheme="minorEastAsia"/>
          <w:szCs w:val="21"/>
          <w:highlight w:val="none"/>
        </w:rPr>
      </w:pPr>
      <w:r>
        <w:rPr>
          <w:rFonts w:hint="eastAsia" w:asciiTheme="minorEastAsia" w:hAnsiTheme="minorEastAsia"/>
          <w:szCs w:val="21"/>
          <w:highlight w:val="none"/>
        </w:rPr>
        <w:t>（5）其他重要资料</w:t>
      </w:r>
    </w:p>
    <w:p>
      <w:pPr>
        <w:pStyle w:val="16"/>
        <w:spacing w:line="340" w:lineRule="exact"/>
        <w:ind w:left="420" w:firstLine="0" w:firstLineChars="0"/>
        <w:contextualSpacing/>
        <w:rPr>
          <w:rFonts w:asciiTheme="minorEastAsia" w:hAnsiTheme="minorEastAsia"/>
          <w:szCs w:val="21"/>
          <w:highlight w:val="none"/>
        </w:rPr>
      </w:pPr>
    </w:p>
    <w:p>
      <w:pPr>
        <w:spacing w:line="340" w:lineRule="exact"/>
        <w:contextualSpacing/>
        <w:rPr>
          <w:rFonts w:asciiTheme="minorEastAsia" w:hAnsiTheme="minorEastAsia"/>
          <w:b/>
          <w:szCs w:val="21"/>
          <w:highlight w:val="none"/>
        </w:rPr>
      </w:pPr>
      <w:r>
        <w:rPr>
          <w:rFonts w:asciiTheme="minorEastAsia" w:hAnsiTheme="minorEastAsia"/>
          <w:b/>
          <w:szCs w:val="21"/>
          <w:highlight w:val="none"/>
        </w:rPr>
        <w:t>六</w:t>
      </w:r>
      <w:r>
        <w:rPr>
          <w:rFonts w:hint="eastAsia" w:asciiTheme="minorEastAsia" w:hAnsiTheme="minorEastAsia"/>
          <w:b/>
          <w:szCs w:val="21"/>
          <w:highlight w:val="none"/>
        </w:rPr>
        <w:t>、</w:t>
      </w:r>
      <w:r>
        <w:rPr>
          <w:rFonts w:asciiTheme="minorEastAsia" w:hAnsiTheme="minorEastAsia"/>
          <w:b/>
          <w:szCs w:val="21"/>
          <w:highlight w:val="none"/>
        </w:rPr>
        <w:t>其他情况说明</w:t>
      </w:r>
    </w:p>
    <w:p>
      <w:pPr>
        <w:spacing w:line="340" w:lineRule="exact"/>
        <w:ind w:firstLine="420" w:firstLineChars="200"/>
        <w:contextualSpacing/>
        <w:rPr>
          <w:rFonts w:asciiTheme="minorEastAsia" w:hAnsiTheme="minorEastAsia"/>
          <w:bCs/>
          <w:szCs w:val="21"/>
          <w:highlight w:val="none"/>
        </w:rPr>
      </w:pPr>
      <w:r>
        <w:rPr>
          <w:rFonts w:hint="eastAsia" w:asciiTheme="minorEastAsia" w:hAnsiTheme="minorEastAsia"/>
          <w:szCs w:val="21"/>
          <w:highlight w:val="none"/>
        </w:rPr>
        <w:t>无</w:t>
      </w:r>
    </w:p>
    <w:sectPr>
      <w:footerReference r:id="rId3" w:type="default"/>
      <w:pgSz w:w="11906" w:h="16838"/>
      <w:pgMar w:top="1021" w:right="1021" w:bottom="102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225753"/>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mZDQ1NzE5ZjE5YTIwNzY1NzE5N2I3MjBkYWExNjEifQ=="/>
  </w:docVars>
  <w:rsids>
    <w:rsidRoot w:val="00C9276B"/>
    <w:rsid w:val="00002635"/>
    <w:rsid w:val="000028DB"/>
    <w:rsid w:val="00034BDB"/>
    <w:rsid w:val="00035DF0"/>
    <w:rsid w:val="000442C5"/>
    <w:rsid w:val="0006165F"/>
    <w:rsid w:val="000718EC"/>
    <w:rsid w:val="000738AA"/>
    <w:rsid w:val="00074340"/>
    <w:rsid w:val="00075E30"/>
    <w:rsid w:val="000805FE"/>
    <w:rsid w:val="000926F9"/>
    <w:rsid w:val="000929F3"/>
    <w:rsid w:val="00095BBF"/>
    <w:rsid w:val="000B6E7F"/>
    <w:rsid w:val="000C07A8"/>
    <w:rsid w:val="000D7E21"/>
    <w:rsid w:val="000E59CA"/>
    <w:rsid w:val="000E6610"/>
    <w:rsid w:val="001038E9"/>
    <w:rsid w:val="00116110"/>
    <w:rsid w:val="001624FB"/>
    <w:rsid w:val="001777A2"/>
    <w:rsid w:val="0018376C"/>
    <w:rsid w:val="001857D4"/>
    <w:rsid w:val="001A6B72"/>
    <w:rsid w:val="001A7C67"/>
    <w:rsid w:val="001B09D7"/>
    <w:rsid w:val="001D25CE"/>
    <w:rsid w:val="001D65A5"/>
    <w:rsid w:val="001F4221"/>
    <w:rsid w:val="00200559"/>
    <w:rsid w:val="002110EA"/>
    <w:rsid w:val="00227272"/>
    <w:rsid w:val="0023012D"/>
    <w:rsid w:val="0024041C"/>
    <w:rsid w:val="00253ADE"/>
    <w:rsid w:val="00260A5C"/>
    <w:rsid w:val="00275937"/>
    <w:rsid w:val="00280057"/>
    <w:rsid w:val="00286054"/>
    <w:rsid w:val="002876C1"/>
    <w:rsid w:val="002A53BF"/>
    <w:rsid w:val="002A7665"/>
    <w:rsid w:val="002B0EE0"/>
    <w:rsid w:val="002C5E5F"/>
    <w:rsid w:val="002D4146"/>
    <w:rsid w:val="002E525A"/>
    <w:rsid w:val="002E56ED"/>
    <w:rsid w:val="002E62B7"/>
    <w:rsid w:val="002F1C69"/>
    <w:rsid w:val="002F33D7"/>
    <w:rsid w:val="00321519"/>
    <w:rsid w:val="00322DFB"/>
    <w:rsid w:val="003312C5"/>
    <w:rsid w:val="00335CDB"/>
    <w:rsid w:val="00353731"/>
    <w:rsid w:val="00366C19"/>
    <w:rsid w:val="00387A98"/>
    <w:rsid w:val="00393690"/>
    <w:rsid w:val="00393F7C"/>
    <w:rsid w:val="003B043E"/>
    <w:rsid w:val="003B397F"/>
    <w:rsid w:val="003D38E8"/>
    <w:rsid w:val="003D449D"/>
    <w:rsid w:val="003D774E"/>
    <w:rsid w:val="00405B7E"/>
    <w:rsid w:val="00407755"/>
    <w:rsid w:val="00410E4E"/>
    <w:rsid w:val="00411D8D"/>
    <w:rsid w:val="00437200"/>
    <w:rsid w:val="00452874"/>
    <w:rsid w:val="00453549"/>
    <w:rsid w:val="004544EB"/>
    <w:rsid w:val="00461049"/>
    <w:rsid w:val="00461ACC"/>
    <w:rsid w:val="0048602F"/>
    <w:rsid w:val="004C13DC"/>
    <w:rsid w:val="004C7F14"/>
    <w:rsid w:val="004E141A"/>
    <w:rsid w:val="004E3DDA"/>
    <w:rsid w:val="004E5C28"/>
    <w:rsid w:val="00501260"/>
    <w:rsid w:val="00502DAF"/>
    <w:rsid w:val="00503D3A"/>
    <w:rsid w:val="00514EF3"/>
    <w:rsid w:val="005424EA"/>
    <w:rsid w:val="0055276A"/>
    <w:rsid w:val="005671EC"/>
    <w:rsid w:val="00570986"/>
    <w:rsid w:val="0058312A"/>
    <w:rsid w:val="005B0FEE"/>
    <w:rsid w:val="005D011C"/>
    <w:rsid w:val="00621CD0"/>
    <w:rsid w:val="00663768"/>
    <w:rsid w:val="006778AD"/>
    <w:rsid w:val="006E3305"/>
    <w:rsid w:val="006E5F51"/>
    <w:rsid w:val="006F3B8E"/>
    <w:rsid w:val="007043F3"/>
    <w:rsid w:val="00735306"/>
    <w:rsid w:val="0074027F"/>
    <w:rsid w:val="00740BA0"/>
    <w:rsid w:val="0074374B"/>
    <w:rsid w:val="007444E3"/>
    <w:rsid w:val="00767F86"/>
    <w:rsid w:val="00796F91"/>
    <w:rsid w:val="007D1D02"/>
    <w:rsid w:val="007E53B8"/>
    <w:rsid w:val="008119FA"/>
    <w:rsid w:val="00817C56"/>
    <w:rsid w:val="00822A3A"/>
    <w:rsid w:val="008436C9"/>
    <w:rsid w:val="008976B8"/>
    <w:rsid w:val="008A66B3"/>
    <w:rsid w:val="008B0213"/>
    <w:rsid w:val="008B1488"/>
    <w:rsid w:val="008B750F"/>
    <w:rsid w:val="008D155B"/>
    <w:rsid w:val="008D39EF"/>
    <w:rsid w:val="00911159"/>
    <w:rsid w:val="00930C7F"/>
    <w:rsid w:val="00934ED3"/>
    <w:rsid w:val="00937FF3"/>
    <w:rsid w:val="00964B82"/>
    <w:rsid w:val="00971779"/>
    <w:rsid w:val="00975267"/>
    <w:rsid w:val="00975C1D"/>
    <w:rsid w:val="00976C18"/>
    <w:rsid w:val="00980526"/>
    <w:rsid w:val="009B5CE5"/>
    <w:rsid w:val="009C6ABD"/>
    <w:rsid w:val="00A0119C"/>
    <w:rsid w:val="00A12F39"/>
    <w:rsid w:val="00A20ABC"/>
    <w:rsid w:val="00A26C26"/>
    <w:rsid w:val="00A4204A"/>
    <w:rsid w:val="00A513C7"/>
    <w:rsid w:val="00A618ED"/>
    <w:rsid w:val="00A81310"/>
    <w:rsid w:val="00A85F79"/>
    <w:rsid w:val="00AA0ECF"/>
    <w:rsid w:val="00AC17E1"/>
    <w:rsid w:val="00AC56D2"/>
    <w:rsid w:val="00AF453F"/>
    <w:rsid w:val="00AF4C00"/>
    <w:rsid w:val="00B0175F"/>
    <w:rsid w:val="00B0443E"/>
    <w:rsid w:val="00B060F0"/>
    <w:rsid w:val="00B0628E"/>
    <w:rsid w:val="00B13C49"/>
    <w:rsid w:val="00B1573C"/>
    <w:rsid w:val="00B161F0"/>
    <w:rsid w:val="00B24713"/>
    <w:rsid w:val="00B34F28"/>
    <w:rsid w:val="00B379CB"/>
    <w:rsid w:val="00B45633"/>
    <w:rsid w:val="00B506FC"/>
    <w:rsid w:val="00BB4DBD"/>
    <w:rsid w:val="00BC6B30"/>
    <w:rsid w:val="00BD74B7"/>
    <w:rsid w:val="00BE08CF"/>
    <w:rsid w:val="00BE1835"/>
    <w:rsid w:val="00BE5320"/>
    <w:rsid w:val="00BF0199"/>
    <w:rsid w:val="00C04FCF"/>
    <w:rsid w:val="00C12CB5"/>
    <w:rsid w:val="00C25199"/>
    <w:rsid w:val="00C361B7"/>
    <w:rsid w:val="00C43474"/>
    <w:rsid w:val="00C60D5D"/>
    <w:rsid w:val="00C72BF8"/>
    <w:rsid w:val="00C80EBC"/>
    <w:rsid w:val="00C83376"/>
    <w:rsid w:val="00C8603F"/>
    <w:rsid w:val="00C87C45"/>
    <w:rsid w:val="00C9276B"/>
    <w:rsid w:val="00C951FA"/>
    <w:rsid w:val="00C97000"/>
    <w:rsid w:val="00CA0F97"/>
    <w:rsid w:val="00CB2135"/>
    <w:rsid w:val="00CB26E0"/>
    <w:rsid w:val="00D07E45"/>
    <w:rsid w:val="00D12B20"/>
    <w:rsid w:val="00D31FEB"/>
    <w:rsid w:val="00D32F98"/>
    <w:rsid w:val="00D4452C"/>
    <w:rsid w:val="00D6161D"/>
    <w:rsid w:val="00D72973"/>
    <w:rsid w:val="00D80F5C"/>
    <w:rsid w:val="00D9011F"/>
    <w:rsid w:val="00DC22E4"/>
    <w:rsid w:val="00E00483"/>
    <w:rsid w:val="00E0755E"/>
    <w:rsid w:val="00E64581"/>
    <w:rsid w:val="00E66C05"/>
    <w:rsid w:val="00E844CD"/>
    <w:rsid w:val="00E84A9A"/>
    <w:rsid w:val="00E87237"/>
    <w:rsid w:val="00E92573"/>
    <w:rsid w:val="00EA0311"/>
    <w:rsid w:val="00EA2A73"/>
    <w:rsid w:val="00EA3073"/>
    <w:rsid w:val="00EB3B24"/>
    <w:rsid w:val="00EC4022"/>
    <w:rsid w:val="00ED277D"/>
    <w:rsid w:val="00ED3BB5"/>
    <w:rsid w:val="00ED549B"/>
    <w:rsid w:val="00EE1EF8"/>
    <w:rsid w:val="00EE2851"/>
    <w:rsid w:val="00EF2BDB"/>
    <w:rsid w:val="00F00B4C"/>
    <w:rsid w:val="00F13F63"/>
    <w:rsid w:val="00F214CE"/>
    <w:rsid w:val="00F24230"/>
    <w:rsid w:val="00F34626"/>
    <w:rsid w:val="00F71009"/>
    <w:rsid w:val="00F74F04"/>
    <w:rsid w:val="00F86B88"/>
    <w:rsid w:val="00FA0CFC"/>
    <w:rsid w:val="00FE117F"/>
    <w:rsid w:val="08843C3C"/>
    <w:rsid w:val="1F7802D9"/>
    <w:rsid w:val="2E343AD0"/>
    <w:rsid w:val="3A2E59A0"/>
    <w:rsid w:val="42BC0C75"/>
    <w:rsid w:val="49591583"/>
    <w:rsid w:val="511E0257"/>
    <w:rsid w:val="739F0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link w:val="20"/>
    <w:autoRedefine/>
    <w:semiHidden/>
    <w:unhideWhenUsed/>
    <w:qFormat/>
    <w:uiPriority w:val="99"/>
    <w:pPr>
      <w:jc w:val="left"/>
    </w:pPr>
  </w:style>
  <w:style w:type="paragraph" w:styleId="3">
    <w:name w:val="Balloon Text"/>
    <w:basedOn w:val="1"/>
    <w:link w:val="19"/>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autoRedefine/>
    <w:semiHidden/>
    <w:unhideWhenUsed/>
    <w:qFormat/>
    <w:uiPriority w:val="99"/>
    <w:pPr>
      <w:snapToGrid w:val="0"/>
      <w:jc w:val="left"/>
    </w:pPr>
    <w:rPr>
      <w:sz w:val="18"/>
      <w:szCs w:val="18"/>
    </w:rPr>
  </w:style>
  <w:style w:type="paragraph" w:styleId="7">
    <w:name w:val="annotation subject"/>
    <w:basedOn w:val="2"/>
    <w:next w:val="2"/>
    <w:link w:val="21"/>
    <w:autoRedefine/>
    <w:semiHidden/>
    <w:unhideWhenUsed/>
    <w:qFormat/>
    <w:uiPriority w:val="99"/>
    <w:rPr>
      <w:b/>
      <w:bCs/>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styleId="13">
    <w:name w:val="footnote reference"/>
    <w:basedOn w:val="10"/>
    <w:autoRedefine/>
    <w:semiHidden/>
    <w:unhideWhenUsed/>
    <w:qFormat/>
    <w:uiPriority w:val="99"/>
    <w:rPr>
      <w:vertAlign w:val="superscript"/>
    </w:rPr>
  </w:style>
  <w:style w:type="character" w:customStyle="1" w:styleId="14">
    <w:name w:val="页眉 Char"/>
    <w:basedOn w:val="10"/>
    <w:link w:val="5"/>
    <w:autoRedefine/>
    <w:qFormat/>
    <w:uiPriority w:val="99"/>
    <w:rPr>
      <w:sz w:val="18"/>
      <w:szCs w:val="18"/>
    </w:rPr>
  </w:style>
  <w:style w:type="character" w:customStyle="1" w:styleId="15">
    <w:name w:val="页脚 Char"/>
    <w:basedOn w:val="10"/>
    <w:link w:val="4"/>
    <w:autoRedefine/>
    <w:qFormat/>
    <w:uiPriority w:val="99"/>
    <w:rPr>
      <w:sz w:val="18"/>
      <w:szCs w:val="18"/>
    </w:rPr>
  </w:style>
  <w:style w:type="paragraph" w:styleId="16">
    <w:name w:val="List Paragraph"/>
    <w:basedOn w:val="1"/>
    <w:autoRedefine/>
    <w:qFormat/>
    <w:uiPriority w:val="34"/>
    <w:pPr>
      <w:ind w:firstLine="420" w:firstLineChars="200"/>
    </w:pPr>
  </w:style>
  <w:style w:type="character" w:customStyle="1" w:styleId="17">
    <w:name w:val="不明显强调1"/>
    <w:basedOn w:val="10"/>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18">
    <w:name w:val="脚注文本 Char"/>
    <w:basedOn w:val="10"/>
    <w:link w:val="6"/>
    <w:autoRedefine/>
    <w:semiHidden/>
    <w:qFormat/>
    <w:uiPriority w:val="99"/>
    <w:rPr>
      <w:sz w:val="18"/>
      <w:szCs w:val="18"/>
    </w:rPr>
  </w:style>
  <w:style w:type="character" w:customStyle="1" w:styleId="19">
    <w:name w:val="批注框文本 Char"/>
    <w:basedOn w:val="10"/>
    <w:link w:val="3"/>
    <w:autoRedefine/>
    <w:semiHidden/>
    <w:qFormat/>
    <w:uiPriority w:val="99"/>
    <w:rPr>
      <w:sz w:val="18"/>
      <w:szCs w:val="18"/>
    </w:rPr>
  </w:style>
  <w:style w:type="character" w:customStyle="1" w:styleId="20">
    <w:name w:val="批注文字 Char"/>
    <w:basedOn w:val="10"/>
    <w:link w:val="2"/>
    <w:autoRedefine/>
    <w:semiHidden/>
    <w:qFormat/>
    <w:uiPriority w:val="99"/>
  </w:style>
  <w:style w:type="character" w:customStyle="1" w:styleId="21">
    <w:name w:val="批注主题 Char"/>
    <w:basedOn w:val="20"/>
    <w:link w:val="7"/>
    <w:autoRedefine/>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70577-B413-4E04-AC4E-0495717D3044}">
  <ds:schemaRefs/>
</ds:datastoreItem>
</file>

<file path=docProps/app.xml><?xml version="1.0" encoding="utf-8"?>
<Properties xmlns="http://schemas.openxmlformats.org/officeDocument/2006/extended-properties" xmlns:vt="http://schemas.openxmlformats.org/officeDocument/2006/docPropsVTypes">
  <Template>Normal</Template>
  <Pages>4</Pages>
  <Words>553</Words>
  <Characters>3154</Characters>
  <Lines>26</Lines>
  <Paragraphs>7</Paragraphs>
  <TotalTime>9</TotalTime>
  <ScaleCrop>false</ScaleCrop>
  <LinksUpToDate>false</LinksUpToDate>
  <CharactersWithSpaces>3700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2020-06-18T02:43:00Z</dcterms:created>
  <dc:creator>Microsoft 帐户</dc:creator>
  <cp:lastModifiedBy>聪子</cp:lastModifiedBy>
  <cp:lastPrinted>2020-08-25T10:37:00Z</cp:lastPrinted>
  <dcterms:modified xsi:type="dcterms:W3CDTF">2024-04-29T04:14:31Z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_KSOProductBuildMID">
    <vt:lpwstr>CGWMY6BU797A0VHGQZR8YL0C7N80OYPRES0XNJEDXGH8TFLT68BRQC0EFY9TPFIRBFM6OOL0ZIWD8LJJQSFADF8O8RN0WHWB8FODRHB36E78C7ED5F441E48428AA41FD46A70C3</vt:lpwstr>
  </property>
  <property fmtid="{D5CDD505-2E9C-101B-9397-08002B2CF9AE}" pid="4" name="_KSOProductBuildSID">
    <vt:lpwstr>CQWFD6GP797Q069GQKRNDL0Y7NN0OSVREJ06FJDVXFGRTQ5TN0BRVCJ6FS6TPDIRBFM6EOZGZIA78PNJEFFTKFF68RM0WLLB8UOOZHB32CA4EE1765B13E45071AA738CA1CD995</vt:lpwstr>
  </property>
  <property fmtid="{D5CDD505-2E9C-101B-9397-08002B2CF9AE}" pid="5" name="ICV">
    <vt:lpwstr>6BE8E7F1FB4D4EF085C355ABC7A443B5_12</vt:lpwstr>
  </property>
</Properties>
</file>