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2"/>
          <w:szCs w:val="44"/>
          <w:highlight w:val="none"/>
        </w:rPr>
      </w:pPr>
      <w:r>
        <w:rPr>
          <w:rFonts w:hint="eastAsia" w:ascii="黑体" w:hAnsi="黑体" w:eastAsia="黑体" w:cs="Times New Roman"/>
          <w:sz w:val="32"/>
          <w:szCs w:val="44"/>
          <w:highlight w:val="none"/>
        </w:rPr>
        <w:t>东方</w:t>
      </w:r>
      <w:r>
        <w:rPr>
          <w:rFonts w:ascii="黑体" w:hAnsi="黑体" w:eastAsia="黑体" w:cs="Times New Roman"/>
          <w:sz w:val="32"/>
          <w:szCs w:val="44"/>
          <w:highlight w:val="none"/>
        </w:rPr>
        <w:t>阿尔法</w:t>
      </w:r>
      <w:r>
        <w:rPr>
          <w:rFonts w:hint="eastAsia" w:ascii="黑体" w:hAnsi="黑体" w:eastAsia="黑体" w:cs="Times New Roman"/>
          <w:sz w:val="32"/>
          <w:szCs w:val="44"/>
          <w:highlight w:val="none"/>
        </w:rPr>
        <w:t>优选</w:t>
      </w:r>
      <w:r>
        <w:rPr>
          <w:rFonts w:ascii="黑体" w:hAnsi="黑体" w:eastAsia="黑体" w:cs="Times New Roman"/>
          <w:sz w:val="32"/>
          <w:szCs w:val="44"/>
          <w:highlight w:val="none"/>
        </w:rPr>
        <w:t>混合型发起式证券投资基金（C类份额）</w:t>
      </w:r>
    </w:p>
    <w:p>
      <w:pPr>
        <w:jc w:val="center"/>
        <w:rPr>
          <w:rFonts w:ascii="黑体" w:hAnsi="黑体" w:eastAsia="黑体" w:cs="Times New Roman"/>
          <w:sz w:val="32"/>
          <w:szCs w:val="44"/>
          <w:highlight w:val="none"/>
        </w:rPr>
      </w:pPr>
      <w:r>
        <w:rPr>
          <w:rFonts w:ascii="黑体" w:hAnsi="黑体" w:eastAsia="黑体" w:cs="Times New Roman"/>
          <w:sz w:val="32"/>
          <w:szCs w:val="44"/>
          <w:highlight w:val="none"/>
        </w:rPr>
        <w:t>基金产品资料概要</w:t>
      </w:r>
      <w:r>
        <w:rPr>
          <w:rFonts w:hint="eastAsia" w:ascii="黑体" w:hAnsi="黑体" w:eastAsia="黑体" w:cs="Times New Roman"/>
          <w:sz w:val="32"/>
          <w:szCs w:val="44"/>
          <w:highlight w:val="none"/>
        </w:rPr>
        <w:t>更新</w:t>
      </w:r>
    </w:p>
    <w:p>
      <w:pPr>
        <w:spacing w:after="156" w:afterLines="50"/>
        <w:jc w:val="right"/>
        <w:rPr>
          <w:rFonts w:asciiTheme="minorEastAsia" w:hAnsiTheme="minorEastAsia"/>
          <w:highlight w:val="none"/>
        </w:rPr>
      </w:pPr>
      <w:bookmarkStart w:id="0" w:name="_GoBack"/>
      <w:bookmarkEnd w:id="0"/>
      <w:r>
        <w:rPr>
          <w:rFonts w:hint="eastAsia" w:asciiTheme="minorEastAsia" w:hAnsiTheme="minorEastAsia"/>
          <w:highlight w:val="none"/>
        </w:rPr>
        <w:t>编制日期：</w:t>
      </w:r>
      <w:r>
        <w:rPr>
          <w:rFonts w:hint="eastAsia" w:asciiTheme="minorEastAsia" w:hAnsiTheme="minorEastAsia"/>
          <w:highlight w:val="none"/>
          <w:lang w:val="en-US" w:eastAsia="zh-CN"/>
        </w:rPr>
        <w:t>2024</w:t>
      </w:r>
      <w:r>
        <w:rPr>
          <w:rFonts w:hint="eastAsia" w:asciiTheme="minorEastAsia" w:hAnsiTheme="minorEastAsia"/>
          <w:highlight w:val="none"/>
        </w:rPr>
        <w:t>年</w:t>
      </w:r>
      <w:r>
        <w:rPr>
          <w:rFonts w:hint="eastAsia" w:asciiTheme="minorEastAsia" w:hAnsiTheme="minorEastAsia"/>
          <w:highlight w:val="none"/>
          <w:lang w:val="en-US" w:eastAsia="zh-CN"/>
        </w:rPr>
        <w:t>04</w:t>
      </w:r>
      <w:r>
        <w:rPr>
          <w:rFonts w:hint="eastAsia" w:asciiTheme="minorEastAsia" w:hAnsiTheme="minorEastAsia"/>
          <w:highlight w:val="none"/>
        </w:rPr>
        <w:t>月</w:t>
      </w:r>
      <w:r>
        <w:rPr>
          <w:rFonts w:hint="eastAsia" w:asciiTheme="minorEastAsia" w:hAnsiTheme="minorEastAsia"/>
          <w:highlight w:val="none"/>
          <w:lang w:val="en-US" w:eastAsia="zh-CN"/>
        </w:rPr>
        <w:t>29</w:t>
      </w:r>
      <w:r>
        <w:rPr>
          <w:rFonts w:hint="eastAsia" w:asciiTheme="minorEastAsia" w:hAnsiTheme="minorEastAsia"/>
          <w:highlight w:val="none"/>
        </w:rPr>
        <w:t>日</w:t>
      </w:r>
    </w:p>
    <w:p>
      <w:pPr>
        <w:spacing w:after="156" w:afterLines="50"/>
        <w:ind w:right="420"/>
        <w:jc w:val="center"/>
        <w:rPr>
          <w:rFonts w:asciiTheme="minorEastAsia" w:hAnsiTheme="minorEastAsia"/>
          <w:highlight w:val="none"/>
        </w:rPr>
      </w:pPr>
      <w:r>
        <w:rPr>
          <w:rFonts w:ascii="华文仿宋" w:hAnsi="华文仿宋" w:eastAsia="华文仿宋"/>
          <w:sz w:val="32"/>
          <w:szCs w:val="32"/>
          <w:highlight w:val="none"/>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highlight w:val="none"/>
        </w:rPr>
        <w:t>送出日期</w:t>
      </w:r>
      <w:r>
        <w:rPr>
          <w:rFonts w:hint="eastAsia" w:asciiTheme="minorEastAsia" w:hAnsiTheme="minorEastAsia"/>
          <w:highlight w:val="none"/>
        </w:rPr>
        <w:t>：</w:t>
      </w:r>
      <w:r>
        <w:rPr>
          <w:rFonts w:hint="eastAsia" w:asciiTheme="minorEastAsia" w:hAnsiTheme="minorEastAsia"/>
          <w:highlight w:val="none"/>
          <w:lang w:val="en-US" w:eastAsia="zh-CN"/>
        </w:rPr>
        <w:t>2024</w:t>
      </w:r>
      <w:r>
        <w:rPr>
          <w:rFonts w:asciiTheme="minorEastAsia" w:hAnsiTheme="minorEastAsia"/>
          <w:highlight w:val="none"/>
        </w:rPr>
        <w:t>年</w:t>
      </w:r>
      <w:r>
        <w:rPr>
          <w:rFonts w:hint="eastAsia" w:asciiTheme="minorEastAsia" w:hAnsiTheme="minorEastAsia"/>
          <w:highlight w:val="none"/>
          <w:lang w:val="en-US" w:eastAsia="zh-CN"/>
        </w:rPr>
        <w:t>04</w:t>
      </w:r>
      <w:r>
        <w:rPr>
          <w:rFonts w:asciiTheme="minorEastAsia" w:hAnsiTheme="minorEastAsia"/>
          <w:highlight w:val="none"/>
        </w:rPr>
        <w:t>月</w:t>
      </w:r>
      <w:r>
        <w:rPr>
          <w:rFonts w:hint="eastAsia" w:asciiTheme="minorEastAsia" w:hAnsiTheme="minorEastAsia"/>
          <w:highlight w:val="none"/>
          <w:lang w:val="en-US" w:eastAsia="zh-CN"/>
        </w:rPr>
        <w:t>30</w:t>
      </w:r>
      <w:r>
        <w:rPr>
          <w:rFonts w:asciiTheme="minorEastAsia" w:hAnsiTheme="minorEastAsia"/>
          <w:highlight w:val="none"/>
        </w:rPr>
        <w:t>日</w:t>
      </w:r>
    </w:p>
    <w:p>
      <w:pPr>
        <w:spacing w:after="156" w:afterLines="50"/>
        <w:jc w:val="right"/>
        <w:rPr>
          <w:rFonts w:ascii="华文仿宋" w:hAnsi="华文仿宋" w:eastAsia="华文仿宋"/>
          <w:highlight w:val="none"/>
        </w:rPr>
      </w:pPr>
    </w:p>
    <w:p>
      <w:pPr>
        <w:spacing w:after="156" w:afterLines="50"/>
        <w:ind w:right="840"/>
        <w:rPr>
          <w:highlight w:val="none"/>
        </w:rPr>
      </w:pPr>
    </w:p>
    <w:p>
      <w:pPr>
        <w:rPr>
          <w:rStyle w:val="17"/>
          <w:rFonts w:asciiTheme="minorEastAsia" w:hAnsiTheme="minorEastAsia"/>
          <w:b/>
          <w:i w:val="0"/>
          <w:color w:val="auto"/>
          <w:szCs w:val="21"/>
          <w:highlight w:val="none"/>
        </w:rPr>
      </w:pPr>
      <w:r>
        <w:rPr>
          <w:rStyle w:val="17"/>
          <w:rFonts w:hint="eastAsia" w:asciiTheme="minorEastAsia" w:hAnsiTheme="minorEastAsia"/>
          <w:b/>
          <w:i w:val="0"/>
          <w:color w:val="auto"/>
          <w:szCs w:val="21"/>
          <w:highlight w:val="none"/>
        </w:rPr>
        <w:t>一、产品概况</w:t>
      </w:r>
    </w:p>
    <w:tbl>
      <w:tblPr>
        <w:tblStyle w:val="9"/>
        <w:tblW w:w="1006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85"/>
        <w:gridCol w:w="2977"/>
        <w:gridCol w:w="2551"/>
        <w:gridCol w:w="255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基金简称</w:t>
            </w:r>
          </w:p>
        </w:tc>
        <w:tc>
          <w:tcPr>
            <w:tcW w:w="2977"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东方阿尔法</w:t>
            </w:r>
            <w:r>
              <w:rPr>
                <w:rFonts w:hint="eastAsia" w:asciiTheme="minorEastAsia" w:hAnsiTheme="minorEastAsia"/>
                <w:szCs w:val="21"/>
                <w:highlight w:val="none"/>
              </w:rPr>
              <w:t>优选</w:t>
            </w:r>
            <w:r>
              <w:rPr>
                <w:rFonts w:hint="default" w:asciiTheme="minorEastAsia" w:hAnsiTheme="minorEastAsia"/>
                <w:szCs w:val="21"/>
                <w:highlight w:val="none"/>
              </w:rPr>
              <w:t>混合</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基金主代码</w:t>
            </w:r>
          </w:p>
        </w:tc>
        <w:tc>
          <w:tcPr>
            <w:tcW w:w="2552"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eastAsia" w:asciiTheme="minorEastAsia" w:hAnsiTheme="minorEastAsia"/>
                <w:szCs w:val="21"/>
                <w:highlight w:val="none"/>
              </w:rPr>
              <w:t>007518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下属基金简称</w:t>
            </w:r>
          </w:p>
        </w:tc>
        <w:tc>
          <w:tcPr>
            <w:tcW w:w="2977"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东方阿尔法优选混合C</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下属基金的基金代码</w:t>
            </w:r>
          </w:p>
        </w:tc>
        <w:tc>
          <w:tcPr>
            <w:tcW w:w="2552"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007519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基金管理人</w:t>
            </w:r>
          </w:p>
        </w:tc>
        <w:tc>
          <w:tcPr>
            <w:tcW w:w="2977" w:type="dxa"/>
            <w:tcBorders>
              <w:bottom w:val="single" w:color="auto" w:sz="4" w:space="0"/>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东方阿尔法基金管理有限公司</w:t>
            </w:r>
          </w:p>
        </w:tc>
        <w:tc>
          <w:tcPr>
            <w:tcW w:w="2551" w:type="dxa"/>
            <w:tcBorders>
              <w:bottom w:val="single" w:color="auto" w:sz="4" w:space="0"/>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基金托管人</w:t>
            </w:r>
          </w:p>
        </w:tc>
        <w:tc>
          <w:tcPr>
            <w:tcW w:w="2552" w:type="dxa"/>
            <w:tcBorders>
              <w:bottom w:val="single" w:color="auto" w:sz="4" w:space="0"/>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招商银行股份有限公司</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基金合同生效日</w:t>
            </w:r>
          </w:p>
        </w:tc>
        <w:tc>
          <w:tcPr>
            <w:tcW w:w="2977" w:type="dxa"/>
            <w:tcBorders>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2019</w:t>
            </w:r>
            <w:r>
              <w:rPr>
                <w:rFonts w:hint="eastAsia" w:asciiTheme="minorEastAsia" w:hAnsiTheme="minorEastAsia"/>
                <w:szCs w:val="21"/>
                <w:highlight w:val="none"/>
              </w:rPr>
              <w:t>年9月12日</w:t>
            </w:r>
          </w:p>
        </w:tc>
        <w:tc>
          <w:tcPr>
            <w:tcW w:w="2551" w:type="dxa"/>
            <w:tcBorders>
              <w:left w:val="nil"/>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default" w:asciiTheme="minorEastAsia" w:hAnsiTheme="minorEastAsia"/>
                <w:b/>
                <w:szCs w:val="21"/>
                <w:highlight w:val="none"/>
              </w:rPr>
              <w:t>上市交易所及上市日期</w:t>
            </w:r>
          </w:p>
        </w:tc>
        <w:tc>
          <w:tcPr>
            <w:tcW w:w="2552" w:type="dxa"/>
            <w:tcBorders>
              <w:lef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暂未上市</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基金类型</w:t>
            </w:r>
          </w:p>
        </w:tc>
        <w:tc>
          <w:tcPr>
            <w:tcW w:w="2977" w:type="dxa"/>
            <w:tcBorders>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混合型</w:t>
            </w:r>
          </w:p>
        </w:tc>
        <w:tc>
          <w:tcPr>
            <w:tcW w:w="2551" w:type="dxa"/>
            <w:tcBorders>
              <w:left w:val="nil"/>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交易币种</w:t>
            </w:r>
          </w:p>
        </w:tc>
        <w:tc>
          <w:tcPr>
            <w:tcW w:w="2552" w:type="dxa"/>
            <w:tcBorders>
              <w:lef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人民币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运作方式</w:t>
            </w:r>
          </w:p>
        </w:tc>
        <w:tc>
          <w:tcPr>
            <w:tcW w:w="2977"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普通开放式</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开放频率</w:t>
            </w:r>
          </w:p>
        </w:tc>
        <w:tc>
          <w:tcPr>
            <w:tcW w:w="2552"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每个开放日</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5" w:hRule="atLeast"/>
        </w:trPr>
        <w:tc>
          <w:tcPr>
            <w:tcW w:w="1985" w:type="dxa"/>
            <w:vMerge w:val="restart"/>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eastAsiaTheme="minorEastAsia"/>
                <w:szCs w:val="21"/>
                <w:highlight w:val="none"/>
                <w:lang w:val="en-US" w:eastAsia="zh-CN"/>
              </w:rPr>
            </w:pPr>
            <w:r>
              <w:rPr>
                <w:rFonts w:hint="eastAsia" w:asciiTheme="minorEastAsia" w:hAnsiTheme="minorEastAsia"/>
                <w:b/>
                <w:bCs/>
                <w:szCs w:val="21"/>
                <w:highlight w:val="none"/>
                <w:lang w:val="en-US" w:eastAsia="zh-CN"/>
              </w:rPr>
              <w:t>基金经理</w:t>
            </w:r>
          </w:p>
        </w:tc>
        <w:tc>
          <w:tcPr>
            <w:tcW w:w="2977" w:type="dxa"/>
            <w:vMerge w:val="restart"/>
          </w:tcPr>
          <w:p>
            <w:pPr>
              <w:keepNext w:val="0"/>
              <w:keepLines w:val="0"/>
              <w:suppressLineNumbers w:val="0"/>
              <w:spacing w:before="0" w:beforeAutospacing="0" w:after="0" w:afterAutospacing="0" w:line="360" w:lineRule="exact"/>
              <w:ind w:left="0" w:right="0"/>
              <w:jc w:val="left"/>
              <w:rPr>
                <w:rFonts w:hint="default" w:asciiTheme="minorEastAsia" w:hAnsiTheme="minorEastAsia"/>
                <w:szCs w:val="21"/>
                <w:highlight w:val="none"/>
              </w:rPr>
            </w:pPr>
          </w:p>
          <w:p>
            <w:pPr>
              <w:keepNext w:val="0"/>
              <w:keepLines w:val="0"/>
              <w:suppressLineNumbers w:val="0"/>
              <w:spacing w:before="0" w:beforeAutospacing="0" w:after="0" w:afterAutospacing="0" w:line="360" w:lineRule="exact"/>
              <w:ind w:left="0" w:right="0"/>
              <w:jc w:val="left"/>
              <w:rPr>
                <w:rFonts w:hint="default" w:asciiTheme="minorEastAsia" w:hAnsiTheme="minorEastAsia"/>
                <w:szCs w:val="21"/>
                <w:highlight w:val="none"/>
              </w:rPr>
            </w:pPr>
            <w:r>
              <w:rPr>
                <w:rFonts w:hint="default" w:asciiTheme="minorEastAsia" w:hAnsiTheme="minorEastAsia"/>
                <w:szCs w:val="21"/>
                <w:highlight w:val="none"/>
              </w:rPr>
              <w:t>周谧</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开始担任本基金基金经理的日期</w:t>
            </w:r>
          </w:p>
        </w:tc>
        <w:tc>
          <w:tcPr>
            <w:tcW w:w="2552" w:type="dxa"/>
          </w:tcPr>
          <w:p>
            <w:pPr>
              <w:keepNext w:val="0"/>
              <w:keepLines w:val="0"/>
              <w:suppressLineNumbers w:val="0"/>
              <w:spacing w:before="0" w:beforeAutospacing="0" w:after="0" w:afterAutospacing="0" w:line="360" w:lineRule="exact"/>
              <w:ind w:left="0" w:right="0"/>
              <w:rPr>
                <w:rFonts w:hint="default" w:asciiTheme="minorEastAsia" w:hAnsiTheme="minorEastAsia"/>
                <w:szCs w:val="21"/>
                <w:highlight w:val="none"/>
              </w:rPr>
            </w:pPr>
            <w:r>
              <w:rPr>
                <w:rFonts w:hint="eastAsia" w:asciiTheme="minorEastAsia" w:hAnsiTheme="minorEastAsia"/>
                <w:szCs w:val="21"/>
                <w:highlight w:val="none"/>
              </w:rPr>
              <w:t>2</w:t>
            </w:r>
            <w:r>
              <w:rPr>
                <w:rFonts w:hint="default" w:asciiTheme="minorEastAsia" w:hAnsiTheme="minorEastAsia"/>
                <w:szCs w:val="21"/>
                <w:highlight w:val="none"/>
              </w:rPr>
              <w:t>023</w:t>
            </w:r>
            <w:r>
              <w:rPr>
                <w:rFonts w:hint="eastAsia" w:asciiTheme="minorEastAsia" w:hAnsiTheme="minorEastAsia"/>
                <w:szCs w:val="21"/>
                <w:highlight w:val="none"/>
              </w:rPr>
              <w:t>-</w:t>
            </w:r>
            <w:r>
              <w:rPr>
                <w:rFonts w:hint="default" w:asciiTheme="minorEastAsia" w:hAnsiTheme="minorEastAsia"/>
                <w:szCs w:val="21"/>
                <w:highlight w:val="none"/>
              </w:rPr>
              <w:t>03</w:t>
            </w:r>
            <w:r>
              <w:rPr>
                <w:rFonts w:hint="eastAsia" w:asciiTheme="minorEastAsia" w:hAnsiTheme="minorEastAsia"/>
                <w:szCs w:val="21"/>
                <w:highlight w:val="none"/>
              </w:rPr>
              <w:t>-</w:t>
            </w:r>
            <w:r>
              <w:rPr>
                <w:rFonts w:hint="default" w:asciiTheme="minorEastAsia" w:hAnsiTheme="minorEastAsia"/>
                <w:szCs w:val="21"/>
                <w:highlight w:val="none"/>
              </w:rPr>
              <w:t>03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trPr>
        <w:tc>
          <w:tcPr>
            <w:tcW w:w="1985" w:type="dxa"/>
            <w:vMerge w:val="continue"/>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p>
        </w:tc>
        <w:tc>
          <w:tcPr>
            <w:tcW w:w="2977" w:type="dxa"/>
            <w:vMerge w:val="continue"/>
          </w:tcPr>
          <w:p>
            <w:pPr>
              <w:pStyle w:val="16"/>
              <w:keepNext w:val="0"/>
              <w:keepLines w:val="0"/>
              <w:suppressLineNumbers w:val="0"/>
              <w:spacing w:before="0" w:beforeAutospacing="0" w:after="0" w:afterAutospacing="0" w:line="360" w:lineRule="exact"/>
              <w:ind w:left="0" w:right="0" w:firstLine="422"/>
              <w:jc w:val="left"/>
              <w:rPr>
                <w:rFonts w:hint="default" w:asciiTheme="minorEastAsia" w:hAnsiTheme="minorEastAsia"/>
                <w:b/>
                <w:szCs w:val="21"/>
                <w:highlight w:val="none"/>
              </w:rPr>
            </w:pP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证券从业日期</w:t>
            </w:r>
          </w:p>
        </w:tc>
        <w:tc>
          <w:tcPr>
            <w:tcW w:w="2552" w:type="dxa"/>
          </w:tcPr>
          <w:p>
            <w:pPr>
              <w:keepNext w:val="0"/>
              <w:keepLines w:val="0"/>
              <w:suppressLineNumbers w:val="0"/>
              <w:spacing w:before="0" w:beforeAutospacing="0" w:after="0" w:afterAutospacing="0" w:line="360" w:lineRule="exact"/>
              <w:ind w:left="0" w:right="0"/>
              <w:rPr>
                <w:rFonts w:hint="default" w:asciiTheme="minorEastAsia" w:hAnsiTheme="minorEastAsia"/>
                <w:szCs w:val="21"/>
                <w:highlight w:val="none"/>
              </w:rPr>
            </w:pPr>
            <w:r>
              <w:rPr>
                <w:rFonts w:hint="eastAsia" w:asciiTheme="minorEastAsia" w:hAnsiTheme="minorEastAsia"/>
                <w:szCs w:val="21"/>
                <w:highlight w:val="none"/>
              </w:rPr>
              <w:t>2</w:t>
            </w:r>
            <w:r>
              <w:rPr>
                <w:rFonts w:hint="default" w:asciiTheme="minorEastAsia" w:hAnsiTheme="minorEastAsia"/>
                <w:szCs w:val="21"/>
                <w:highlight w:val="none"/>
              </w:rPr>
              <w:t>010</w:t>
            </w:r>
            <w:r>
              <w:rPr>
                <w:rFonts w:hint="eastAsia" w:asciiTheme="minorEastAsia" w:hAnsiTheme="minorEastAsia"/>
                <w:szCs w:val="21"/>
                <w:highlight w:val="none"/>
              </w:rPr>
              <w:t>-</w:t>
            </w:r>
            <w:r>
              <w:rPr>
                <w:rFonts w:hint="default" w:asciiTheme="minorEastAsia" w:hAnsiTheme="minorEastAsia"/>
                <w:szCs w:val="21"/>
                <w:highlight w:val="none"/>
              </w:rPr>
              <w:t>07</w:t>
            </w:r>
            <w:r>
              <w:rPr>
                <w:rFonts w:hint="eastAsia" w:asciiTheme="minorEastAsia" w:hAnsiTheme="minorEastAsia"/>
                <w:szCs w:val="21"/>
                <w:highlight w:val="none"/>
              </w:rPr>
              <w:t>-</w:t>
            </w:r>
            <w:r>
              <w:rPr>
                <w:rFonts w:hint="default" w:asciiTheme="minorEastAsia" w:hAnsiTheme="minorEastAsia"/>
                <w:szCs w:val="21"/>
                <w:highlight w:val="none"/>
              </w:rPr>
              <w:t>23</w:t>
            </w:r>
          </w:p>
        </w:tc>
      </w:tr>
    </w:tbl>
    <w:p>
      <w:pPr>
        <w:spacing w:line="340" w:lineRule="exact"/>
        <w:rPr>
          <w:rFonts w:asciiTheme="minorEastAsia" w:hAnsiTheme="minorEastAsia"/>
          <w:b/>
          <w:szCs w:val="21"/>
          <w:highlight w:val="none"/>
        </w:rPr>
      </w:pPr>
    </w:p>
    <w:p>
      <w:pPr>
        <w:spacing w:line="340" w:lineRule="exact"/>
        <w:rPr>
          <w:rFonts w:asciiTheme="minorEastAsia" w:hAnsiTheme="minorEastAsia"/>
          <w:b/>
          <w:szCs w:val="21"/>
          <w:highlight w:val="none"/>
        </w:rPr>
      </w:pPr>
      <w:r>
        <w:rPr>
          <w:rFonts w:asciiTheme="minorEastAsia" w:hAnsiTheme="minorEastAsia"/>
          <w:b/>
          <w:szCs w:val="21"/>
          <w:highlight w:val="none"/>
        </w:rPr>
        <w:t>二</w:t>
      </w:r>
      <w:r>
        <w:rPr>
          <w:rFonts w:hint="eastAsia" w:asciiTheme="minorEastAsia" w:hAnsiTheme="minorEastAsia"/>
          <w:b/>
          <w:szCs w:val="21"/>
          <w:highlight w:val="none"/>
        </w:rPr>
        <w:t>、基金投资与净值表现</w:t>
      </w:r>
    </w:p>
    <w:p>
      <w:pPr>
        <w:spacing w:line="340" w:lineRule="exact"/>
        <w:rPr>
          <w:rFonts w:asciiTheme="minorEastAsia" w:hAnsiTheme="minorEastAsia"/>
          <w:b/>
          <w:szCs w:val="21"/>
          <w:highlight w:val="none"/>
        </w:rPr>
      </w:pPr>
      <w:r>
        <w:rPr>
          <w:rFonts w:hint="eastAsia" w:asciiTheme="minorEastAsia" w:hAnsiTheme="minorEastAsia"/>
          <w:b/>
          <w:szCs w:val="21"/>
          <w:highlight w:val="none"/>
        </w:rPr>
        <w:t>（一）投资目标与投资策略</w:t>
      </w:r>
    </w:p>
    <w:p>
      <w:pPr>
        <w:spacing w:line="340" w:lineRule="exact"/>
        <w:contextualSpacing/>
        <w:rPr>
          <w:rFonts w:asciiTheme="minorEastAsia" w:hAnsiTheme="minorEastAsia"/>
          <w:szCs w:val="21"/>
          <w:highlight w:val="none"/>
        </w:rPr>
      </w:pPr>
      <w:r>
        <w:rPr>
          <w:rFonts w:asciiTheme="minorEastAsia" w:hAnsiTheme="minorEastAsia"/>
          <w:szCs w:val="21"/>
          <w:highlight w:val="none"/>
        </w:rPr>
        <w:t>详见</w:t>
      </w:r>
      <w:r>
        <w:rPr>
          <w:rFonts w:hint="eastAsia" w:asciiTheme="minorEastAsia" w:hAnsiTheme="minorEastAsia"/>
          <w:szCs w:val="21"/>
          <w:highlight w:val="none"/>
        </w:rPr>
        <w:t>《东方阿尔法优选混合型发起式证券投资基金招募说明书》第九部分“基金的投资”。</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0"/>
        <w:gridCol w:w="792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投资目标</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在严格控制风险的基础之上，通过深入研究、优选个股、主动的投资管理方式力求实现组合资产的稳健增值。</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投资范围</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主要投资策略</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hint="default" w:asciiTheme="minorEastAsia" w:hAnsiTheme="minorEastAsia"/>
                <w:bCs/>
                <w:szCs w:val="21"/>
                <w:highlight w:val="none"/>
              </w:rPr>
              <w:t>恢复</w:t>
            </w:r>
            <w:r>
              <w:rPr>
                <w:rFonts w:hint="eastAsia" w:asciiTheme="minorEastAsia" w:hAnsiTheme="minorEastAsia"/>
                <w:bCs/>
                <w:szCs w:val="21"/>
                <w:highlight w:val="none"/>
              </w:rPr>
              <w:t>到合理价值的过程中，分享股价提升带来的超额收益。</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业绩比较基准</w:t>
            </w:r>
          </w:p>
        </w:tc>
        <w:tc>
          <w:tcPr>
            <w:tcW w:w="7924" w:type="dxa"/>
          </w:tcPr>
          <w:p>
            <w:pPr>
              <w:keepNext w:val="0"/>
              <w:keepLines w:val="0"/>
              <w:suppressLineNumbers w:val="0"/>
              <w:spacing w:before="0" w:beforeAutospacing="0" w:after="0" w:afterAutospacing="0" w:line="360" w:lineRule="exact"/>
              <w:ind w:left="0" w:right="0"/>
              <w:rPr>
                <w:rFonts w:hint="default" w:asciiTheme="minorEastAsia" w:hAnsiTheme="minorEastAsia"/>
                <w:szCs w:val="21"/>
                <w:highlight w:val="none"/>
              </w:rPr>
            </w:pPr>
            <w:r>
              <w:rPr>
                <w:rFonts w:hint="eastAsia" w:asciiTheme="minorEastAsia" w:hAnsiTheme="minorEastAsia"/>
                <w:bCs/>
                <w:szCs w:val="21"/>
                <w:highlight w:val="none"/>
              </w:rPr>
              <w:t>中证800指数收益率×80%+中证综合债券指数收益率×10%+恒生指数收益率×10%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风险收益特征</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本基金为混合型基金，其预期收益和风险高于货币型基金、债券型基金。本基金如果投资港股通标的股票，需承担汇率风险以及境外市场的风险。</w:t>
            </w:r>
          </w:p>
        </w:tc>
      </w:tr>
    </w:tbl>
    <w:p>
      <w:pPr>
        <w:spacing w:line="340" w:lineRule="exact"/>
        <w:contextualSpacing/>
        <w:rPr>
          <w:rFonts w:asciiTheme="minorEastAsia" w:hAnsiTheme="minorEastAsia"/>
          <w:szCs w:val="21"/>
          <w:highlight w:val="none"/>
        </w:rPr>
      </w:pPr>
      <w:r>
        <w:rPr>
          <w:rFonts w:asciiTheme="minorEastAsia" w:hAnsiTheme="minorEastAsia"/>
          <w:szCs w:val="21"/>
          <w:highlight w:val="non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（二）投资组合资产配置图表/区域配置图表</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投资组合资产配置图表</w:t>
      </w:r>
    </w:p>
    <w:p>
      <w:pPr>
        <w:spacing w:line="340" w:lineRule="exact"/>
        <w:contextualSpacing/>
        <w:rPr>
          <w:rFonts w:asciiTheme="minorEastAsia" w:hAnsiTheme="minorEastAsia"/>
          <w:b/>
          <w:szCs w:val="21"/>
          <w:highlight w:val="none"/>
        </w:rPr>
      </w:pPr>
      <w:r>
        <w:rPr>
          <w:rFonts w:hint="default" w:ascii="Calibri" w:hAnsi="Calibri" w:eastAsia="宋体" w:cs="Times New Roman"/>
          <w:color w:val="000000"/>
          <w:kern w:val="2"/>
          <w:sz w:val="21"/>
          <w:szCs w:val="22"/>
          <w:highlight w:val="none"/>
          <w:lang w:val="en-US" w:eastAsia="zh-CN" w:bidi="ar"/>
        </w:rPr>
        <w:drawing>
          <wp:anchor distT="0" distB="0" distL="114300" distR="114300" simplePos="0" relativeHeight="251660288" behindDoc="0" locked="0" layoutInCell="1" allowOverlap="1">
            <wp:simplePos x="0" y="0"/>
            <wp:positionH relativeFrom="column">
              <wp:posOffset>608965</wp:posOffset>
            </wp:positionH>
            <wp:positionV relativeFrom="paragraph">
              <wp:posOffset>73025</wp:posOffset>
            </wp:positionV>
            <wp:extent cx="4554220" cy="2684145"/>
            <wp:effectExtent l="0" t="0" r="17780" b="1905"/>
            <wp:wrapNone/>
            <wp:docPr id="1" name="图片 1" descr="CN_51520000_007518_FA010080_2024000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N_51520000_007518_FA010080_20240003_1"/>
                    <pic:cNvPicPr>
                      <a:picLocks noChangeAspect="1"/>
                    </pic:cNvPicPr>
                  </pic:nvPicPr>
                  <pic:blipFill>
                    <a:blip r:embed="rId5"/>
                    <a:stretch>
                      <a:fillRect/>
                    </a:stretch>
                  </pic:blipFill>
                  <pic:spPr>
                    <a:xfrm>
                      <a:off x="0" y="0"/>
                      <a:ext cx="4554220" cy="2684145"/>
                    </a:xfrm>
                    <a:prstGeom prst="rect">
                      <a:avLst/>
                    </a:prstGeom>
                    <a:noFill/>
                    <a:ln>
                      <a:noFill/>
                    </a:ln>
                  </pic:spPr>
                </pic:pic>
              </a:graphicData>
            </a:graphic>
          </wp:anchor>
        </w:drawing>
      </w: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hint="eastAsia"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（三）自基金合同生效以来基金每年的净值增长率与同期业绩比较基准的比较图</w:t>
      </w:r>
    </w:p>
    <w:p>
      <w:pPr>
        <w:spacing w:line="340" w:lineRule="exact"/>
        <w:contextualSpacing/>
        <w:rPr>
          <w:rFonts w:asciiTheme="minorEastAsia" w:hAnsiTheme="minorEastAsia"/>
          <w:b/>
          <w:szCs w:val="21"/>
          <w:highlight w:val="none"/>
        </w:rPr>
      </w:pPr>
      <w:r>
        <w:rPr>
          <w:rFonts w:hint="default" w:ascii="Calibri" w:hAnsi="Calibri" w:eastAsia="宋体" w:cs="Times New Roman"/>
          <w:color w:val="000000"/>
          <w:kern w:val="2"/>
          <w:sz w:val="21"/>
          <w:szCs w:val="22"/>
          <w:highlight w:val="none"/>
          <w:lang w:val="en-US" w:eastAsia="zh-CN" w:bidi="ar"/>
        </w:rPr>
        <w:drawing>
          <wp:anchor distT="0" distB="0" distL="114300" distR="114300" simplePos="0" relativeHeight="251661312" behindDoc="0" locked="0" layoutInCell="1" allowOverlap="1">
            <wp:simplePos x="0" y="0"/>
            <wp:positionH relativeFrom="column">
              <wp:posOffset>628015</wp:posOffset>
            </wp:positionH>
            <wp:positionV relativeFrom="paragraph">
              <wp:posOffset>187325</wp:posOffset>
            </wp:positionV>
            <wp:extent cx="4867910" cy="2868295"/>
            <wp:effectExtent l="0" t="0" r="8890" b="8255"/>
            <wp:wrapNone/>
            <wp:docPr id="2" name="图片 2" descr="CN_51520000_007518_FA010080_2024000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N_51520000_007518_FA010080_20240003_7"/>
                    <pic:cNvPicPr>
                      <a:picLocks noChangeAspect="1"/>
                    </pic:cNvPicPr>
                  </pic:nvPicPr>
                  <pic:blipFill>
                    <a:blip r:embed="rId6"/>
                    <a:stretch>
                      <a:fillRect/>
                    </a:stretch>
                  </pic:blipFill>
                  <pic:spPr>
                    <a:xfrm>
                      <a:off x="0" y="0"/>
                      <a:ext cx="4867910" cy="2868295"/>
                    </a:xfrm>
                    <a:prstGeom prst="rect">
                      <a:avLst/>
                    </a:prstGeom>
                    <a:noFill/>
                    <a:ln>
                      <a:noFill/>
                    </a:ln>
                  </pic:spPr>
                </pic:pic>
              </a:graphicData>
            </a:graphic>
          </wp:anchor>
        </w:drawing>
      </w: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hint="eastAsia" w:asciiTheme="minorEastAsia" w:hAnsiTheme="minorEastAsia"/>
          <w:b/>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三</w:t>
      </w:r>
      <w:r>
        <w:rPr>
          <w:rFonts w:hint="eastAsia" w:asciiTheme="minorEastAsia" w:hAnsiTheme="minorEastAsia"/>
          <w:b/>
          <w:szCs w:val="21"/>
          <w:highlight w:val="none"/>
        </w:rPr>
        <w:t>、</w:t>
      </w:r>
      <w:r>
        <w:rPr>
          <w:rFonts w:asciiTheme="minorEastAsia" w:hAnsiTheme="minorEastAsia"/>
          <w:b/>
          <w:szCs w:val="21"/>
          <w:highlight w:val="none"/>
        </w:rPr>
        <w:t>投资本基金涉及的费用</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（一）基金销售相关费用</w:t>
      </w:r>
    </w:p>
    <w:p>
      <w:pPr>
        <w:spacing w:line="340" w:lineRule="exact"/>
        <w:ind w:firstLine="420" w:firstLineChars="200"/>
        <w:contextualSpacing/>
        <w:rPr>
          <w:rFonts w:asciiTheme="minorEastAsia" w:hAnsiTheme="minorEastAsia"/>
          <w:szCs w:val="21"/>
          <w:highlight w:val="none"/>
        </w:rPr>
      </w:pPr>
      <w:r>
        <w:rPr>
          <w:rFonts w:asciiTheme="minorEastAsia" w:hAnsiTheme="minorEastAsia"/>
          <w:szCs w:val="21"/>
          <w:highlight w:val="none"/>
        </w:rPr>
        <w:t>以下费用在申购</w:t>
      </w:r>
      <w:r>
        <w:rPr>
          <w:rFonts w:hint="eastAsia" w:asciiTheme="minorEastAsia" w:hAnsiTheme="minorEastAsia"/>
          <w:szCs w:val="21"/>
          <w:highlight w:val="none"/>
        </w:rPr>
        <w:t>/赎回基金过程中收取：</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东方阿尔法优选混合C</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52"/>
        <w:gridCol w:w="2977"/>
        <w:gridCol w:w="1701"/>
        <w:gridCol w:w="198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52"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费用类型</w:t>
            </w:r>
          </w:p>
        </w:tc>
        <w:tc>
          <w:tcPr>
            <w:tcW w:w="2977"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金额（M）/</w:t>
            </w:r>
          </w:p>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持有期间（N）</w:t>
            </w:r>
          </w:p>
        </w:tc>
        <w:tc>
          <w:tcPr>
            <w:tcW w:w="1701"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收费方式/费率</w:t>
            </w:r>
          </w:p>
        </w:tc>
        <w:tc>
          <w:tcPr>
            <w:tcW w:w="1984"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备注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52"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申购费（前收费）</w:t>
            </w:r>
          </w:p>
        </w:tc>
        <w:tc>
          <w:tcPr>
            <w:tcW w:w="2977"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w:t>
            </w:r>
          </w:p>
        </w:tc>
        <w:tc>
          <w:tcPr>
            <w:tcW w:w="1701"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r>
              <w:rPr>
                <w:rFonts w:hint="eastAsia" w:asciiTheme="minorEastAsia" w:hAnsiTheme="minorEastAsia"/>
                <w:szCs w:val="21"/>
                <w:highlight w:val="none"/>
              </w:rPr>
              <w:t>C类份额无申购费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52" w:type="dxa"/>
            <w:vMerge w:val="restart"/>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赎回费</w:t>
            </w:r>
          </w:p>
        </w:tc>
        <w:tc>
          <w:tcPr>
            <w:tcW w:w="2977"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0＜N＜7天</w:t>
            </w:r>
          </w:p>
        </w:tc>
        <w:tc>
          <w:tcPr>
            <w:tcW w:w="1701"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1.50%</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977"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7天≤N＜30天</w:t>
            </w:r>
          </w:p>
        </w:tc>
        <w:tc>
          <w:tcPr>
            <w:tcW w:w="1701"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w:t>
            </w:r>
            <w:r>
              <w:rPr>
                <w:rFonts w:hint="default" w:asciiTheme="minorEastAsia" w:hAnsiTheme="minorEastAsia"/>
                <w:szCs w:val="21"/>
                <w:highlight w:val="none"/>
              </w:rPr>
              <w:t>50</w:t>
            </w:r>
            <w:r>
              <w:rPr>
                <w:rFonts w:hint="eastAsia" w:asciiTheme="minorEastAsia" w:hAnsiTheme="minorEastAsia"/>
                <w:szCs w:val="21"/>
                <w:highlight w:val="none"/>
              </w:rPr>
              <w:t>%</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8"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977"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30</w:t>
            </w:r>
            <w:r>
              <w:rPr>
                <w:rFonts w:hint="eastAsia" w:asciiTheme="minorEastAsia" w:hAnsiTheme="minorEastAsia"/>
                <w:szCs w:val="21"/>
                <w:highlight w:val="none"/>
              </w:rPr>
              <w:t>天≤N</w:t>
            </w:r>
          </w:p>
        </w:tc>
        <w:tc>
          <w:tcPr>
            <w:tcW w:w="1701"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0</w:t>
            </w:r>
            <w:r>
              <w:rPr>
                <w:rFonts w:hint="eastAsia" w:asciiTheme="minorEastAsia" w:hAnsiTheme="minorEastAsia"/>
                <w:szCs w:val="21"/>
                <w:highlight w:val="none"/>
              </w:rPr>
              <w:t>%</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bl>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（二）基金运作相关费用</w:t>
      </w:r>
    </w:p>
    <w:p>
      <w:pPr>
        <w:spacing w:line="340" w:lineRule="exact"/>
        <w:ind w:firstLine="422" w:firstLineChars="200"/>
        <w:contextualSpacing/>
        <w:rPr>
          <w:rFonts w:asciiTheme="minorEastAsia" w:hAnsiTheme="minorEastAsia"/>
          <w:b/>
          <w:szCs w:val="21"/>
          <w:highlight w:val="none"/>
        </w:rPr>
      </w:pPr>
      <w:r>
        <w:rPr>
          <w:rFonts w:asciiTheme="minorEastAsia" w:hAnsiTheme="minorEastAsia"/>
          <w:b/>
          <w:szCs w:val="21"/>
          <w:highlight w:val="none"/>
        </w:rPr>
        <w:t>以下费用将从基金资产中扣除</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8"/>
        <w:gridCol w:w="694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费用类型</w:t>
            </w:r>
          </w:p>
        </w:tc>
        <w:tc>
          <w:tcPr>
            <w:tcW w:w="6946"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收费方式/年费率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管理费</w:t>
            </w:r>
          </w:p>
        </w:tc>
        <w:tc>
          <w:tcPr>
            <w:tcW w:w="6946"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固定费率 1.</w:t>
            </w:r>
            <w:r>
              <w:rPr>
                <w:rFonts w:hint="default" w:asciiTheme="minorEastAsia" w:hAnsiTheme="minorEastAsia"/>
                <w:szCs w:val="21"/>
                <w:highlight w:val="none"/>
              </w:rPr>
              <w:t>2</w:t>
            </w:r>
            <w:r>
              <w:rPr>
                <w:rFonts w:hint="eastAsia" w:asciiTheme="minorEastAsia" w:hAnsiTheme="minorEastAsia"/>
                <w:szCs w:val="21"/>
                <w:highlight w:val="none"/>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托管费</w:t>
            </w:r>
          </w:p>
        </w:tc>
        <w:tc>
          <w:tcPr>
            <w:tcW w:w="6946"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固定费率 0.</w:t>
            </w:r>
            <w:r>
              <w:rPr>
                <w:rFonts w:hint="default" w:asciiTheme="minorEastAsia" w:hAnsiTheme="minorEastAsia"/>
                <w:szCs w:val="21"/>
                <w:highlight w:val="none"/>
              </w:rPr>
              <w:t>20</w:t>
            </w:r>
            <w:r>
              <w:rPr>
                <w:rFonts w:hint="eastAsia" w:asciiTheme="minorEastAsia" w:hAnsiTheme="minorEastAsia"/>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default" w:asciiTheme="minorEastAsia" w:hAnsiTheme="minorEastAsia"/>
                <w:b/>
                <w:szCs w:val="21"/>
                <w:highlight w:val="none"/>
              </w:rPr>
              <w:t>销售服务费</w:t>
            </w:r>
          </w:p>
        </w:tc>
        <w:tc>
          <w:tcPr>
            <w:tcW w:w="6946"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固定费率 0.</w:t>
            </w:r>
            <w:r>
              <w:rPr>
                <w:rFonts w:hint="default" w:asciiTheme="minorEastAsia" w:hAnsiTheme="minorEastAsia"/>
                <w:szCs w:val="21"/>
                <w:highlight w:val="none"/>
              </w:rPr>
              <w:t>50</w:t>
            </w:r>
            <w:r>
              <w:rPr>
                <w:rFonts w:hint="eastAsia" w:asciiTheme="minorEastAsia" w:hAnsiTheme="minorEastAsia"/>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default" w:asciiTheme="minorEastAsia" w:hAnsiTheme="minorEastAsia"/>
                <w:b/>
                <w:szCs w:val="21"/>
                <w:highlight w:val="none"/>
              </w:rPr>
              <w:t>其他费用</w:t>
            </w:r>
          </w:p>
        </w:tc>
        <w:tc>
          <w:tcPr>
            <w:tcW w:w="6946" w:type="dxa"/>
          </w:tcPr>
          <w:p>
            <w:pPr>
              <w:keepNext w:val="0"/>
              <w:keepLines w:val="0"/>
              <w:suppressLineNumbers w:val="0"/>
              <w:spacing w:before="0" w:beforeAutospacing="0" w:after="0" w:afterAutospacing="0" w:line="340" w:lineRule="exact"/>
              <w:ind w:left="0" w:right="0" w:firstLine="420" w:firstLineChars="200"/>
              <w:contextualSpacing/>
              <w:rPr>
                <w:rFonts w:hint="default" w:asciiTheme="minorEastAsia" w:hAnsiTheme="minorEastAsia"/>
                <w:bCs/>
                <w:szCs w:val="21"/>
                <w:highlight w:val="none"/>
              </w:rPr>
            </w:pPr>
            <w:r>
              <w:rPr>
                <w:rFonts w:hint="eastAsia" w:asciiTheme="minorEastAsia" w:hAnsiTheme="minorEastAsia"/>
                <w:szCs w:val="21"/>
                <w:highlight w:val="none"/>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hint="default" w:asciiTheme="minorEastAsia" w:hAnsiTheme="minorEastAsia"/>
                <w:bCs/>
                <w:szCs w:val="21"/>
                <w:highlight w:val="none"/>
              </w:rPr>
              <w:t>按照国家有关规定和《基金合同》约定，可以在基金财产中列支的其他费用</w:t>
            </w:r>
            <w:r>
              <w:rPr>
                <w:rFonts w:hint="eastAsia" w:asciiTheme="minorEastAsia" w:hAnsiTheme="minorEastAsia"/>
                <w:bCs/>
                <w:szCs w:val="21"/>
                <w:highlight w:val="none"/>
              </w:rPr>
              <w:t>。</w:t>
            </w:r>
          </w:p>
        </w:tc>
      </w:tr>
    </w:tbl>
    <w:p>
      <w:pPr>
        <w:spacing w:line="340" w:lineRule="exact"/>
        <w:ind w:firstLine="420" w:firstLineChars="200"/>
        <w:contextualSpacing/>
        <w:rPr>
          <w:rFonts w:asciiTheme="minorEastAsia" w:hAnsiTheme="minorEastAsia"/>
          <w:szCs w:val="21"/>
          <w:highlight w:val="none"/>
        </w:rPr>
      </w:pPr>
      <w:r>
        <w:rPr>
          <w:rFonts w:asciiTheme="minorEastAsia" w:hAnsiTheme="minorEastAsia"/>
          <w:szCs w:val="21"/>
          <w:highlight w:val="none"/>
        </w:rPr>
        <w:t>注</w:t>
      </w:r>
      <w:r>
        <w:rPr>
          <w:rFonts w:hint="eastAsia" w:asciiTheme="minorEastAsia" w:hAnsiTheme="minorEastAsia"/>
          <w:szCs w:val="21"/>
          <w:highlight w:val="none"/>
        </w:rPr>
        <w:t>：本基金交易证券、基金等产生的费用和税负，按实际发生额从基金资产扣除。</w:t>
      </w:r>
    </w:p>
    <w:p>
      <w:pPr>
        <w:spacing w:line="340" w:lineRule="exact"/>
        <w:contextualSpacing/>
        <w:rPr>
          <w:rFonts w:asciiTheme="minorEastAsia" w:hAnsiTheme="minorEastAsia"/>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四</w:t>
      </w:r>
      <w:r>
        <w:rPr>
          <w:rFonts w:hint="eastAsia" w:asciiTheme="minorEastAsia" w:hAnsiTheme="minorEastAsia"/>
          <w:b/>
          <w:szCs w:val="21"/>
          <w:highlight w:val="none"/>
        </w:rPr>
        <w:t>、</w:t>
      </w:r>
      <w:r>
        <w:rPr>
          <w:rFonts w:asciiTheme="minorEastAsia" w:hAnsiTheme="minorEastAsia"/>
          <w:b/>
          <w:szCs w:val="21"/>
          <w:highlight w:val="none"/>
        </w:rPr>
        <w:t>风险揭示与重要提示</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（一）风险揭示</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本基金不提供任何保证。投资者可能损失本金。投资有风险，投资者购买基金时应认真阅读本基金的《招募说明书》等销售文件。</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1、本基金特有风险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（1）本基金投资于股票的比例占基金资产的60%-95%，投资集中度比较明显，股票市场的价格波动可能会导致基金净值发生剧烈波动的风险。</w:t>
      </w:r>
    </w:p>
    <w:p>
      <w:pPr>
        <w:spacing w:line="340" w:lineRule="exact"/>
        <w:ind w:firstLine="420" w:firstLineChars="200"/>
        <w:contextualSpacing/>
        <w:rPr>
          <w:rFonts w:asciiTheme="minorEastAsia" w:hAnsiTheme="minorEastAsia"/>
          <w:bCs/>
          <w:szCs w:val="21"/>
          <w:highlight w:val="none"/>
        </w:rPr>
      </w:pPr>
      <w:r>
        <w:rPr>
          <w:rFonts w:hint="eastAsia" w:asciiTheme="minorEastAsia" w:hAnsiTheme="minorEastAsia"/>
          <w:szCs w:val="21"/>
          <w:highlight w:val="none"/>
        </w:rPr>
        <w:t>（2）</w:t>
      </w:r>
      <w:r>
        <w:rPr>
          <w:rFonts w:asciiTheme="minorEastAsia" w:hAnsiTheme="minorEastAsia"/>
          <w:szCs w:val="21"/>
          <w:highlight w:val="none"/>
        </w:rPr>
        <w:t>本基金为发起式基金</w:t>
      </w:r>
      <w:r>
        <w:rPr>
          <w:rFonts w:hint="eastAsia" w:asciiTheme="minorEastAsia" w:hAnsiTheme="minorEastAsia"/>
          <w:szCs w:val="21"/>
          <w:highlight w:val="none"/>
        </w:rPr>
        <w:t>，</w:t>
      </w:r>
      <w:r>
        <w:rPr>
          <w:rFonts w:hint="eastAsia" w:asciiTheme="minorEastAsia" w:hAnsiTheme="minorEastAsia"/>
          <w:bCs/>
          <w:szCs w:val="21"/>
          <w:highlight w:val="none"/>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3</w:t>
      </w:r>
      <w:r>
        <w:rPr>
          <w:rFonts w:hint="eastAsia" w:asciiTheme="minorEastAsia" w:hAnsiTheme="minorEastAsia"/>
          <w:szCs w:val="21"/>
          <w:highlight w:val="none"/>
        </w:rPr>
        <w:t>）本基金可投资股指期货，可能会出现的风险包括基差风险、合约品种差异造成的风险、标的物风险、衍生品模型风险等。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4</w:t>
      </w:r>
      <w:r>
        <w:rPr>
          <w:rFonts w:hint="eastAsia" w:asciiTheme="minorEastAsia" w:hAnsiTheme="minorEastAsia"/>
          <w:szCs w:val="21"/>
          <w:highlight w:val="none"/>
        </w:rPr>
        <w:t>）本基金可投资国债期货，国债期货的风险主要包含市场风险、流动性风险、信用风险、合规性风险以及国债期货实物交割风险等。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5</w:t>
      </w:r>
      <w:r>
        <w:rPr>
          <w:rFonts w:hint="eastAsia" w:asciiTheme="minorEastAsia" w:hAnsiTheme="minorEastAsia"/>
          <w:szCs w:val="21"/>
          <w:highlight w:val="none"/>
        </w:rPr>
        <w:t>）本基金可投资资产支持类证券，资产支持证券的风险主要包括信用风险、利率风险、流动性风险、提前偿付风险等。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（6）</w:t>
      </w:r>
      <w:r>
        <w:rPr>
          <w:rFonts w:asciiTheme="minorEastAsia" w:hAnsiTheme="minorEastAsia"/>
          <w:szCs w:val="21"/>
          <w:highlight w:val="none"/>
        </w:rPr>
        <w:t>本基金除了投资于A股市场优质企业外，还可在法律法规规定的范围内投资港股通标的股票，会面临港股通机制下因投资环境、投资标的、市场制度以及交易规则等差异带来的特有风险。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（7）本基金可投资科创板上市交易股票，将承担因上市条件、交易规则、退市制度等差异带来的特有风险，包括流动性风险、退市风险、投资集中风险等。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8</w:t>
      </w:r>
      <w:r>
        <w:rPr>
          <w:rFonts w:hint="eastAsia" w:asciiTheme="minorEastAsia" w:hAnsiTheme="minorEastAsia"/>
          <w:szCs w:val="21"/>
          <w:highlight w:val="none"/>
        </w:rPr>
        <w:t>）</w:t>
      </w:r>
      <w:r>
        <w:rPr>
          <w:rFonts w:asciiTheme="minorEastAsia" w:hAnsiTheme="minorEastAsia"/>
          <w:szCs w:val="21"/>
          <w:highlight w:val="none"/>
        </w:rPr>
        <w:t>本基金可参与融资交易，融资交易的风险主要包括流动性风险、信用风险等，这些风险可能会给基金净值带来一定的负面影响和损失。</w:t>
      </w:r>
    </w:p>
    <w:p>
      <w:pPr>
        <w:spacing w:line="340" w:lineRule="exact"/>
        <w:ind w:firstLine="420" w:firstLineChars="200"/>
        <w:contextualSpacing/>
        <w:rPr>
          <w:rFonts w:asciiTheme="minorEastAsia" w:hAnsiTheme="minorEastAsia"/>
          <w:szCs w:val="21"/>
          <w:highlight w:val="none"/>
        </w:rPr>
      </w:pPr>
      <w:r>
        <w:rPr>
          <w:rFonts w:asciiTheme="minorEastAsia" w:hAnsiTheme="minorEastAsia"/>
          <w:szCs w:val="21"/>
          <w:highlight w:val="none"/>
        </w:rPr>
        <w:t>（</w:t>
      </w:r>
      <w:r>
        <w:rPr>
          <w:rFonts w:hint="eastAsia" w:asciiTheme="minorEastAsia" w:hAnsiTheme="minorEastAsia"/>
          <w:szCs w:val="21"/>
          <w:highlight w:val="none"/>
        </w:rPr>
        <w:t>9</w:t>
      </w:r>
      <w:r>
        <w:rPr>
          <w:rFonts w:asciiTheme="minorEastAsia" w:hAnsiTheme="minorEastAsia"/>
          <w:szCs w:val="21"/>
          <w:highlight w:val="none"/>
        </w:rPr>
        <w:t>）</w:t>
      </w:r>
      <w:r>
        <w:rPr>
          <w:rFonts w:hint="eastAsia" w:asciiTheme="minorEastAsia" w:hAnsiTheme="minorEastAsia"/>
          <w:szCs w:val="21"/>
          <w:highlight w:val="none"/>
        </w:rPr>
        <w:t>本基金的投资范围包括存托凭证，如果投资，可能面临存托凭证价格大幅波动甚至出现较大亏损的风险，以及与创新企业发行人、境外发行人、存托凭证发行机制和交易机制等相关的风险。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w:t>
      </w:r>
      <w:r>
        <w:rPr>
          <w:rFonts w:asciiTheme="minorEastAsia" w:hAnsiTheme="minorEastAsia"/>
          <w:szCs w:val="21"/>
          <w:highlight w:val="none"/>
        </w:rPr>
        <w:t>0</w:t>
      </w:r>
      <w:r>
        <w:rPr>
          <w:rFonts w:hint="eastAsia" w:asciiTheme="minorEastAsia" w:hAnsiTheme="minorEastAsia"/>
          <w:szCs w:val="21"/>
          <w:highlight w:val="none"/>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2、开放式基金的共有风险：市场风险、管理风险、职业道德风险、流动性风险、合规风险、投资管理风险、操作和技术风险以及不可抗力可能导致的其他风险。</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（二）重要提示</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中国证监会对本基金募集的</w:t>
      </w:r>
      <w:r>
        <w:rPr>
          <w:rFonts w:asciiTheme="minorEastAsia" w:hAnsiTheme="minorEastAsia"/>
          <w:szCs w:val="21"/>
          <w:highlight w:val="none"/>
        </w:rPr>
        <w:t>注册</w:t>
      </w:r>
      <w:r>
        <w:rPr>
          <w:rFonts w:hint="eastAsia" w:asciiTheme="minorEastAsia" w:hAnsiTheme="minorEastAsia"/>
          <w:szCs w:val="21"/>
          <w:highlight w:val="none"/>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highlight w:val="none"/>
        </w:rPr>
        <w:t>“</w:t>
      </w:r>
      <w:r>
        <w:rPr>
          <w:rFonts w:hint="eastAsia" w:asciiTheme="minorEastAsia" w:hAnsiTheme="minorEastAsia"/>
          <w:szCs w:val="21"/>
          <w:highlight w:val="none"/>
        </w:rPr>
        <w:t>争议的处理和适用法律</w:t>
      </w:r>
      <w:r>
        <w:rPr>
          <w:rFonts w:asciiTheme="minorEastAsia" w:hAnsiTheme="minorEastAsia"/>
          <w:szCs w:val="21"/>
          <w:highlight w:val="none"/>
        </w:rPr>
        <w:t>”</w:t>
      </w:r>
      <w:r>
        <w:rPr>
          <w:rFonts w:hint="eastAsia" w:asciiTheme="minorEastAsia" w:hAnsiTheme="minorEastAsia"/>
          <w:szCs w:val="21"/>
          <w:highlight w:val="none"/>
        </w:rPr>
        <w:t>。</w:t>
      </w:r>
    </w:p>
    <w:p>
      <w:pPr>
        <w:spacing w:line="340" w:lineRule="exact"/>
        <w:ind w:firstLine="420" w:firstLineChars="200"/>
        <w:contextualSpacing/>
        <w:rPr>
          <w:rFonts w:asciiTheme="minorEastAsia" w:hAnsiTheme="minorEastAsia"/>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五</w:t>
      </w:r>
      <w:r>
        <w:rPr>
          <w:rFonts w:hint="eastAsia" w:asciiTheme="minorEastAsia" w:hAnsiTheme="minorEastAsia"/>
          <w:b/>
          <w:szCs w:val="21"/>
          <w:highlight w:val="none"/>
        </w:rPr>
        <w:t>、</w:t>
      </w:r>
      <w:r>
        <w:rPr>
          <w:rFonts w:asciiTheme="minorEastAsia" w:hAnsiTheme="minorEastAsia"/>
          <w:b/>
          <w:szCs w:val="21"/>
          <w:highlight w:val="none"/>
        </w:rPr>
        <w:t>其他资料查询方式</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以下资料详见东方阿尔法基金官方网站【www.dfa66.com】【客服电话：400-</w:t>
      </w:r>
      <w:r>
        <w:rPr>
          <w:rFonts w:asciiTheme="minorEastAsia" w:hAnsiTheme="minorEastAsia"/>
          <w:szCs w:val="21"/>
          <w:highlight w:val="none"/>
        </w:rPr>
        <w:t>930</w:t>
      </w:r>
      <w:r>
        <w:rPr>
          <w:rFonts w:hint="eastAsia" w:asciiTheme="minorEastAsia" w:hAnsiTheme="minorEastAsia"/>
          <w:szCs w:val="21"/>
          <w:highlight w:val="none"/>
        </w:rPr>
        <w:t>-</w:t>
      </w:r>
      <w:r>
        <w:rPr>
          <w:rFonts w:asciiTheme="minorEastAsia" w:hAnsiTheme="minorEastAsia"/>
          <w:szCs w:val="21"/>
          <w:highlight w:val="none"/>
        </w:rPr>
        <w:t>6677</w:t>
      </w:r>
      <w:r>
        <w:rPr>
          <w:rFonts w:hint="eastAsia" w:asciiTheme="minorEastAsia" w:hAnsiTheme="minorEastAsia"/>
          <w:szCs w:val="21"/>
          <w:highlight w:val="none"/>
        </w:rPr>
        <w:t>】</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（1）基金合同、托管协议、招募说明书</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（2）定期报告，包括基金季度报告、中期报告和年度报告</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（3）基金份额净值</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（4）基金销售机构及联系方式</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（5）其他重要资料</w:t>
      </w:r>
    </w:p>
    <w:p>
      <w:pPr>
        <w:spacing w:line="340" w:lineRule="exact"/>
        <w:contextualSpacing/>
        <w:rPr>
          <w:rFonts w:asciiTheme="minorEastAsia" w:hAnsiTheme="minorEastAsia"/>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六</w:t>
      </w:r>
      <w:r>
        <w:rPr>
          <w:rFonts w:hint="eastAsia" w:asciiTheme="minorEastAsia" w:hAnsiTheme="minorEastAsia"/>
          <w:b/>
          <w:szCs w:val="21"/>
          <w:highlight w:val="none"/>
        </w:rPr>
        <w:t>、</w:t>
      </w:r>
      <w:r>
        <w:rPr>
          <w:rFonts w:asciiTheme="minorEastAsia" w:hAnsiTheme="minorEastAsia"/>
          <w:b/>
          <w:szCs w:val="21"/>
          <w:highlight w:val="none"/>
        </w:rPr>
        <w:t>其他情况说明</w:t>
      </w:r>
    </w:p>
    <w:p>
      <w:pPr>
        <w:spacing w:line="340" w:lineRule="exact"/>
        <w:ind w:firstLine="420" w:firstLineChars="200"/>
        <w:contextualSpacing/>
        <w:rPr>
          <w:rFonts w:asciiTheme="minorEastAsia" w:hAnsiTheme="minorEastAsia"/>
          <w:bCs/>
          <w:szCs w:val="21"/>
          <w:highlight w:val="none"/>
        </w:rPr>
      </w:pPr>
      <w:r>
        <w:rPr>
          <w:rFonts w:asciiTheme="minorEastAsia" w:hAnsiTheme="minorEastAsia"/>
          <w:szCs w:val="21"/>
          <w:highlight w:val="none"/>
        </w:rPr>
        <w:t>无</w:t>
      </w:r>
    </w:p>
    <w:sectPr>
      <w:footerReference r:id="rId3" w:type="default"/>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25753"/>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ZDQ1NzE5ZjE5YTIwNzY1NzE5N2I3MjBkYWExNjEifQ=="/>
  </w:docVars>
  <w:rsids>
    <w:rsidRoot w:val="00C9276B"/>
    <w:rsid w:val="00002635"/>
    <w:rsid w:val="000028DB"/>
    <w:rsid w:val="00011882"/>
    <w:rsid w:val="0002704A"/>
    <w:rsid w:val="00035DF0"/>
    <w:rsid w:val="000374CF"/>
    <w:rsid w:val="00040E86"/>
    <w:rsid w:val="00057932"/>
    <w:rsid w:val="00074340"/>
    <w:rsid w:val="00075E30"/>
    <w:rsid w:val="000805FE"/>
    <w:rsid w:val="00095BBF"/>
    <w:rsid w:val="000B6C60"/>
    <w:rsid w:val="000C07A8"/>
    <w:rsid w:val="000C5026"/>
    <w:rsid w:val="000D6086"/>
    <w:rsid w:val="000D7E21"/>
    <w:rsid w:val="00125549"/>
    <w:rsid w:val="0013340C"/>
    <w:rsid w:val="00144263"/>
    <w:rsid w:val="001477E5"/>
    <w:rsid w:val="001575AE"/>
    <w:rsid w:val="00181AC7"/>
    <w:rsid w:val="0018376C"/>
    <w:rsid w:val="00191152"/>
    <w:rsid w:val="001A6B72"/>
    <w:rsid w:val="001A7C67"/>
    <w:rsid w:val="001B09D7"/>
    <w:rsid w:val="001B30A6"/>
    <w:rsid w:val="00207C7B"/>
    <w:rsid w:val="0021321D"/>
    <w:rsid w:val="002336D9"/>
    <w:rsid w:val="0024041C"/>
    <w:rsid w:val="002662B4"/>
    <w:rsid w:val="00270214"/>
    <w:rsid w:val="0027117A"/>
    <w:rsid w:val="002876C1"/>
    <w:rsid w:val="002C4EA5"/>
    <w:rsid w:val="002D01C2"/>
    <w:rsid w:val="002E2EC1"/>
    <w:rsid w:val="002E330D"/>
    <w:rsid w:val="002F33D7"/>
    <w:rsid w:val="002F3421"/>
    <w:rsid w:val="00322DFB"/>
    <w:rsid w:val="00323830"/>
    <w:rsid w:val="00332F09"/>
    <w:rsid w:val="00333EAE"/>
    <w:rsid w:val="00335CDB"/>
    <w:rsid w:val="00336B1E"/>
    <w:rsid w:val="0034677D"/>
    <w:rsid w:val="00352197"/>
    <w:rsid w:val="003557EA"/>
    <w:rsid w:val="00393690"/>
    <w:rsid w:val="00394C02"/>
    <w:rsid w:val="003B3E2C"/>
    <w:rsid w:val="003B43CF"/>
    <w:rsid w:val="003B4DD2"/>
    <w:rsid w:val="003B769D"/>
    <w:rsid w:val="003D3559"/>
    <w:rsid w:val="003D7831"/>
    <w:rsid w:val="003E4FAD"/>
    <w:rsid w:val="003E5CAE"/>
    <w:rsid w:val="003E66BE"/>
    <w:rsid w:val="003E7113"/>
    <w:rsid w:val="003E7F86"/>
    <w:rsid w:val="00412830"/>
    <w:rsid w:val="00423F18"/>
    <w:rsid w:val="00460286"/>
    <w:rsid w:val="004606EA"/>
    <w:rsid w:val="00461049"/>
    <w:rsid w:val="0047416C"/>
    <w:rsid w:val="004A00E1"/>
    <w:rsid w:val="004B3101"/>
    <w:rsid w:val="004C5C28"/>
    <w:rsid w:val="004C7F14"/>
    <w:rsid w:val="004D6A6F"/>
    <w:rsid w:val="0051061A"/>
    <w:rsid w:val="00514EF3"/>
    <w:rsid w:val="00524F7A"/>
    <w:rsid w:val="00541603"/>
    <w:rsid w:val="005571B4"/>
    <w:rsid w:val="00557796"/>
    <w:rsid w:val="00573E93"/>
    <w:rsid w:val="0058312A"/>
    <w:rsid w:val="00583E60"/>
    <w:rsid w:val="0059736C"/>
    <w:rsid w:val="005B0FEE"/>
    <w:rsid w:val="005B6D2B"/>
    <w:rsid w:val="0060634A"/>
    <w:rsid w:val="00626040"/>
    <w:rsid w:val="00633A06"/>
    <w:rsid w:val="00645988"/>
    <w:rsid w:val="00651D9C"/>
    <w:rsid w:val="00663768"/>
    <w:rsid w:val="00673585"/>
    <w:rsid w:val="00675C2A"/>
    <w:rsid w:val="006778AD"/>
    <w:rsid w:val="006878F5"/>
    <w:rsid w:val="006A19AA"/>
    <w:rsid w:val="006A305F"/>
    <w:rsid w:val="006A4CDB"/>
    <w:rsid w:val="006B53AD"/>
    <w:rsid w:val="006E3305"/>
    <w:rsid w:val="006E5EC1"/>
    <w:rsid w:val="006F48B4"/>
    <w:rsid w:val="00702365"/>
    <w:rsid w:val="0072789C"/>
    <w:rsid w:val="00735306"/>
    <w:rsid w:val="00762BC2"/>
    <w:rsid w:val="00764F6F"/>
    <w:rsid w:val="00796F91"/>
    <w:rsid w:val="007A0864"/>
    <w:rsid w:val="007D10BE"/>
    <w:rsid w:val="007E53B8"/>
    <w:rsid w:val="008002EC"/>
    <w:rsid w:val="00804530"/>
    <w:rsid w:val="008112DD"/>
    <w:rsid w:val="0082295A"/>
    <w:rsid w:val="00833A17"/>
    <w:rsid w:val="008369F2"/>
    <w:rsid w:val="008436C9"/>
    <w:rsid w:val="008478EE"/>
    <w:rsid w:val="00882D7D"/>
    <w:rsid w:val="00885682"/>
    <w:rsid w:val="00885970"/>
    <w:rsid w:val="00887F07"/>
    <w:rsid w:val="008A7C6C"/>
    <w:rsid w:val="008B349F"/>
    <w:rsid w:val="008B3DCC"/>
    <w:rsid w:val="008B438A"/>
    <w:rsid w:val="008C613C"/>
    <w:rsid w:val="008D155B"/>
    <w:rsid w:val="008D39EF"/>
    <w:rsid w:val="00911345"/>
    <w:rsid w:val="00922C40"/>
    <w:rsid w:val="00934096"/>
    <w:rsid w:val="00934DC4"/>
    <w:rsid w:val="00934ED3"/>
    <w:rsid w:val="00937FF3"/>
    <w:rsid w:val="00946A7B"/>
    <w:rsid w:val="0095754C"/>
    <w:rsid w:val="00962944"/>
    <w:rsid w:val="00971779"/>
    <w:rsid w:val="00975C1D"/>
    <w:rsid w:val="00976C18"/>
    <w:rsid w:val="009B5CE5"/>
    <w:rsid w:val="009C6ABD"/>
    <w:rsid w:val="009D225B"/>
    <w:rsid w:val="009D7441"/>
    <w:rsid w:val="009D7A77"/>
    <w:rsid w:val="009F6BB0"/>
    <w:rsid w:val="00A049FC"/>
    <w:rsid w:val="00A07A2A"/>
    <w:rsid w:val="00A12F39"/>
    <w:rsid w:val="00A164FF"/>
    <w:rsid w:val="00A17673"/>
    <w:rsid w:val="00A26548"/>
    <w:rsid w:val="00A4204A"/>
    <w:rsid w:val="00A66995"/>
    <w:rsid w:val="00A80AE6"/>
    <w:rsid w:val="00A85F79"/>
    <w:rsid w:val="00A9320D"/>
    <w:rsid w:val="00AA0C86"/>
    <w:rsid w:val="00AA0F06"/>
    <w:rsid w:val="00AA6D5C"/>
    <w:rsid w:val="00AC0ADD"/>
    <w:rsid w:val="00AD5326"/>
    <w:rsid w:val="00AF04DF"/>
    <w:rsid w:val="00AF4C00"/>
    <w:rsid w:val="00B0443E"/>
    <w:rsid w:val="00B0676F"/>
    <w:rsid w:val="00B13C49"/>
    <w:rsid w:val="00B1573C"/>
    <w:rsid w:val="00B161F0"/>
    <w:rsid w:val="00B20297"/>
    <w:rsid w:val="00B34F28"/>
    <w:rsid w:val="00B96F92"/>
    <w:rsid w:val="00BD65F0"/>
    <w:rsid w:val="00BE5320"/>
    <w:rsid w:val="00BF0199"/>
    <w:rsid w:val="00C00884"/>
    <w:rsid w:val="00C01282"/>
    <w:rsid w:val="00C04FCF"/>
    <w:rsid w:val="00C21B03"/>
    <w:rsid w:val="00C30C28"/>
    <w:rsid w:val="00C42C7D"/>
    <w:rsid w:val="00C4764A"/>
    <w:rsid w:val="00C62F8F"/>
    <w:rsid w:val="00C725A0"/>
    <w:rsid w:val="00C83376"/>
    <w:rsid w:val="00C87C45"/>
    <w:rsid w:val="00C9276B"/>
    <w:rsid w:val="00C93896"/>
    <w:rsid w:val="00CB5710"/>
    <w:rsid w:val="00CD5E5A"/>
    <w:rsid w:val="00CE43E0"/>
    <w:rsid w:val="00D004EA"/>
    <w:rsid w:val="00D4452C"/>
    <w:rsid w:val="00D447BF"/>
    <w:rsid w:val="00D50B84"/>
    <w:rsid w:val="00D50D69"/>
    <w:rsid w:val="00D6161D"/>
    <w:rsid w:val="00D71F32"/>
    <w:rsid w:val="00D77ED9"/>
    <w:rsid w:val="00DC2E30"/>
    <w:rsid w:val="00DC42B2"/>
    <w:rsid w:val="00DD1D9C"/>
    <w:rsid w:val="00E0755E"/>
    <w:rsid w:val="00E260A7"/>
    <w:rsid w:val="00E51C1F"/>
    <w:rsid w:val="00E844CD"/>
    <w:rsid w:val="00E86E33"/>
    <w:rsid w:val="00EA0311"/>
    <w:rsid w:val="00EC73BA"/>
    <w:rsid w:val="00ED549B"/>
    <w:rsid w:val="00EE2570"/>
    <w:rsid w:val="00EE2851"/>
    <w:rsid w:val="00EF641D"/>
    <w:rsid w:val="00F13F63"/>
    <w:rsid w:val="00F214CE"/>
    <w:rsid w:val="00F34626"/>
    <w:rsid w:val="00F46DC8"/>
    <w:rsid w:val="00F83611"/>
    <w:rsid w:val="00F86B88"/>
    <w:rsid w:val="00F93A72"/>
    <w:rsid w:val="00FA0CFC"/>
    <w:rsid w:val="00FE117F"/>
    <w:rsid w:val="00FE5ED1"/>
    <w:rsid w:val="01BD43CF"/>
    <w:rsid w:val="038F3A12"/>
    <w:rsid w:val="101A4E93"/>
    <w:rsid w:val="134D27B6"/>
    <w:rsid w:val="1D073171"/>
    <w:rsid w:val="1D4C23DD"/>
    <w:rsid w:val="30875A2D"/>
    <w:rsid w:val="4035454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autoRedefine/>
    <w:semiHidden/>
    <w:unhideWhenUsed/>
    <w:qFormat/>
    <w:uiPriority w:val="99"/>
    <w:pPr>
      <w:snapToGrid w:val="0"/>
      <w:jc w:val="left"/>
    </w:pPr>
    <w:rPr>
      <w:sz w:val="18"/>
      <w:szCs w:val="18"/>
    </w:rPr>
  </w:style>
  <w:style w:type="paragraph" w:styleId="7">
    <w:name w:val="annotation subject"/>
    <w:basedOn w:val="2"/>
    <w:next w:val="2"/>
    <w:link w:val="21"/>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styleId="13">
    <w:name w:val="footnote reference"/>
    <w:basedOn w:val="10"/>
    <w:autoRedefine/>
    <w:semiHidden/>
    <w:unhideWhenUsed/>
    <w:qFormat/>
    <w:uiPriority w:val="99"/>
    <w:rPr>
      <w:vertAlign w:val="superscript"/>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不明显强调1"/>
    <w:basedOn w:val="10"/>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18">
    <w:name w:val="脚注文本 Char"/>
    <w:basedOn w:val="10"/>
    <w:link w:val="6"/>
    <w:autoRedefine/>
    <w:semiHidden/>
    <w:qFormat/>
    <w:uiPriority w:val="99"/>
    <w:rPr>
      <w:sz w:val="18"/>
      <w:szCs w:val="18"/>
    </w:rPr>
  </w:style>
  <w:style w:type="character" w:customStyle="1" w:styleId="19">
    <w:name w:val="批注框文本 Char"/>
    <w:basedOn w:val="10"/>
    <w:link w:val="3"/>
    <w:autoRedefine/>
    <w:semiHidden/>
    <w:qFormat/>
    <w:uiPriority w:val="99"/>
    <w:rPr>
      <w:sz w:val="18"/>
      <w:szCs w:val="18"/>
    </w:rPr>
  </w:style>
  <w:style w:type="character" w:customStyle="1" w:styleId="20">
    <w:name w:val="批注文字 Char"/>
    <w:basedOn w:val="10"/>
    <w:link w:val="2"/>
    <w:autoRedefine/>
    <w:semiHidden/>
    <w:qFormat/>
    <w:uiPriority w:val="99"/>
  </w:style>
  <w:style w:type="character" w:customStyle="1" w:styleId="21">
    <w:name w:val="批注主题 Char"/>
    <w:basedOn w:val="20"/>
    <w:link w:val="7"/>
    <w:autoRedefine/>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86B50-8011-414A-BE58-84321FAAD2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526</Words>
  <Characters>2999</Characters>
  <Lines>24</Lines>
  <Paragraphs>7</Paragraphs>
  <TotalTime>1</TotalTime>
  <ScaleCrop>false</ScaleCrop>
  <LinksUpToDate>false</LinksUpToDate>
  <CharactersWithSpaces>3518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2020-06-18T02:43:00Z</dcterms:created>
  <dc:creator>Microsoft 帐户</dc:creator>
  <cp:lastModifiedBy>聪子</cp:lastModifiedBy>
  <cp:lastPrinted>2020-08-25T10:37:00Z</cp:lastPrinted>
  <dcterms:modified xsi:type="dcterms:W3CDTF">2024-04-29T04:14:58Z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y fmtid="{D5CDD505-2E9C-101B-9397-08002B2CF9AE}" pid="5" name="ICV">
    <vt:lpwstr>1439FBE892F64128B940C204FA7EF9FF</vt:lpwstr>
  </property>
</Properties>
</file>