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东方阿尔法产业先锋混合型发起式证券投资基金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东方阿尔法产业先锋混合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011704</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2021年07月21日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1,880,107,099.07份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本基金根据对宏观经济周期的分析研究，结合基本面、市面场、政策面等多种因素的综合考量，研判所处经济周期的位置及未来发展方向，以确定组合中股票、债券、货币市场工具及其他金融工具的比例。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对于可转换债券的投资，本基金将在评估其偿债能力的同时兼顾公司的成长性，以期通过转换条款分享因股价上升带来的高收益。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9、股票期权的投资策略</w:t>
              <w:br/>
            </w:r>
            <w:r>
              <w:rPr>
                <w:rFonts w:ascii="宋体" w:hAnsi="宋体" w:cs="宋体" w:eastAsia="宋体"/>
                <w:b w:val="false"/>
              </w:rPr>
              <w:t>本基金投资股票期权将以套期保值为主要目的，结合投资目标、比例限制、风险收益特征以及法律法规的相关限定和要求，确定参与股票期权交易的投资时机和投资比例。</w:t>
              <w:br/>
            </w:r>
            <w:r>
              <w:rPr>
                <w:rFonts w:ascii="宋体" w:hAnsi="宋体" w:cs="宋体" w:eastAsia="宋体"/>
                <w:b w:val="false"/>
              </w:rPr>
              <w:t>10、资产支持证券投资策略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中证800指数收益率×80%+中证综合债券指数收益率×20%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东方阿尔法产业先锋混合A</w:t>
            </w:r>
          </w:p>
        </w:tc>
        <w:tc>
          <w:tcPr>
            <w:tcW w:type="pct" w:w="1500"/>
          </w:tcPr>
          <w:p>
            <w:pPr>
              <w:spacing w:line="240" w:lineRule="auto"/>
              <w:jc w:val="left"/>
            </w:pPr>
            <w:r>
              <w:rPr>
                <w:rFonts w:ascii="宋体" w:hAnsi="宋体" w:cs="宋体" w:eastAsia="宋体"/>
                <w:b w:val="false"/>
              </w:rPr>
              <w:t>东方阿尔法产业先锋混合C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011704</w:t>
            </w:r>
          </w:p>
        </w:tc>
        <w:tc>
          <w:tcPr>
            <w:tcW w:type="pct" w:w="1500"/>
          </w:tcPr>
          <w:p>
            <w:pPr>
              <w:spacing w:line="240" w:lineRule="auto"/>
              <w:jc w:val="left"/>
            </w:pPr>
            <w:r>
              <w:rPr>
                <w:rFonts w:ascii="宋体" w:hAnsi="宋体" w:cs="宋体" w:eastAsia="宋体"/>
                <w:b w:val="false"/>
              </w:rPr>
              <w:t>011705</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1,437,796,039.55份</w:t>
            </w:r>
          </w:p>
        </w:tc>
        <w:tc>
          <w:tcPr>
            <w:tcW w:type="pct" w:w="1500"/>
          </w:tcPr>
          <w:p>
            <w:pPr>
              <w:spacing w:line="240" w:lineRule="auto"/>
              <w:jc w:val="left"/>
            </w:pPr>
            <w:r>
              <w:rPr>
                <w:rFonts w:ascii="宋体" w:hAnsi="宋体" w:cs="宋体" w:eastAsia="宋体"/>
                <w:b w:val="false"/>
              </w:rPr>
              <w:t>442,311,059.52份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东方阿尔法产业先锋混合A</w:t>
            </w:r>
          </w:p>
        </w:tc>
        <w:tc>
          <w:tcPr>
            <w:tcW w:type="pct" w:w="1500"/>
          </w:tcPr>
          <w:tcPr>
            <w:shd w:fill="d9d9d9"/>
          </w:tcPr>
          <w:p>
            <w:pPr>
              <w:spacing w:line="240" w:lineRule="auto"/>
              <w:jc w:val="center"/>
            </w:pPr>
            <w:r>
              <w:rPr>
                <w:rFonts w:ascii="宋体" w:hAnsi="宋体" w:cs="宋体" w:eastAsia="宋体"/>
                <w:b w:val="false"/>
              </w:rPr>
              <w:t>东方阿尔法产业先锋混合C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33,027,310.82</w:t>
            </w:r>
          </w:p>
        </w:tc>
        <w:tc>
          <w:tcPr>
            <w:tcW w:type="pct" w:w="1500"/>
          </w:tcPr>
          <w:p>
            <w:pPr>
              <w:spacing w:line="240" w:lineRule="auto"/>
              <w:jc w:val="right"/>
            </w:pPr>
            <w:r>
              <w:rPr>
                <w:rFonts w:ascii="宋体" w:hAnsi="宋体" w:cs="宋体" w:eastAsia="宋体"/>
                <w:b w:val="false"/>
              </w:rPr>
              <w:t>9,923,513.90</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38,397,156.77</w:t>
            </w:r>
          </w:p>
        </w:tc>
        <w:tc>
          <w:tcPr>
            <w:tcW w:type="pct" w:w="1500"/>
          </w:tcPr>
          <w:p>
            <w:pPr>
              <w:spacing w:line="240" w:lineRule="auto"/>
              <w:jc w:val="right"/>
            </w:pPr>
            <w:r>
              <w:rPr>
                <w:rFonts w:ascii="宋体" w:hAnsi="宋体" w:cs="宋体" w:eastAsia="宋体"/>
                <w:b w:val="false"/>
              </w:rPr>
              <w:t>11,478,157.66</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0.0255</w:t>
            </w:r>
          </w:p>
        </w:tc>
        <w:tc>
          <w:tcPr>
            <w:tcW w:type="pct" w:w="1500"/>
          </w:tcPr>
          <w:p>
            <w:pPr>
              <w:spacing w:line="240" w:lineRule="auto"/>
              <w:jc w:val="right"/>
            </w:pPr>
            <w:r>
              <w:rPr>
                <w:rFonts w:ascii="宋体" w:hAnsi="宋体" w:cs="宋体" w:eastAsia="宋体"/>
                <w:b w:val="false"/>
              </w:rPr>
              <w:t>0.0243</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681,555,372.05</w:t>
            </w:r>
          </w:p>
        </w:tc>
        <w:tc>
          <w:tcPr>
            <w:tcW w:type="pct" w:w="1500"/>
          </w:tcPr>
          <w:p>
            <w:pPr>
              <w:spacing w:line="240" w:lineRule="auto"/>
              <w:jc w:val="right"/>
            </w:pPr>
            <w:r>
              <w:rPr>
                <w:rFonts w:ascii="宋体" w:hAnsi="宋体" w:cs="宋体" w:eastAsia="宋体"/>
                <w:b w:val="false"/>
              </w:rPr>
              <w:t>205,829,091.86</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0.4740</w:t>
            </w:r>
          </w:p>
        </w:tc>
        <w:tc>
          <w:tcPr>
            <w:tcW w:type="pct" w:w="1500"/>
          </w:tcPr>
          <w:p>
            <w:pPr>
              <w:spacing w:line="240" w:lineRule="auto"/>
              <w:jc w:val="right"/>
            </w:pPr>
            <w:r>
              <w:rPr>
                <w:rFonts w:ascii="宋体" w:hAnsi="宋体" w:cs="宋体" w:eastAsia="宋体"/>
                <w:b w:val="false"/>
              </w:rPr>
              <w:t>0.4653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东方阿尔法产业先锋混合A净值表现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5.57%</w:t>
            </w:r>
          </w:p>
        </w:tc>
        <w:tc>
          <w:tcPr>
            <w:tcW/>
          </w:tcPr>
          <w:p>
            <w:pPr>
              <w:spacing w:line="240" w:lineRule="auto"/>
              <w:jc w:val="right"/>
            </w:pPr>
            <w:r>
              <w:rPr>
                <w:rFonts w:ascii="宋体" w:hAnsi="宋体" w:cs="宋体" w:eastAsia="宋体"/>
                <w:b w:val="false"/>
              </w:rPr>
              <w:t>0.86%</w:t>
            </w:r>
          </w:p>
        </w:tc>
        <w:tc>
          <w:tcPr>
            <w:tcW/>
          </w:tcPr>
          <w:p>
            <w:pPr>
              <w:spacing w:line="240" w:lineRule="auto"/>
              <w:jc w:val="right"/>
            </w:pPr>
            <w:r>
              <w:rPr>
                <w:rFonts w:ascii="宋体" w:hAnsi="宋体" w:cs="宋体" w:eastAsia="宋体"/>
                <w:b w:val="false"/>
              </w:rPr>
              <w:t>-0.34%</w:t>
            </w:r>
          </w:p>
        </w:tc>
        <w:tc>
          <w:tcPr>
            <w:tcW/>
          </w:tcPr>
          <w:p>
            <w:pPr>
              <w:spacing w:line="240" w:lineRule="auto"/>
              <w:jc w:val="right"/>
            </w:pPr>
            <w:r>
              <w:rPr>
                <w:rFonts w:ascii="宋体" w:hAnsi="宋体" w:cs="宋体" w:eastAsia="宋体"/>
                <w:b w:val="false"/>
              </w:rPr>
              <w:t>0.78%</w:t>
            </w:r>
          </w:p>
        </w:tc>
        <w:tc>
          <w:tcPr>
            <w:tcW/>
          </w:tcPr>
          <w:p>
            <w:pPr>
              <w:spacing w:line="240" w:lineRule="auto"/>
              <w:jc w:val="right"/>
            </w:pPr>
            <w:r>
              <w:rPr>
                <w:rFonts w:ascii="宋体" w:hAnsi="宋体" w:cs="宋体" w:eastAsia="宋体"/>
                <w:b w:val="false"/>
              </w:rPr>
              <w:t>5.91%</w:t>
            </w:r>
          </w:p>
        </w:tc>
        <w:tc>
          <w:tcPr>
            <w:tcW/>
          </w:tcPr>
          <w:p>
            <w:pPr>
              <w:spacing w:line="240" w:lineRule="auto"/>
              <w:jc w:val="right"/>
            </w:pPr>
            <w:r>
              <w:rPr>
                <w:rFonts w:ascii="宋体" w:hAnsi="宋体" w:cs="宋体" w:eastAsia="宋体"/>
                <w:b w:val="false"/>
              </w:rPr>
              <w:t>0.08%</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-3.25%</w:t>
            </w:r>
          </w:p>
        </w:tc>
        <w:tc>
          <w:tcPr>
            <w:tcW/>
          </w:tcPr>
          <w:p>
            <w:pPr>
              <w:spacing w:line="240" w:lineRule="auto"/>
              <w:jc w:val="right"/>
            </w:pPr>
            <w:r>
              <w:rPr>
                <w:rFonts w:ascii="宋体" w:hAnsi="宋体" w:cs="宋体" w:eastAsia="宋体"/>
                <w:b w:val="false"/>
              </w:rPr>
              <w:t>1.35%</w:t>
            </w:r>
          </w:p>
        </w:tc>
        <w:tc>
          <w:tcPr>
            <w:tcW/>
          </w:tcPr>
          <w:p>
            <w:pPr>
              <w:spacing w:line="240" w:lineRule="auto"/>
              <w:jc w:val="right"/>
            </w:pPr>
            <w:r>
              <w:rPr>
                <w:rFonts w:ascii="宋体" w:hAnsi="宋体" w:cs="宋体" w:eastAsia="宋体"/>
                <w:b w:val="false"/>
              </w:rPr>
              <w:t>-0.95%</w:t>
            </w:r>
          </w:p>
        </w:tc>
        <w:tc>
          <w:tcPr>
            <w:tcW/>
          </w:tcPr>
          <w:p>
            <w:pPr>
              <w:spacing w:line="240" w:lineRule="auto"/>
              <w:jc w:val="right"/>
            </w:pPr>
            <w:r>
              <w:rPr>
                <w:rFonts w:ascii="宋体" w:hAnsi="宋体" w:cs="宋体" w:eastAsia="宋体"/>
                <w:b w:val="false"/>
              </w:rPr>
              <w:t>1.16%</w:t>
            </w:r>
          </w:p>
        </w:tc>
        <w:tc>
          <w:tcPr>
            <w:tcW/>
          </w:tcPr>
          <w:p>
            <w:pPr>
              <w:spacing w:line="240" w:lineRule="auto"/>
              <w:jc w:val="right"/>
            </w:pPr>
            <w:r>
              <w:rPr>
                <w:rFonts w:ascii="宋体" w:hAnsi="宋体" w:cs="宋体" w:eastAsia="宋体"/>
                <w:b w:val="false"/>
              </w:rPr>
              <w:t>-2.30%</w:t>
            </w:r>
          </w:p>
        </w:tc>
        <w:tc>
          <w:tcPr>
            <w:tcW/>
          </w:tcPr>
          <w:p>
            <w:pPr>
              <w:spacing w:line="240" w:lineRule="auto"/>
              <w:jc w:val="right"/>
            </w:pPr>
            <w:r>
              <w:rPr>
                <w:rFonts w:ascii="宋体" w:hAnsi="宋体" w:cs="宋体" w:eastAsia="宋体"/>
                <w:b w:val="false"/>
              </w:rPr>
              <w:t>0.19%</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4.96%</w:t>
            </w:r>
          </w:p>
        </w:tc>
        <w:tc>
          <w:tcPr>
            <w:tcW/>
          </w:tcPr>
          <w:p>
            <w:pPr>
              <w:spacing w:line="240" w:lineRule="auto"/>
              <w:jc w:val="right"/>
            </w:pPr>
            <w:r>
              <w:rPr>
                <w:rFonts w:ascii="宋体" w:hAnsi="宋体" w:cs="宋体" w:eastAsia="宋体"/>
                <w:b w:val="false"/>
              </w:rPr>
              <w:t>1.52%</w:t>
            </w:r>
          </w:p>
        </w:tc>
        <w:tc>
          <w:tcPr>
            <w:tcW/>
          </w:tcPr>
          <w:p>
            <w:pPr>
              <w:spacing w:line="240" w:lineRule="auto"/>
              <w:jc w:val="right"/>
            </w:pPr>
            <w:r>
              <w:rPr>
                <w:rFonts w:ascii="宋体" w:hAnsi="宋体" w:cs="宋体" w:eastAsia="宋体"/>
                <w:b w:val="false"/>
              </w:rPr>
              <w:t>9.50%</w:t>
            </w:r>
          </w:p>
        </w:tc>
        <w:tc>
          <w:tcPr>
            <w:tcW/>
          </w:tcPr>
          <w:p>
            <w:pPr>
              <w:spacing w:line="240" w:lineRule="auto"/>
              <w:jc w:val="right"/>
            </w:pPr>
            <w:r>
              <w:rPr>
                <w:rFonts w:ascii="宋体" w:hAnsi="宋体" w:cs="宋体" w:eastAsia="宋体"/>
                <w:b w:val="false"/>
              </w:rPr>
              <w:t>1.11%</w:t>
            </w:r>
          </w:p>
        </w:tc>
        <w:tc>
          <w:tcPr>
            <w:tcW/>
          </w:tcPr>
          <w:p>
            <w:pPr>
              <w:spacing w:line="240" w:lineRule="auto"/>
              <w:jc w:val="right"/>
            </w:pPr>
            <w:r>
              <w:rPr>
                <w:rFonts w:ascii="宋体" w:hAnsi="宋体" w:cs="宋体" w:eastAsia="宋体"/>
                <w:b w:val="false"/>
              </w:rPr>
              <w:t>-4.54%</w:t>
            </w:r>
          </w:p>
        </w:tc>
        <w:tc>
          <w:tcPr>
            <w:tcW/>
          </w:tcPr>
          <w:p>
            <w:pPr>
              <w:spacing w:line="240" w:lineRule="auto"/>
              <w:jc w:val="right"/>
            </w:pPr>
            <w:r>
              <w:rPr>
                <w:rFonts w:ascii="宋体" w:hAnsi="宋体" w:cs="宋体" w:eastAsia="宋体"/>
                <w:b w:val="false"/>
              </w:rPr>
              <w:t>0.41%</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-33.43%</w:t>
            </w:r>
          </w:p>
        </w:tc>
        <w:tc>
          <w:tcPr>
            <w:tcW/>
          </w:tcPr>
          <w:p>
            <w:pPr>
              <w:spacing w:line="240" w:lineRule="auto"/>
              <w:jc w:val="right"/>
            </w:pPr>
            <w:r>
              <w:rPr>
                <w:rFonts w:ascii="宋体" w:hAnsi="宋体" w:cs="宋体" w:eastAsia="宋体"/>
                <w:b w:val="false"/>
              </w:rPr>
              <w:t>1.89%</w:t>
            </w:r>
          </w:p>
        </w:tc>
        <w:tc>
          <w:tcPr>
            <w:tcW/>
          </w:tcPr>
          <w:p>
            <w:pPr>
              <w:spacing w:line="240" w:lineRule="auto"/>
              <w:jc w:val="right"/>
            </w:pPr>
            <w:r>
              <w:rPr>
                <w:rFonts w:ascii="宋体" w:hAnsi="宋体" w:cs="宋体" w:eastAsia="宋体"/>
                <w:b w:val="false"/>
              </w:rPr>
              <w:t>-2.85%</w:t>
            </w:r>
          </w:p>
        </w:tc>
        <w:tc>
          <w:tcPr>
            <w:tcW/>
          </w:tcPr>
          <w:p>
            <w:pPr>
              <w:spacing w:line="240" w:lineRule="auto"/>
              <w:jc w:val="right"/>
            </w:pPr>
            <w:r>
              <w:rPr>
                <w:rFonts w:ascii="宋体" w:hAnsi="宋体" w:cs="宋体" w:eastAsia="宋体"/>
                <w:b w:val="false"/>
              </w:rPr>
              <w:t>0.92%</w:t>
            </w:r>
          </w:p>
        </w:tc>
        <w:tc>
          <w:tcPr>
            <w:tcW/>
          </w:tcPr>
          <w:p>
            <w:pPr>
              <w:spacing w:line="240" w:lineRule="auto"/>
              <w:jc w:val="right"/>
            </w:pPr>
            <w:r>
              <w:rPr>
                <w:rFonts w:ascii="宋体" w:hAnsi="宋体" w:cs="宋体" w:eastAsia="宋体"/>
                <w:b w:val="false"/>
              </w:rPr>
              <w:t>-30.58%</w:t>
            </w:r>
          </w:p>
        </w:tc>
        <w:tc>
          <w:tcPr>
            <w:tcW/>
          </w:tcPr>
          <w:p>
            <w:pPr>
              <w:spacing w:line="240" w:lineRule="auto"/>
              <w:jc w:val="right"/>
            </w:pPr>
            <w:r>
              <w:rPr>
                <w:rFonts w:ascii="宋体" w:hAnsi="宋体" w:cs="宋体" w:eastAsia="宋体"/>
                <w:b w:val="false"/>
              </w:rPr>
              <w:t>0.97%</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-52.60%</w:t>
            </w:r>
          </w:p>
        </w:tc>
        <w:tc>
          <w:tcPr>
            <w:tcW/>
          </w:tcPr>
          <w:p>
            <w:pPr>
              <w:spacing w:line="240" w:lineRule="auto"/>
              <w:jc w:val="right"/>
            </w:pPr>
            <w:r>
              <w:rPr>
                <w:rFonts w:ascii="宋体" w:hAnsi="宋体" w:cs="宋体" w:eastAsia="宋体"/>
                <w:b w:val="false"/>
              </w:rPr>
              <w:t>1.91%</w:t>
            </w:r>
          </w:p>
        </w:tc>
        <w:tc>
          <w:tcPr>
            <w:tcW/>
          </w:tcPr>
          <w:p>
            <w:pPr>
              <w:spacing w:line="240" w:lineRule="auto"/>
              <w:jc w:val="right"/>
            </w:pPr>
            <w:r>
              <w:rPr>
                <w:rFonts w:ascii="宋体" w:hAnsi="宋体" w:cs="宋体" w:eastAsia="宋体"/>
                <w:b w:val="false"/>
              </w:rPr>
              <w:t>-14.31%</w:t>
            </w:r>
          </w:p>
        </w:tc>
        <w:tc>
          <w:tcPr>
            <w:tcW/>
          </w:tcPr>
          <w:p>
            <w:pPr>
              <w:spacing w:line="240" w:lineRule="auto"/>
              <w:jc w:val="right"/>
            </w:pPr>
            <w:r>
              <w:rPr>
                <w:rFonts w:ascii="宋体" w:hAnsi="宋体" w:cs="宋体" w:eastAsia="宋体"/>
                <w:b w:val="false"/>
              </w:rPr>
              <w:t>0.92%</w:t>
            </w:r>
          </w:p>
        </w:tc>
        <w:tc>
          <w:tcPr>
            <w:tcW/>
          </w:tcPr>
          <w:p>
            <w:pPr>
              <w:spacing w:line="240" w:lineRule="auto"/>
              <w:jc w:val="right"/>
            </w:pPr>
            <w:r>
              <w:rPr>
                <w:rFonts w:ascii="宋体" w:hAnsi="宋体" w:cs="宋体" w:eastAsia="宋体"/>
                <w:b w:val="false"/>
              </w:rPr>
              <w:t>-38.29%</w:t>
            </w:r>
          </w:p>
        </w:tc>
        <w:tc>
          <w:tcPr>
            <w:tcW/>
          </w:tcPr>
          <w:p>
            <w:pPr>
              <w:spacing w:line="240" w:lineRule="auto"/>
              <w:jc w:val="right"/>
            </w:pPr>
            <w:r>
              <w:rPr>
                <w:rFonts w:ascii="宋体" w:hAnsi="宋体" w:cs="宋体" w:eastAsia="宋体"/>
                <w:b w:val="false"/>
              </w:rPr>
              <w:t>0.99%</w:t>
            </w:r>
          </w:p>
        </w:tc>
      </w:tr>
    </w:tbl>
    <w:p>
      <w:pPr>
        <w:jc w:val="left"/>
      </w:pPr>
      <w:r>
        <w:rPr>
          <w:rFonts w:ascii="宋体" w:hAnsi="宋体" w:cs="宋体" w:eastAsia="宋体"/>
          <w:b w:val="true"/>
        </w:rPr>
        <w:t>东方阿尔法产业先锋混合C净值表现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5.44%</w:t>
            </w:r>
          </w:p>
        </w:tc>
        <w:tc>
          <w:tcPr>
            <w:tcW/>
          </w:tcPr>
          <w:p>
            <w:pPr>
              <w:spacing w:line="240" w:lineRule="auto"/>
              <w:jc w:val="right"/>
            </w:pPr>
            <w:r>
              <w:rPr>
                <w:rFonts w:ascii="宋体" w:hAnsi="宋体" w:cs="宋体" w:eastAsia="宋体"/>
                <w:b w:val="false"/>
              </w:rPr>
              <w:t>0.86%</w:t>
            </w:r>
          </w:p>
        </w:tc>
        <w:tc>
          <w:tcPr>
            <w:tcW/>
          </w:tcPr>
          <w:p>
            <w:pPr>
              <w:spacing w:line="240" w:lineRule="auto"/>
              <w:jc w:val="right"/>
            </w:pPr>
            <w:r>
              <w:rPr>
                <w:rFonts w:ascii="宋体" w:hAnsi="宋体" w:cs="宋体" w:eastAsia="宋体"/>
                <w:b w:val="false"/>
              </w:rPr>
              <w:t>-0.34%</w:t>
            </w:r>
          </w:p>
        </w:tc>
        <w:tc>
          <w:tcPr>
            <w:tcW/>
          </w:tcPr>
          <w:p>
            <w:pPr>
              <w:spacing w:line="240" w:lineRule="auto"/>
              <w:jc w:val="right"/>
            </w:pPr>
            <w:r>
              <w:rPr>
                <w:rFonts w:ascii="宋体" w:hAnsi="宋体" w:cs="宋体" w:eastAsia="宋体"/>
                <w:b w:val="false"/>
              </w:rPr>
              <w:t>0.78%</w:t>
            </w:r>
          </w:p>
        </w:tc>
        <w:tc>
          <w:tcPr>
            <w:tcW/>
          </w:tcPr>
          <w:p>
            <w:pPr>
              <w:spacing w:line="240" w:lineRule="auto"/>
              <w:jc w:val="right"/>
            </w:pPr>
            <w:r>
              <w:rPr>
                <w:rFonts w:ascii="宋体" w:hAnsi="宋体" w:cs="宋体" w:eastAsia="宋体"/>
                <w:b w:val="false"/>
              </w:rPr>
              <w:t>5.78%</w:t>
            </w:r>
          </w:p>
        </w:tc>
        <w:tc>
          <w:tcPr>
            <w:tcW/>
          </w:tcPr>
          <w:p>
            <w:pPr>
              <w:spacing w:line="240" w:lineRule="auto"/>
              <w:jc w:val="right"/>
            </w:pPr>
            <w:r>
              <w:rPr>
                <w:rFonts w:ascii="宋体" w:hAnsi="宋体" w:cs="宋体" w:eastAsia="宋体"/>
                <w:b w:val="false"/>
              </w:rPr>
              <w:t>0.08%</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-3.48%</w:t>
            </w:r>
          </w:p>
        </w:tc>
        <w:tc>
          <w:tcPr>
            <w:tcW/>
          </w:tcPr>
          <w:p>
            <w:pPr>
              <w:spacing w:line="240" w:lineRule="auto"/>
              <w:jc w:val="right"/>
            </w:pPr>
            <w:r>
              <w:rPr>
                <w:rFonts w:ascii="宋体" w:hAnsi="宋体" w:cs="宋体" w:eastAsia="宋体"/>
                <w:b w:val="false"/>
              </w:rPr>
              <w:t>1.35%</w:t>
            </w:r>
          </w:p>
        </w:tc>
        <w:tc>
          <w:tcPr>
            <w:tcW/>
          </w:tcPr>
          <w:p>
            <w:pPr>
              <w:spacing w:line="240" w:lineRule="auto"/>
              <w:jc w:val="right"/>
            </w:pPr>
            <w:r>
              <w:rPr>
                <w:rFonts w:ascii="宋体" w:hAnsi="宋体" w:cs="宋体" w:eastAsia="宋体"/>
                <w:b w:val="false"/>
              </w:rPr>
              <w:t>-0.95%</w:t>
            </w:r>
          </w:p>
        </w:tc>
        <w:tc>
          <w:tcPr>
            <w:tcW/>
          </w:tcPr>
          <w:p>
            <w:pPr>
              <w:spacing w:line="240" w:lineRule="auto"/>
              <w:jc w:val="right"/>
            </w:pPr>
            <w:r>
              <w:rPr>
                <w:rFonts w:ascii="宋体" w:hAnsi="宋体" w:cs="宋体" w:eastAsia="宋体"/>
                <w:b w:val="false"/>
              </w:rPr>
              <w:t>1.16%</w:t>
            </w:r>
          </w:p>
        </w:tc>
        <w:tc>
          <w:tcPr>
            <w:tcW/>
          </w:tcPr>
          <w:p>
            <w:pPr>
              <w:spacing w:line="240" w:lineRule="auto"/>
              <w:jc w:val="right"/>
            </w:pPr>
            <w:r>
              <w:rPr>
                <w:rFonts w:ascii="宋体" w:hAnsi="宋体" w:cs="宋体" w:eastAsia="宋体"/>
                <w:b w:val="false"/>
              </w:rPr>
              <w:t>-2.53%</w:t>
            </w:r>
          </w:p>
        </w:tc>
        <w:tc>
          <w:tcPr>
            <w:tcW/>
          </w:tcPr>
          <w:p>
            <w:pPr>
              <w:spacing w:line="240" w:lineRule="auto"/>
              <w:jc w:val="right"/>
            </w:pPr>
            <w:r>
              <w:rPr>
                <w:rFonts w:ascii="宋体" w:hAnsi="宋体" w:cs="宋体" w:eastAsia="宋体"/>
                <w:b w:val="false"/>
              </w:rPr>
              <w:t>0.19%</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4.42%</w:t>
            </w:r>
          </w:p>
        </w:tc>
        <w:tc>
          <w:tcPr>
            <w:tcW/>
          </w:tcPr>
          <w:p>
            <w:pPr>
              <w:spacing w:line="240" w:lineRule="auto"/>
              <w:jc w:val="right"/>
            </w:pPr>
            <w:r>
              <w:rPr>
                <w:rFonts w:ascii="宋体" w:hAnsi="宋体" w:cs="宋体" w:eastAsia="宋体"/>
                <w:b w:val="false"/>
              </w:rPr>
              <w:t>1.52%</w:t>
            </w:r>
          </w:p>
        </w:tc>
        <w:tc>
          <w:tcPr>
            <w:tcW/>
          </w:tcPr>
          <w:p>
            <w:pPr>
              <w:spacing w:line="240" w:lineRule="auto"/>
              <w:jc w:val="right"/>
            </w:pPr>
            <w:r>
              <w:rPr>
                <w:rFonts w:ascii="宋体" w:hAnsi="宋体" w:cs="宋体" w:eastAsia="宋体"/>
                <w:b w:val="false"/>
              </w:rPr>
              <w:t>9.50%</w:t>
            </w:r>
          </w:p>
        </w:tc>
        <w:tc>
          <w:tcPr>
            <w:tcW/>
          </w:tcPr>
          <w:p>
            <w:pPr>
              <w:spacing w:line="240" w:lineRule="auto"/>
              <w:jc w:val="right"/>
            </w:pPr>
            <w:r>
              <w:rPr>
                <w:rFonts w:ascii="宋体" w:hAnsi="宋体" w:cs="宋体" w:eastAsia="宋体"/>
                <w:b w:val="false"/>
              </w:rPr>
              <w:t>1.11%</w:t>
            </w:r>
          </w:p>
        </w:tc>
        <w:tc>
          <w:tcPr>
            <w:tcW/>
          </w:tcPr>
          <w:p>
            <w:pPr>
              <w:spacing w:line="240" w:lineRule="auto"/>
              <w:jc w:val="right"/>
            </w:pPr>
            <w:r>
              <w:rPr>
                <w:rFonts w:ascii="宋体" w:hAnsi="宋体" w:cs="宋体" w:eastAsia="宋体"/>
                <w:b w:val="false"/>
              </w:rPr>
              <w:t>-5.08%</w:t>
            </w:r>
          </w:p>
        </w:tc>
        <w:tc>
          <w:tcPr>
            <w:tcW/>
          </w:tcPr>
          <w:p>
            <w:pPr>
              <w:spacing w:line="240" w:lineRule="auto"/>
              <w:jc w:val="right"/>
            </w:pPr>
            <w:r>
              <w:rPr>
                <w:rFonts w:ascii="宋体" w:hAnsi="宋体" w:cs="宋体" w:eastAsia="宋体"/>
                <w:b w:val="false"/>
              </w:rPr>
              <w:t>0.41%</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-34.42%</w:t>
            </w:r>
          </w:p>
        </w:tc>
        <w:tc>
          <w:tcPr>
            <w:tcW/>
          </w:tcPr>
          <w:p>
            <w:pPr>
              <w:spacing w:line="240" w:lineRule="auto"/>
              <w:jc w:val="right"/>
            </w:pPr>
            <w:r>
              <w:rPr>
                <w:rFonts w:ascii="宋体" w:hAnsi="宋体" w:cs="宋体" w:eastAsia="宋体"/>
                <w:b w:val="false"/>
              </w:rPr>
              <w:t>1.89%</w:t>
            </w:r>
          </w:p>
        </w:tc>
        <w:tc>
          <w:tcPr>
            <w:tcW/>
          </w:tcPr>
          <w:p>
            <w:pPr>
              <w:spacing w:line="240" w:lineRule="auto"/>
              <w:jc w:val="right"/>
            </w:pPr>
            <w:r>
              <w:rPr>
                <w:rFonts w:ascii="宋体" w:hAnsi="宋体" w:cs="宋体" w:eastAsia="宋体"/>
                <w:b w:val="false"/>
              </w:rPr>
              <w:t>-2.85%</w:t>
            </w:r>
          </w:p>
        </w:tc>
        <w:tc>
          <w:tcPr>
            <w:tcW/>
          </w:tcPr>
          <w:p>
            <w:pPr>
              <w:spacing w:line="240" w:lineRule="auto"/>
              <w:jc w:val="right"/>
            </w:pPr>
            <w:r>
              <w:rPr>
                <w:rFonts w:ascii="宋体" w:hAnsi="宋体" w:cs="宋体" w:eastAsia="宋体"/>
                <w:b w:val="false"/>
              </w:rPr>
              <w:t>0.92%</w:t>
            </w:r>
          </w:p>
        </w:tc>
        <w:tc>
          <w:tcPr>
            <w:tcW/>
          </w:tcPr>
          <w:p>
            <w:pPr>
              <w:spacing w:line="240" w:lineRule="auto"/>
              <w:jc w:val="right"/>
            </w:pPr>
            <w:r>
              <w:rPr>
                <w:rFonts w:ascii="宋体" w:hAnsi="宋体" w:cs="宋体" w:eastAsia="宋体"/>
                <w:b w:val="false"/>
              </w:rPr>
              <w:t>-31.57%</w:t>
            </w:r>
          </w:p>
        </w:tc>
        <w:tc>
          <w:tcPr>
            <w:tcW/>
          </w:tcPr>
          <w:p>
            <w:pPr>
              <w:spacing w:line="240" w:lineRule="auto"/>
              <w:jc w:val="right"/>
            </w:pPr>
            <w:r>
              <w:rPr>
                <w:rFonts w:ascii="宋体" w:hAnsi="宋体" w:cs="宋体" w:eastAsia="宋体"/>
                <w:b w:val="false"/>
              </w:rPr>
              <w:t>0.97%</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-53.47%</w:t>
            </w:r>
          </w:p>
        </w:tc>
        <w:tc>
          <w:tcPr>
            <w:tcW/>
          </w:tcPr>
          <w:p>
            <w:pPr>
              <w:spacing w:line="240" w:lineRule="auto"/>
              <w:jc w:val="right"/>
            </w:pPr>
            <w:r>
              <w:rPr>
                <w:rFonts w:ascii="宋体" w:hAnsi="宋体" w:cs="宋体" w:eastAsia="宋体"/>
                <w:b w:val="false"/>
              </w:rPr>
              <w:t>1.91%</w:t>
            </w:r>
          </w:p>
        </w:tc>
        <w:tc>
          <w:tcPr>
            <w:tcW/>
          </w:tcPr>
          <w:p>
            <w:pPr>
              <w:spacing w:line="240" w:lineRule="auto"/>
              <w:jc w:val="right"/>
            </w:pPr>
            <w:r>
              <w:rPr>
                <w:rFonts w:ascii="宋体" w:hAnsi="宋体" w:cs="宋体" w:eastAsia="宋体"/>
                <w:b w:val="false"/>
              </w:rPr>
              <w:t>-14.31%</w:t>
            </w:r>
          </w:p>
        </w:tc>
        <w:tc>
          <w:tcPr>
            <w:tcW/>
          </w:tcPr>
          <w:p>
            <w:pPr>
              <w:spacing w:line="240" w:lineRule="auto"/>
              <w:jc w:val="right"/>
            </w:pPr>
            <w:r>
              <w:rPr>
                <w:rFonts w:ascii="宋体" w:hAnsi="宋体" w:cs="宋体" w:eastAsia="宋体"/>
                <w:b w:val="false"/>
              </w:rPr>
              <w:t>0.92%</w:t>
            </w:r>
          </w:p>
        </w:tc>
        <w:tc>
          <w:tcPr>
            <w:tcW/>
          </w:tcPr>
          <w:p>
            <w:pPr>
              <w:spacing w:line="240" w:lineRule="auto"/>
              <w:jc w:val="right"/>
            </w:pPr>
            <w:r>
              <w:rPr>
                <w:rFonts w:ascii="宋体" w:hAnsi="宋体" w:cs="宋体" w:eastAsia="宋体"/>
                <w:b w:val="false"/>
              </w:rPr>
              <w:t>-39.16%</w:t>
            </w:r>
          </w:p>
        </w:tc>
        <w:tc>
          <w:tcPr>
            <w:tcW/>
          </w:tcPr>
          <w:p>
            <w:pPr>
              <w:spacing w:line="240" w:lineRule="auto"/>
              <w:jc w:val="right"/>
            </w:pPr>
            <w:r>
              <w:rPr>
                <w:rFonts w:ascii="宋体" w:hAnsi="宋体" w:cs="宋体" w:eastAsia="宋体"/>
                <w:b w:val="false"/>
              </w:rPr>
              <w:t>0.99%</w:t>
            </w:r>
          </w:p>
        </w:tc>
      </w:tr>
    </w:tbl>
    <w:p>
      <w:r>
        <w:rPr>
          <w:rFonts w:ascii="宋体" w:hAnsi="宋体" w:cs="宋体" w:eastAsia="宋体"/>
          <w:b w:val="false"/>
        </w:rPr>
        <w:t>注：1、本基金的业绩比较基准为：中证800指数收益率×80%+中证综合债券指数收益率×20%。</w:t>
        <w:cr/>
      </w:r>
      <w:r>
        <w:rPr>
          <w:rFonts w:ascii="宋体" w:hAnsi="宋体" w:cs="宋体" w:eastAsia="宋体"/>
          <w:b w:val="false"/>
        </w:rPr>
        <w:t>2、本基金自2021年7月21日成立至今尚未满五年，无过去五年的净值表现。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2024-01-30</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近期美国政府在白宫签署两项关于所谓“对等关税”的行政令，幅度超出市场预期，市场衰退交易持续发酵。美国滥施关税将对我国出口造成较大冲击，而基于去年中央经济工作会议措辞，党中央已经对此有充分的估计，将根据外部影响程度动态调整政策，我们预计今年将明显加强超常规逆周期调节，因此我们进一步增加了内需顺周期的仓位。同时依然按照原有的框架，结合行业、公司估值进行均衡配置，重点围绕现金流、围绕竞争格局、围绕商业模式进行配置。</w:t>
        <w:cr/>
      </w:r>
      <w:r>
        <w:rPr>
          <w:rFonts w:ascii="宋体" w:hAnsi="宋体" w:cs="宋体" w:eastAsia="宋体"/>
          <w:b w:val="false"/>
        </w:rPr>
        <w:t xml:space="preserve">    （1）上游资源类公司。目前主要关注供给端约束、以基本金属为代表的资源类公司，以电解铝行业为例，电解铝行业作为能源消耗和碳排放的大户，目前看竞争格局受到了政策强约束，中国政府为达到碳达峰、碳中和的远期目标，给国内电解铝产能设定了4500万吨的产能红线，严格限制了新产能的增加，这导致电解铝行业的竞争格局明显改善，从而导致电解铝行业的经营现金流良好。而电解铝这种低产能弹性的行业特点，只要需求端边际上有些扰动，价格就能有巨大的向上弹性。目前成本端氧化铝供给将持续放出，价格持续下降，产业链的利润将持续往电解铝环节转移，结合电解铝供需关系依然紧张，对后市铝价持续乐观，电解铝行业公司的远期分红能力仍将进一步提升；</w:t>
        <w:cr/>
      </w:r>
      <w:r>
        <w:rPr>
          <w:rFonts w:ascii="宋体" w:hAnsi="宋体" w:cs="宋体" w:eastAsia="宋体"/>
          <w:b w:val="false"/>
        </w:rPr>
        <w:t xml:space="preserve">    （2）内需顺周期相关的制造业细分龙头。广义制造业中，如建材、化工等，已产生众多竞争格局相当稳定且现金流优秀的细分龙头，在对内需悲观的市场环境下估值已压至较低的位置，这些行业的远期资本开支有望大幅度下降，进而自由现金流将逐渐提升，潜在分红能力将持续增强；</w:t>
        <w:cr/>
      </w:r>
      <w:r>
        <w:rPr>
          <w:rFonts w:ascii="宋体" w:hAnsi="宋体" w:cs="宋体" w:eastAsia="宋体"/>
          <w:b w:val="false"/>
        </w:rPr>
        <w:t xml:space="preserve">    （3）内需相关消费龙头，包括家电、整车、化妆品、消费医疗器械等。在前期市场持续担心内需的背景下，这些公司的估值已压至较低位置，在未来超常规逆周期调节下，业绩的悲观预期有望得到明显的修复。</w:t>
        <w:cr/>
      </w:r>
      <w:r>
        <w:rPr>
          <w:rFonts w:ascii="宋体" w:hAnsi="宋体" w:cs="宋体" w:eastAsia="宋体"/>
          <w:b w:val="false"/>
        </w:rPr>
        <w:t xml:space="preserve">    目前许多行业的中小企业依然有较大的经营压力甚至面临出清，龙头企业压到较低的估值，在未来超常规逆周期调节下，龙头企业将抢占许多中小企业出清的份额，呈现出较大的业绩弹性，后续组合上继续偏好于龙头企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产业先锋混合A基金份额净值为0.4740元，本报告期内，该类基金份额净值增长率为5.57%，同期业绩比较基准收益率为-0.34%；截至报告期末东方阿尔法产业先锋混合C基金份额净值为0.4653元，本报告期内，该类基金份额净值增长率为5.44%，同期业绩比较基准收益率为-0.34%。</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769,226,728.09</w:t>
            </w:r>
          </w:p>
        </w:tc>
        <w:tc>
          <w:tcPr>
            <w:tcW/>
            <w:vAlign w:val="center"/>
          </w:tcPr>
          <w:p>
            <w:pPr>
              <w:spacing w:line="240" w:lineRule="auto"/>
              <w:jc w:val="right"/>
            </w:pPr>
            <w:r>
              <w:rPr>
                <w:rFonts w:ascii="宋体" w:hAnsi="宋体" w:cs="宋体" w:eastAsia="宋体"/>
                <w:b w:val="false"/>
              </w:rPr>
              <w:t>86.42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769,226,728.09</w:t>
            </w:r>
          </w:p>
        </w:tc>
        <w:tc>
          <w:tcPr>
            <w:tcW/>
            <w:vAlign w:val="center"/>
          </w:tcPr>
          <w:p>
            <w:pPr>
              <w:spacing w:line="240" w:lineRule="auto"/>
              <w:jc w:val="right"/>
            </w:pPr>
            <w:r>
              <w:rPr>
                <w:rFonts w:ascii="宋体" w:hAnsi="宋体" w:cs="宋体" w:eastAsia="宋体"/>
                <w:b w:val="false"/>
              </w:rPr>
              <w:t>86.42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47,618,703.81</w:t>
            </w:r>
          </w:p>
        </w:tc>
        <w:tc>
          <w:tcPr>
            <w:tcW/>
            <w:vAlign w:val="center"/>
          </w:tcPr>
          <w:p>
            <w:pPr>
              <w:spacing w:line="240" w:lineRule="auto"/>
              <w:jc w:val="right"/>
            </w:pPr>
            <w:r>
              <w:rPr>
                <w:rFonts w:ascii="宋体" w:hAnsi="宋体" w:cs="宋体" w:eastAsia="宋体"/>
                <w:b w:val="false"/>
              </w:rPr>
              <w:t>5.35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47,618,703.81</w:t>
            </w:r>
          </w:p>
        </w:tc>
        <w:tc>
          <w:tcPr>
            <w:tcW/>
            <w:vAlign w:val="center"/>
          </w:tcPr>
          <w:p>
            <w:pPr>
              <w:spacing w:line="240" w:lineRule="auto"/>
              <w:jc w:val="right"/>
            </w:pPr>
            <w:r>
              <w:rPr>
                <w:rFonts w:ascii="宋体" w:hAnsi="宋体" w:cs="宋体" w:eastAsia="宋体"/>
                <w:b w:val="false"/>
              </w:rPr>
              <w:t>5.35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73,124,142.75</w:t>
            </w:r>
          </w:p>
        </w:tc>
        <w:tc>
          <w:tcPr>
            <w:tcW/>
            <w:vAlign w:val="center"/>
          </w:tcPr>
          <w:p>
            <w:pPr>
              <w:spacing w:line="240" w:lineRule="auto"/>
              <w:jc w:val="right"/>
            </w:pPr>
            <w:r>
              <w:rPr>
                <w:rFonts w:ascii="宋体" w:hAnsi="宋体" w:cs="宋体" w:eastAsia="宋体"/>
                <w:b w:val="false"/>
              </w:rPr>
              <w:t>8.22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129,497.81</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890,099,072.46</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769,171,267.51</w:t>
            </w:r>
          </w:p>
        </w:tc>
        <w:tc>
          <w:tcPr>
            <w:tcW/>
          </w:tcPr>
          <w:p>
            <w:pPr>
              <w:spacing w:line="240" w:lineRule="auto"/>
              <w:jc w:val="right"/>
            </w:pPr>
            <w:r>
              <w:rPr>
                <w:rFonts w:ascii="宋体" w:hAnsi="宋体" w:cs="宋体" w:eastAsia="宋体"/>
                <w:b w:val="false"/>
              </w:rPr>
              <w:t>86.68</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30,552.72</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24,907.86</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769,226,728.09</w:t>
            </w:r>
          </w:p>
        </w:tc>
        <w:tc>
          <w:tcPr>
            <w:tcW/>
          </w:tcPr>
          <w:p>
            <w:pPr>
              <w:spacing w:line="240" w:lineRule="auto"/>
              <w:jc w:val="right"/>
            </w:pPr>
            <w:r>
              <w:rPr>
                <w:rFonts w:ascii="宋体" w:hAnsi="宋体" w:cs="宋体" w:eastAsia="宋体"/>
                <w:b w:val="false"/>
              </w:rPr>
              <w:t>86.68</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002594</w:t>
            </w:r>
          </w:p>
        </w:tc>
        <w:tc>
          <w:tcPr>
            <w:tcW/>
          </w:tcPr>
          <w:p>
            <w:pPr>
              <w:spacing w:line="240" w:lineRule="auto"/>
              <w:jc w:val="left"/>
            </w:pPr>
            <w:r>
              <w:rPr>
                <w:rFonts w:ascii="宋体" w:hAnsi="宋体" w:cs="宋体" w:eastAsia="宋体"/>
                <w:b w:val="false"/>
              </w:rPr>
              <w:t>比亚迪</w:t>
            </w:r>
          </w:p>
        </w:tc>
        <w:tc>
          <w:tcPr>
            <w:tcW/>
          </w:tcPr>
          <w:p>
            <w:pPr>
              <w:spacing w:line="240" w:lineRule="auto"/>
              <w:jc w:val="right"/>
            </w:pPr>
            <w:r>
              <w:rPr>
                <w:rFonts w:ascii="宋体" w:hAnsi="宋体" w:cs="宋体" w:eastAsia="宋体"/>
                <w:b w:val="false"/>
              </w:rPr>
              <w:t>227,000</w:t>
            </w:r>
          </w:p>
        </w:tc>
        <w:tc>
          <w:tcPr>
            <w:tcW/>
          </w:tcPr>
          <w:p>
            <w:pPr>
              <w:spacing w:line="240" w:lineRule="auto"/>
              <w:jc w:val="right"/>
            </w:pPr>
            <w:r>
              <w:rPr>
                <w:rFonts w:ascii="宋体" w:hAnsi="宋体" w:cs="宋体" w:eastAsia="宋体"/>
                <w:b w:val="false"/>
              </w:rPr>
              <w:t>85,102,300.00</w:t>
            </w:r>
          </w:p>
        </w:tc>
        <w:tc>
          <w:tcPr>
            <w:tcW/>
          </w:tcPr>
          <w:p>
            <w:pPr>
              <w:spacing w:line="240" w:lineRule="auto"/>
              <w:jc w:val="right"/>
            </w:pPr>
            <w:r>
              <w:rPr>
                <w:rFonts w:ascii="宋体" w:hAnsi="宋体" w:cs="宋体" w:eastAsia="宋体"/>
                <w:b w:val="false"/>
              </w:rPr>
              <w:t>9.59</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600309</w:t>
            </w:r>
          </w:p>
        </w:tc>
        <w:tc>
          <w:tcPr>
            <w:tcW/>
          </w:tcPr>
          <w:p>
            <w:pPr>
              <w:spacing w:line="240" w:lineRule="auto"/>
              <w:jc w:val="left"/>
            </w:pPr>
            <w:r>
              <w:rPr>
                <w:rFonts w:ascii="宋体" w:hAnsi="宋体" w:cs="宋体" w:eastAsia="宋体"/>
                <w:b w:val="false"/>
              </w:rPr>
              <w:t>万华化学</w:t>
            </w:r>
          </w:p>
        </w:tc>
        <w:tc>
          <w:tcPr>
            <w:tcW/>
          </w:tcPr>
          <w:p>
            <w:pPr>
              <w:spacing w:line="240" w:lineRule="auto"/>
              <w:jc w:val="right"/>
            </w:pPr>
            <w:r>
              <w:rPr>
                <w:rFonts w:ascii="宋体" w:hAnsi="宋体" w:cs="宋体" w:eastAsia="宋体"/>
                <w:b w:val="false"/>
              </w:rPr>
              <w:t>1,264,000</w:t>
            </w:r>
          </w:p>
        </w:tc>
        <w:tc>
          <w:tcPr>
            <w:tcW/>
          </w:tcPr>
          <w:p>
            <w:pPr>
              <w:spacing w:line="240" w:lineRule="auto"/>
              <w:jc w:val="right"/>
            </w:pPr>
            <w:r>
              <w:rPr>
                <w:rFonts w:ascii="宋体" w:hAnsi="宋体" w:cs="宋体" w:eastAsia="宋体"/>
                <w:b w:val="false"/>
              </w:rPr>
              <w:t>84,953,440.00</w:t>
            </w:r>
          </w:p>
        </w:tc>
        <w:tc>
          <w:tcPr>
            <w:tcW/>
          </w:tcPr>
          <w:p>
            <w:pPr>
              <w:spacing w:line="240" w:lineRule="auto"/>
              <w:jc w:val="right"/>
            </w:pPr>
            <w:r>
              <w:rPr>
                <w:rFonts w:ascii="宋体" w:hAnsi="宋体" w:cs="宋体" w:eastAsia="宋体"/>
                <w:b w:val="false"/>
              </w:rPr>
              <w:t>9.57</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000807</w:t>
            </w:r>
          </w:p>
        </w:tc>
        <w:tc>
          <w:tcPr>
            <w:tcW/>
          </w:tcPr>
          <w:p>
            <w:pPr>
              <w:spacing w:line="240" w:lineRule="auto"/>
              <w:jc w:val="left"/>
            </w:pPr>
            <w:r>
              <w:rPr>
                <w:rFonts w:ascii="宋体" w:hAnsi="宋体" w:cs="宋体" w:eastAsia="宋体"/>
                <w:b w:val="false"/>
              </w:rPr>
              <w:t>云铝股份</w:t>
            </w:r>
          </w:p>
        </w:tc>
        <w:tc>
          <w:tcPr>
            <w:tcW/>
          </w:tcPr>
          <w:p>
            <w:pPr>
              <w:spacing w:line="240" w:lineRule="auto"/>
              <w:jc w:val="right"/>
            </w:pPr>
            <w:r>
              <w:rPr>
                <w:rFonts w:ascii="宋体" w:hAnsi="宋体" w:cs="宋体" w:eastAsia="宋体"/>
                <w:b w:val="false"/>
              </w:rPr>
              <w:t>4,815,000</w:t>
            </w:r>
          </w:p>
        </w:tc>
        <w:tc>
          <w:tcPr>
            <w:tcW/>
          </w:tcPr>
          <w:p>
            <w:pPr>
              <w:spacing w:line="240" w:lineRule="auto"/>
              <w:jc w:val="right"/>
            </w:pPr>
            <w:r>
              <w:rPr>
                <w:rFonts w:ascii="宋体" w:hAnsi="宋体" w:cs="宋体" w:eastAsia="宋体"/>
                <w:b w:val="false"/>
              </w:rPr>
              <w:t>83,492,100.00</w:t>
            </w:r>
          </w:p>
        </w:tc>
        <w:tc>
          <w:tcPr>
            <w:tcW/>
          </w:tcPr>
          <w:p>
            <w:pPr>
              <w:spacing w:line="240" w:lineRule="auto"/>
              <w:jc w:val="right"/>
            </w:pPr>
            <w:r>
              <w:rPr>
                <w:rFonts w:ascii="宋体" w:hAnsi="宋体" w:cs="宋体" w:eastAsia="宋体"/>
                <w:b w:val="false"/>
              </w:rPr>
              <w:t>9.41</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000933</w:t>
            </w:r>
          </w:p>
        </w:tc>
        <w:tc>
          <w:tcPr>
            <w:tcW/>
          </w:tcPr>
          <w:p>
            <w:pPr>
              <w:spacing w:line="240" w:lineRule="auto"/>
              <w:jc w:val="left"/>
            </w:pPr>
            <w:r>
              <w:rPr>
                <w:rFonts w:ascii="宋体" w:hAnsi="宋体" w:cs="宋体" w:eastAsia="宋体"/>
                <w:b w:val="false"/>
              </w:rPr>
              <w:t>神火股份</w:t>
            </w:r>
          </w:p>
        </w:tc>
        <w:tc>
          <w:tcPr>
            <w:tcW/>
          </w:tcPr>
          <w:p>
            <w:pPr>
              <w:spacing w:line="240" w:lineRule="auto"/>
              <w:jc w:val="right"/>
            </w:pPr>
            <w:r>
              <w:rPr>
                <w:rFonts w:ascii="宋体" w:hAnsi="宋体" w:cs="宋体" w:eastAsia="宋体"/>
                <w:b w:val="false"/>
              </w:rPr>
              <w:t>4,434,000</w:t>
            </w:r>
          </w:p>
        </w:tc>
        <w:tc>
          <w:tcPr>
            <w:tcW/>
          </w:tcPr>
          <w:p>
            <w:pPr>
              <w:spacing w:line="240" w:lineRule="auto"/>
              <w:jc w:val="right"/>
            </w:pPr>
            <w:r>
              <w:rPr>
                <w:rFonts w:ascii="宋体" w:hAnsi="宋体" w:cs="宋体" w:eastAsia="宋体"/>
                <w:b w:val="false"/>
              </w:rPr>
              <w:t>83,181,840.00</w:t>
            </w:r>
          </w:p>
        </w:tc>
        <w:tc>
          <w:tcPr>
            <w:tcW/>
          </w:tcPr>
          <w:p>
            <w:pPr>
              <w:spacing w:line="240" w:lineRule="auto"/>
              <w:jc w:val="right"/>
            </w:pPr>
            <w:r>
              <w:rPr>
                <w:rFonts w:ascii="宋体" w:hAnsi="宋体" w:cs="宋体" w:eastAsia="宋体"/>
                <w:b w:val="false"/>
              </w:rPr>
              <w:t>9.37</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002043</w:t>
            </w:r>
          </w:p>
        </w:tc>
        <w:tc>
          <w:tcPr>
            <w:tcW/>
          </w:tcPr>
          <w:p>
            <w:pPr>
              <w:spacing w:line="240" w:lineRule="auto"/>
              <w:jc w:val="left"/>
            </w:pPr>
            <w:r>
              <w:rPr>
                <w:rFonts w:ascii="宋体" w:hAnsi="宋体" w:cs="宋体" w:eastAsia="宋体"/>
                <w:b w:val="false"/>
              </w:rPr>
              <w:t>兔 宝 宝</w:t>
            </w:r>
          </w:p>
        </w:tc>
        <w:tc>
          <w:tcPr>
            <w:tcW/>
          </w:tcPr>
          <w:p>
            <w:pPr>
              <w:spacing w:line="240" w:lineRule="auto"/>
              <w:jc w:val="right"/>
            </w:pPr>
            <w:r>
              <w:rPr>
                <w:rFonts w:ascii="宋体" w:hAnsi="宋体" w:cs="宋体" w:eastAsia="宋体"/>
                <w:b w:val="false"/>
              </w:rPr>
              <w:t>7,414,317</w:t>
            </w:r>
          </w:p>
        </w:tc>
        <w:tc>
          <w:tcPr>
            <w:tcW/>
          </w:tcPr>
          <w:p>
            <w:pPr>
              <w:spacing w:line="240" w:lineRule="auto"/>
              <w:jc w:val="right"/>
            </w:pPr>
            <w:r>
              <w:rPr>
                <w:rFonts w:ascii="宋体" w:hAnsi="宋体" w:cs="宋体" w:eastAsia="宋体"/>
                <w:b w:val="false"/>
              </w:rPr>
              <w:t>79,036,619.22</w:t>
            </w:r>
          </w:p>
        </w:tc>
        <w:tc>
          <w:tcPr>
            <w:tcW/>
          </w:tcPr>
          <w:p>
            <w:pPr>
              <w:spacing w:line="240" w:lineRule="auto"/>
              <w:jc w:val="right"/>
            </w:pPr>
            <w:r>
              <w:rPr>
                <w:rFonts w:ascii="宋体" w:hAnsi="宋体" w:cs="宋体" w:eastAsia="宋体"/>
                <w:b w:val="false"/>
              </w:rPr>
              <w:t>8.91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002223</w:t>
            </w:r>
          </w:p>
        </w:tc>
        <w:tc>
          <w:tcPr>
            <w:tcW/>
          </w:tcPr>
          <w:p>
            <w:pPr>
              <w:spacing w:line="240" w:lineRule="auto"/>
              <w:jc w:val="left"/>
            </w:pPr>
            <w:r>
              <w:rPr>
                <w:rFonts w:ascii="宋体" w:hAnsi="宋体" w:cs="宋体" w:eastAsia="宋体"/>
                <w:b w:val="false"/>
              </w:rPr>
              <w:t>鱼跃医疗</w:t>
            </w:r>
          </w:p>
        </w:tc>
        <w:tc>
          <w:tcPr>
            <w:tcW/>
          </w:tcPr>
          <w:p>
            <w:pPr>
              <w:spacing w:line="240" w:lineRule="auto"/>
              <w:jc w:val="right"/>
            </w:pPr>
            <w:r>
              <w:rPr>
                <w:rFonts w:ascii="宋体" w:hAnsi="宋体" w:cs="宋体" w:eastAsia="宋体"/>
                <w:b w:val="false"/>
              </w:rPr>
              <w:t>2,265,000</w:t>
            </w:r>
          </w:p>
        </w:tc>
        <w:tc>
          <w:tcPr>
            <w:tcW/>
          </w:tcPr>
          <w:p>
            <w:pPr>
              <w:spacing w:line="240" w:lineRule="auto"/>
              <w:jc w:val="right"/>
            </w:pPr>
            <w:r>
              <w:rPr>
                <w:rFonts w:ascii="宋体" w:hAnsi="宋体" w:cs="宋体" w:eastAsia="宋体"/>
                <w:b w:val="false"/>
              </w:rPr>
              <w:t>79,003,200.00</w:t>
            </w:r>
          </w:p>
        </w:tc>
        <w:tc>
          <w:tcPr>
            <w:tcW/>
          </w:tcPr>
          <w:p>
            <w:pPr>
              <w:spacing w:line="240" w:lineRule="auto"/>
              <w:jc w:val="right"/>
            </w:pPr>
            <w:r>
              <w:rPr>
                <w:rFonts w:ascii="宋体" w:hAnsi="宋体" w:cs="宋体" w:eastAsia="宋体"/>
                <w:b w:val="false"/>
              </w:rPr>
              <w:t>8.90</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000333</w:t>
            </w:r>
          </w:p>
        </w:tc>
        <w:tc>
          <w:tcPr>
            <w:tcW/>
          </w:tcPr>
          <w:p>
            <w:pPr>
              <w:spacing w:line="240" w:lineRule="auto"/>
              <w:jc w:val="left"/>
            </w:pPr>
            <w:r>
              <w:rPr>
                <w:rFonts w:ascii="宋体" w:hAnsi="宋体" w:cs="宋体" w:eastAsia="宋体"/>
                <w:b w:val="false"/>
              </w:rPr>
              <w:t>美的集团</w:t>
            </w:r>
          </w:p>
        </w:tc>
        <w:tc>
          <w:tcPr>
            <w:tcW/>
          </w:tcPr>
          <w:p>
            <w:pPr>
              <w:spacing w:line="240" w:lineRule="auto"/>
              <w:jc w:val="right"/>
            </w:pPr>
            <w:r>
              <w:rPr>
                <w:rFonts w:ascii="宋体" w:hAnsi="宋体" w:cs="宋体" w:eastAsia="宋体"/>
                <w:b w:val="false"/>
              </w:rPr>
              <w:t>970,000</w:t>
            </w:r>
          </w:p>
        </w:tc>
        <w:tc>
          <w:tcPr>
            <w:tcW/>
          </w:tcPr>
          <w:p>
            <w:pPr>
              <w:spacing w:line="240" w:lineRule="auto"/>
              <w:jc w:val="right"/>
            </w:pPr>
            <w:r>
              <w:rPr>
                <w:rFonts w:ascii="宋体" w:hAnsi="宋体" w:cs="宋体" w:eastAsia="宋体"/>
                <w:b w:val="false"/>
              </w:rPr>
              <w:t>76,145,000.00</w:t>
            </w:r>
          </w:p>
        </w:tc>
        <w:tc>
          <w:tcPr>
            <w:tcW/>
          </w:tcPr>
          <w:p>
            <w:pPr>
              <w:spacing w:line="240" w:lineRule="auto"/>
              <w:jc w:val="right"/>
            </w:pPr>
            <w:r>
              <w:rPr>
                <w:rFonts w:ascii="宋体" w:hAnsi="宋体" w:cs="宋体" w:eastAsia="宋体"/>
                <w:b w:val="false"/>
              </w:rPr>
              <w:t>8.58</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600690</w:t>
            </w:r>
          </w:p>
        </w:tc>
        <w:tc>
          <w:tcPr>
            <w:tcW/>
          </w:tcPr>
          <w:p>
            <w:pPr>
              <w:spacing w:line="240" w:lineRule="auto"/>
              <w:jc w:val="left"/>
            </w:pPr>
            <w:r>
              <w:rPr>
                <w:rFonts w:ascii="宋体" w:hAnsi="宋体" w:cs="宋体" w:eastAsia="宋体"/>
                <w:b w:val="false"/>
              </w:rPr>
              <w:t>海尔智家</w:t>
            </w:r>
          </w:p>
        </w:tc>
        <w:tc>
          <w:tcPr>
            <w:tcW/>
          </w:tcPr>
          <w:p>
            <w:pPr>
              <w:spacing w:line="240" w:lineRule="auto"/>
              <w:jc w:val="right"/>
            </w:pPr>
            <w:r>
              <w:rPr>
                <w:rFonts w:ascii="宋体" w:hAnsi="宋体" w:cs="宋体" w:eastAsia="宋体"/>
                <w:b w:val="false"/>
              </w:rPr>
              <w:t>2,750,000</w:t>
            </w:r>
          </w:p>
        </w:tc>
        <w:tc>
          <w:tcPr>
            <w:tcW/>
          </w:tcPr>
          <w:p>
            <w:pPr>
              <w:spacing w:line="240" w:lineRule="auto"/>
              <w:jc w:val="right"/>
            </w:pPr>
            <w:r>
              <w:rPr>
                <w:rFonts w:ascii="宋体" w:hAnsi="宋体" w:cs="宋体" w:eastAsia="宋体"/>
                <w:b w:val="false"/>
              </w:rPr>
              <w:t>75,185,000.00</w:t>
            </w:r>
          </w:p>
        </w:tc>
        <w:tc>
          <w:tcPr>
            <w:tcW/>
          </w:tcPr>
          <w:p>
            <w:pPr>
              <w:spacing w:line="240" w:lineRule="auto"/>
              <w:jc w:val="right"/>
            </w:pPr>
            <w:r>
              <w:rPr>
                <w:rFonts w:ascii="宋体" w:hAnsi="宋体" w:cs="宋体" w:eastAsia="宋体"/>
                <w:b w:val="false"/>
              </w:rPr>
              <w:t>8.47</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603605</w:t>
            </w:r>
          </w:p>
        </w:tc>
        <w:tc>
          <w:tcPr>
            <w:tcW/>
          </w:tcPr>
          <w:p>
            <w:pPr>
              <w:spacing w:line="240" w:lineRule="auto"/>
              <w:jc w:val="left"/>
            </w:pPr>
            <w:r>
              <w:rPr>
                <w:rFonts w:ascii="宋体" w:hAnsi="宋体" w:cs="宋体" w:eastAsia="宋体"/>
                <w:b w:val="false"/>
              </w:rPr>
              <w:t>珀莱雅</w:t>
            </w:r>
          </w:p>
        </w:tc>
        <w:tc>
          <w:tcPr>
            <w:tcW/>
          </w:tcPr>
          <w:p>
            <w:pPr>
              <w:spacing w:line="240" w:lineRule="auto"/>
              <w:jc w:val="right"/>
            </w:pPr>
            <w:r>
              <w:rPr>
                <w:rFonts w:ascii="宋体" w:hAnsi="宋体" w:cs="宋体" w:eastAsia="宋体"/>
                <w:b w:val="false"/>
              </w:rPr>
              <w:t>901,967</w:t>
            </w:r>
          </w:p>
        </w:tc>
        <w:tc>
          <w:tcPr>
            <w:tcW/>
          </w:tcPr>
          <w:p>
            <w:pPr>
              <w:spacing w:line="240" w:lineRule="auto"/>
              <w:jc w:val="right"/>
            </w:pPr>
            <w:r>
              <w:rPr>
                <w:rFonts w:ascii="宋体" w:hAnsi="宋体" w:cs="宋体" w:eastAsia="宋体"/>
                <w:b w:val="false"/>
              </w:rPr>
              <w:t>74,592,670.90</w:t>
            </w:r>
          </w:p>
        </w:tc>
        <w:tc>
          <w:tcPr>
            <w:tcW/>
          </w:tcPr>
          <w:p>
            <w:pPr>
              <w:spacing w:line="240" w:lineRule="auto"/>
              <w:jc w:val="right"/>
            </w:pPr>
            <w:r>
              <w:rPr>
                <w:rFonts w:ascii="宋体" w:hAnsi="宋体" w:cs="宋体" w:eastAsia="宋体"/>
                <w:b w:val="false"/>
              </w:rPr>
              <w:t>8.41</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600563</w:t>
            </w:r>
          </w:p>
        </w:tc>
        <w:tc>
          <w:tcPr>
            <w:tcW/>
          </w:tcPr>
          <w:p>
            <w:pPr>
              <w:spacing w:line="240" w:lineRule="auto"/>
              <w:jc w:val="left"/>
            </w:pPr>
            <w:r>
              <w:rPr>
                <w:rFonts w:ascii="宋体" w:hAnsi="宋体" w:cs="宋体" w:eastAsia="宋体"/>
                <w:b w:val="false"/>
              </w:rPr>
              <w:t>法拉电子</w:t>
            </w:r>
          </w:p>
        </w:tc>
        <w:tc>
          <w:tcPr>
            <w:tcW/>
          </w:tcPr>
          <w:p>
            <w:pPr>
              <w:spacing w:line="240" w:lineRule="auto"/>
              <w:jc w:val="right"/>
            </w:pPr>
            <w:r>
              <w:rPr>
                <w:rFonts w:ascii="宋体" w:hAnsi="宋体" w:cs="宋体" w:eastAsia="宋体"/>
                <w:b w:val="false"/>
              </w:rPr>
              <w:t>439,994</w:t>
            </w:r>
          </w:p>
        </w:tc>
        <w:tc>
          <w:tcPr>
            <w:tcW/>
          </w:tcPr>
          <w:p>
            <w:pPr>
              <w:spacing w:line="240" w:lineRule="auto"/>
              <w:jc w:val="right"/>
            </w:pPr>
            <w:r>
              <w:rPr>
                <w:rFonts w:ascii="宋体" w:hAnsi="宋体" w:cs="宋体" w:eastAsia="宋体"/>
                <w:b w:val="false"/>
              </w:rPr>
              <w:t>48,188,142.88</w:t>
            </w:r>
          </w:p>
        </w:tc>
        <w:tc>
          <w:tcPr>
            <w:tcW/>
          </w:tcPr>
          <w:p>
            <w:pPr>
              <w:spacing w:line="240" w:lineRule="auto"/>
              <w:jc w:val="right"/>
            </w:pPr>
            <w:r>
              <w:rPr>
                <w:rFonts w:ascii="宋体" w:hAnsi="宋体" w:cs="宋体" w:eastAsia="宋体"/>
                <w:b w:val="false"/>
              </w:rPr>
              <w:t>5.43</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47,618,703.81</w:t>
            </w:r>
          </w:p>
        </w:tc>
        <w:tc>
          <w:tcPr>
            <w:tcW/>
          </w:tcPr>
          <w:p>
            <w:pPr>
              <w:spacing w:line="240" w:lineRule="auto"/>
              <w:jc w:val="right"/>
            </w:pPr>
            <w:r>
              <w:rPr>
                <w:rFonts w:ascii="宋体" w:hAnsi="宋体" w:cs="宋体" w:eastAsia="宋体"/>
                <w:b w:val="false"/>
              </w:rPr>
              <w:t>5.37</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47,618,703.81</w:t>
            </w:r>
          </w:p>
        </w:tc>
        <w:tc>
          <w:tcPr>
            <w:tcW/>
          </w:tcPr>
          <w:p>
            <w:pPr>
              <w:spacing w:line="240" w:lineRule="auto"/>
              <w:jc w:val="right"/>
            </w:pPr>
            <w:r>
              <w:rPr>
                <w:rFonts w:ascii="宋体" w:hAnsi="宋体" w:cs="宋体" w:eastAsia="宋体"/>
                <w:b w:val="false"/>
              </w:rPr>
              <w:t>5.37</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290,000</w:t>
            </w:r>
          </w:p>
        </w:tc>
        <w:tc>
          <w:tcPr>
            <w:tcW/>
          </w:tcPr>
          <w:p>
            <w:pPr>
              <w:spacing w:line="240" w:lineRule="auto"/>
              <w:jc w:val="right"/>
            </w:pPr>
            <w:r>
              <w:rPr>
                <w:rFonts w:ascii="宋体" w:hAnsi="宋体" w:cs="宋体" w:eastAsia="宋体"/>
                <w:b w:val="false"/>
              </w:rPr>
              <w:t>29,249,836.99</w:t>
            </w:r>
          </w:p>
        </w:tc>
        <w:tc>
          <w:tcPr>
            <w:tcW/>
          </w:tcPr>
          <w:p>
            <w:pPr>
              <w:spacing w:line="240" w:lineRule="auto"/>
              <w:jc w:val="right"/>
            </w:pPr>
            <w:r>
              <w:rPr>
                <w:rFonts w:ascii="宋体" w:hAnsi="宋体" w:cs="宋体" w:eastAsia="宋体"/>
                <w:b w:val="false"/>
              </w:rPr>
              <w:t>3.30</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019740</w:t>
            </w:r>
          </w:p>
        </w:tc>
        <w:tc>
          <w:tcPr>
            <w:tcW/>
          </w:tcPr>
          <w:p>
            <w:pPr>
              <w:spacing w:line="240" w:lineRule="auto"/>
              <w:jc w:val="left"/>
            </w:pPr>
            <w:r>
              <w:rPr>
                <w:rFonts w:ascii="宋体" w:hAnsi="宋体" w:cs="宋体" w:eastAsia="宋体"/>
                <w:b w:val="false"/>
              </w:rPr>
              <w:t>24国债09</w:t>
            </w:r>
          </w:p>
        </w:tc>
        <w:tc>
          <w:tcPr>
            <w:tcW/>
          </w:tcPr>
          <w:p>
            <w:pPr>
              <w:spacing w:line="240" w:lineRule="auto"/>
              <w:jc w:val="right"/>
            </w:pPr>
            <w:r>
              <w:rPr>
                <w:rFonts w:ascii="宋体" w:hAnsi="宋体" w:cs="宋体" w:eastAsia="宋体"/>
                <w:b w:val="false"/>
              </w:rPr>
              <w:t>181,000</w:t>
            </w:r>
          </w:p>
        </w:tc>
        <w:tc>
          <w:tcPr>
            <w:tcW/>
          </w:tcPr>
          <w:p>
            <w:pPr>
              <w:spacing w:line="240" w:lineRule="auto"/>
              <w:jc w:val="right"/>
            </w:pPr>
            <w:r>
              <w:rPr>
                <w:rFonts w:ascii="宋体" w:hAnsi="宋体" w:cs="宋体" w:eastAsia="宋体"/>
                <w:b w:val="false"/>
              </w:rPr>
              <w:t>18,368,866.82</w:t>
            </w:r>
          </w:p>
        </w:tc>
        <w:tc>
          <w:tcPr>
            <w:tcW/>
          </w:tcPr>
          <w:p>
            <w:pPr>
              <w:spacing w:line="240" w:lineRule="auto"/>
              <w:jc w:val="right"/>
            </w:pPr>
            <w:r>
              <w:rPr>
                <w:rFonts w:ascii="宋体" w:hAnsi="宋体" w:cs="宋体" w:eastAsia="宋体"/>
                <w:b w:val="false"/>
              </w:rPr>
              <w:t>2.07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129,497.81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129,497.81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东方阿尔法产业先锋混合A</w:t>
            </w:r>
          </w:p>
        </w:tc>
        <w:tc>
          <w:tcPr>
            <w:tcW w:type="pct" w:w="1300"/>
          </w:tcPr>
          <w:p>
            <w:pPr>
              <w:spacing w:line="240" w:lineRule="auto"/>
              <w:jc w:val="center"/>
            </w:pPr>
            <w:r>
              <w:rPr>
                <w:rFonts w:ascii="宋体" w:hAnsi="宋体" w:cs="宋体" w:eastAsia="宋体"/>
                <w:b w:val="false"/>
              </w:rPr>
              <w:t>东方阿尔法产业先锋混合C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1,563,144,848.23</w:t>
            </w:r>
          </w:p>
        </w:tc>
        <w:tc>
          <w:tcPr>
            <w:tcW w:type="pct" w:w="1300"/>
          </w:tcPr>
          <w:p>
            <w:pPr>
              <w:spacing w:line="240" w:lineRule="auto"/>
              <w:jc w:val="right"/>
            </w:pPr>
            <w:r>
              <w:rPr>
                <w:rFonts w:ascii="宋体" w:hAnsi="宋体" w:cs="宋体" w:eastAsia="宋体"/>
                <w:b w:val="false"/>
              </w:rPr>
              <w:t>506,950,602.45</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3,456,503.29</w:t>
            </w:r>
          </w:p>
        </w:tc>
        <w:tc>
          <w:tcPr>
            <w:tcW w:type="pct" w:w="1300"/>
          </w:tcPr>
          <w:p>
            <w:pPr>
              <w:spacing w:line="240" w:lineRule="auto"/>
              <w:jc w:val="right"/>
            </w:pPr>
            <w:r>
              <w:rPr>
                <w:rFonts w:ascii="宋体" w:hAnsi="宋体" w:cs="宋体" w:eastAsia="宋体"/>
                <w:b w:val="false"/>
              </w:rPr>
              <w:t>8,144,734.43</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128,805,311.97</w:t>
            </w:r>
          </w:p>
        </w:tc>
        <w:tc>
          <w:tcPr>
            <w:tcW w:type="pct" w:w="1300"/>
          </w:tcPr>
          <w:p>
            <w:pPr>
              <w:spacing w:line="240" w:lineRule="auto"/>
              <w:jc w:val="right"/>
            </w:pPr>
            <w:r>
              <w:rPr>
                <w:rFonts w:ascii="宋体" w:hAnsi="宋体" w:cs="宋体" w:eastAsia="宋体"/>
                <w:b w:val="false"/>
              </w:rPr>
              <w:t>72,784,277.36</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1,437,796,039.55</w:t>
            </w:r>
          </w:p>
        </w:tc>
        <w:tc>
          <w:tcPr>
            <w:tcW w:type="pct" w:w="1300"/>
          </w:tcPr>
          <w:p>
            <w:pPr>
              <w:spacing w:line="240" w:lineRule="auto"/>
              <w:jc w:val="right"/>
            </w:pPr>
            <w:r>
              <w:rPr>
                <w:rFonts w:ascii="宋体" w:hAnsi="宋体" w:cs="宋体" w:eastAsia="宋体"/>
                <w:b w:val="false"/>
              </w:rPr>
              <w:t>442,311,059.52</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基金管理人本期未运用固有资金投资本基金。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本基金成立后有10,001,643.79份为发起份额，发起份额承诺的持有期限为2021年7月21日至2024年7月21日。截至本报告期末，发起资金持有份额为2,500,810.71份。</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报告期内单一投资者持有基金份额比例不存在达到或超过20%的情况。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1、中国证券监督管理委员会批准的东方阿尔法产业先锋混合型发起式证券投资基金设立的文件；</w:t>
        <w:cr/>
      </w:r>
      <w:r>
        <w:rPr>
          <w:rFonts w:ascii="宋体" w:hAnsi="宋体" w:cs="宋体" w:eastAsia="宋体"/>
          <w:b w:val="false"/>
        </w:rPr>
        <w:t xml:space="preserve">    2、《东方阿尔法产业先锋混合型发起式证券投资基金基金合同》；</w:t>
        <w:cr/>
      </w:r>
      <w:r>
        <w:rPr>
          <w:rFonts w:ascii="宋体" w:hAnsi="宋体" w:cs="宋体" w:eastAsia="宋体"/>
          <w:b w:val="false"/>
        </w:rPr>
        <w:t xml:space="preserve">    3、《东方阿尔法产业先锋混合型发起式证券投资基金托管协议》；</w:t>
        <w:cr/>
      </w:r>
      <w:r>
        <w:rPr>
          <w:rFonts w:ascii="宋体" w:hAnsi="宋体" w:cs="宋体" w:eastAsia="宋体"/>
          <w:b w:val="false"/>
        </w:rPr>
        <w:t xml:space="preserve">    4、《东方阿尔法产业先锋混合型发起式证券投资基金招募说明书》（含更新）；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东方阿尔法产业先锋混合型发起式证券投资基金2025年第1季度报告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