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东方阿尔法瑞丰混合型发起式证券投资基金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中国农业银行股份有限公司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2025年04月18日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基金托管人中国农业银行股份有限公司根据本基金合同规定，于2025年04月17日复核了本报告中的财务指标、净值表现和投资组合报告等内容，保证复核内容不存在虚假记载、误导性陈述或者重大遗漏。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本报告期自2025年01月01日起至2025年03月31日止。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tcPr>
          <w:p>
            <w:pPr>
              <w:spacing w:line="240" w:lineRule="auto"/>
              <w:jc w:val="left"/>
            </w:pPr>
            <w:r>
              <w:rPr>
                <w:rFonts w:ascii="宋体" w:hAnsi="宋体" w:cs="宋体" w:eastAsia="宋体"/>
                <w:b w:val="false"/>
              </w:rPr>
              <w:t>基金简称</w:t>
            </w:r>
          </w:p>
        </w:tc>
        <w:tc>
          <w:tcPr>
            <w:tcW w:type="pct" w:w="3077"/>
            <w:hMerge w:val="restart"/>
          </w:tcPr>
          <w:p>
            <w:pPr>
              <w:spacing w:line="240" w:lineRule="auto"/>
              <w:jc w:val="left"/>
            </w:pPr>
            <w:r>
              <w:rPr>
                <w:rFonts w:ascii="宋体" w:hAnsi="宋体" w:cs="宋体" w:eastAsia="宋体"/>
                <w:b w:val="false"/>
              </w:rPr>
              <w:t>东方阿尔法瑞丰混合发起</w:t>
            </w:r>
          </w:p>
        </w:tc>
        <w:tc>
          <w:tcPr>
            <w:hMerge w:val="continue"/>
          </w:tcPr>
          <w:p/>
        </w:tc>
      </w:tr>
      <w:tr>
        <w:tc>
          <w:tcPr>
            <w:tcW w:type="pct" w:w="1923"/>
          </w:tcPr>
          <w:p>
            <w:pPr>
              <w:spacing w:line="240" w:lineRule="auto"/>
              <w:jc w:val="left"/>
            </w:pPr>
            <w:r>
              <w:rPr>
                <w:rFonts w:ascii="宋体" w:hAnsi="宋体" w:cs="宋体" w:eastAsia="宋体"/>
                <w:b w:val="false"/>
              </w:rPr>
              <w:t>基金主代码</w:t>
            </w:r>
          </w:p>
        </w:tc>
        <w:tc>
          <w:tcPr>
            <w:tcW/>
            <w:hMerge w:val="restart"/>
          </w:tcPr>
          <w:p>
            <w:pPr>
              <w:spacing w:line="240" w:lineRule="auto"/>
              <w:jc w:val="left"/>
            </w:pPr>
            <w:r>
              <w:rPr>
                <w:rFonts w:ascii="宋体" w:hAnsi="宋体" w:cs="宋体" w:eastAsia="宋体"/>
                <w:b w:val="false"/>
              </w:rPr>
              <w:t>018362</w:t>
            </w:r>
          </w:p>
        </w:tc>
        <w:tc>
          <w:tcPr>
            <w:hMerge w:val="continue"/>
          </w:tcPr>
          <w:p/>
        </w:tc>
      </w:tr>
      <w:tr>
        <w:tc>
          <w:tcPr>
            <w:tcW w:type="pct" w:w="1923"/>
          </w:tcPr>
          <w:p>
            <w:pPr>
              <w:spacing w:line="240" w:lineRule="auto"/>
              <w:jc w:val="left"/>
            </w:pPr>
            <w:r>
              <w:rPr>
                <w:rFonts w:ascii="宋体" w:hAnsi="宋体" w:cs="宋体" w:eastAsia="宋体"/>
                <w:b w:val="false"/>
              </w:rPr>
              <w:t>基金运作方式</w:t>
            </w:r>
          </w:p>
        </w:tc>
        <w:tc>
          <w:tcPr>
            <w:tcW/>
            <w:hMerge w:val="restart"/>
          </w:tcPr>
          <w:p>
            <w:pPr>
              <w:spacing w:line="240" w:lineRule="auto"/>
              <w:jc w:val="left"/>
            </w:pPr>
            <w:r>
              <w:rPr>
                <w:rFonts w:ascii="宋体" w:hAnsi="宋体" w:cs="宋体" w:eastAsia="宋体"/>
                <w:b w:val="false"/>
              </w:rPr>
              <w:t>契约型开放式</w:t>
            </w:r>
          </w:p>
        </w:tc>
        <w:tc>
          <w:tcPr>
            <w:hMerge w:val="continue"/>
          </w:tcPr>
          <w:p/>
        </w:tc>
      </w:tr>
      <w:tr>
        <w:tc>
          <w:tcPr>
            <w:tcW w:type="pct" w:w="1923"/>
          </w:tcPr>
          <w:p>
            <w:pPr>
              <w:spacing w:line="240" w:lineRule="auto"/>
              <w:jc w:val="left"/>
            </w:pPr>
            <w:r>
              <w:rPr>
                <w:rFonts w:ascii="宋体" w:hAnsi="宋体" w:cs="宋体" w:eastAsia="宋体"/>
                <w:b w:val="false"/>
              </w:rPr>
              <w:t>基金合同生效日</w:t>
            </w:r>
          </w:p>
        </w:tc>
        <w:tc>
          <w:tcPr>
            <w:tcW/>
            <w:hMerge w:val="restart"/>
          </w:tcPr>
          <w:p>
            <w:pPr>
              <w:spacing w:line="240" w:lineRule="auto"/>
              <w:jc w:val="left"/>
            </w:pPr>
            <w:r>
              <w:rPr>
                <w:rFonts w:ascii="宋体" w:hAnsi="宋体" w:cs="宋体" w:eastAsia="宋体"/>
                <w:b w:val="false"/>
              </w:rPr>
              <w:t>2023年05月12日</w:t>
            </w:r>
          </w:p>
        </w:tc>
        <w:tc>
          <w:tcPr>
            <w:hMerge w:val="continue"/>
          </w:tcPr>
          <w:p/>
        </w:tc>
      </w:tr>
      <w:tr>
        <w:tc>
          <w:tcPr>
            <w:tcW w:type="pct" w:w="1923"/>
          </w:tcPr>
          <w:p>
            <w:pPr>
              <w:spacing w:line="240" w:lineRule="auto"/>
              <w:jc w:val="left"/>
            </w:pPr>
            <w:r>
              <w:rPr>
                <w:rFonts w:ascii="宋体" w:hAnsi="宋体" w:cs="宋体" w:eastAsia="宋体"/>
                <w:b w:val="false"/>
              </w:rPr>
              <w:t>报告期末基金份额总额</w:t>
            </w:r>
          </w:p>
        </w:tc>
        <w:tc>
          <w:tcPr>
            <w:tcW/>
            <w:hMerge w:val="restart"/>
          </w:tcPr>
          <w:p>
            <w:pPr>
              <w:spacing w:line="240" w:lineRule="auto"/>
              <w:jc w:val="left"/>
            </w:pPr>
            <w:r>
              <w:rPr>
                <w:rFonts w:ascii="宋体" w:hAnsi="宋体" w:cs="宋体" w:eastAsia="宋体"/>
                <w:b w:val="false"/>
              </w:rPr>
              <w:t>51,609,742.20份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tcPr>
          <w:p>
            <w:pPr>
              <w:spacing w:line="240" w:lineRule="auto"/>
              <w:jc w:val="left"/>
            </w:pPr>
            <w:r>
              <w:rPr>
                <w:rFonts w:ascii="宋体" w:hAnsi="宋体" w:cs="宋体" w:eastAsia="宋体"/>
                <w:b w:val="false"/>
              </w:rPr>
              <w:t>本基金在严格控制风险的基础之上，通过深入研究、优选个股、主动的投资管理方式力求实现组合资产的稳健增值。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 xml:space="preserve">3、港股投资策略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6、股指期货投资策略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7、融资业务投资策略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8、国债期货投资策略</w:t>
              <w:br/>
            </w:r>
            <w:r>
              <w:rPr>
                <w:rFonts w:ascii="宋体" w:hAnsi="宋体" w:cs="宋体" w:eastAsia="宋体"/>
                <w:b w:val="false"/>
              </w:rPr>
              <w:t>本基金将按照风险管理的原则，以套期保值为主要目的，参与国债期货的投资，管理市场风险，故国债期货空头的合约价值主要与债券组合的多头价值相对应。</w:t>
              <w:br/>
            </w:r>
            <w:r>
              <w:rPr>
                <w:rFonts w:ascii="宋体" w:hAnsi="宋体" w:cs="宋体" w:eastAsia="宋体"/>
                <w:b w:val="false"/>
              </w:rPr>
              <w:t>9、资产支持证券投资策略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11、存托凭证投资策略</w:t>
              <w:br/>
            </w:r>
            <w:r>
              <w:rPr>
                <w:rFonts w:ascii="宋体" w:hAnsi="宋体" w:cs="宋体" w:eastAsia="宋体"/>
                <w:b w:val="false"/>
              </w:rPr>
              <w:t>本基金在深入研究的基础上，通过定性分析和定量分析相结合的方式，选择投资价值高的存托凭证进行投资。</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tcPr>
          <w:p>
            <w:pPr>
              <w:spacing w:line="240" w:lineRule="auto"/>
              <w:jc w:val="left"/>
            </w:pPr>
            <w:r>
              <w:rPr>
                <w:rFonts w:ascii="宋体" w:hAnsi="宋体" w:cs="宋体" w:eastAsia="宋体"/>
                <w:b w:val="false"/>
              </w:rPr>
              <w:t>中证800指数收益率×60%+中证综合债券指数收益率×20%+恒生指数收益率×20%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tcPr>
          <w:p>
            <w:pPr>
              <w:spacing w:line="240" w:lineRule="auto"/>
              <w:jc w:val="left"/>
            </w:pPr>
            <w:r>
              <w:rPr>
                <w:rFonts w:ascii="宋体" w:hAnsi="宋体" w:cs="宋体" w:eastAsia="宋体"/>
                <w:b w:val="false"/>
              </w:rPr>
              <w:t>基金管理人</w:t>
            </w:r>
          </w:p>
        </w:tc>
        <w:tc>
          <w:tcPr>
            <w:tcW/>
            <w:hMerge w:val="restart"/>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tcPr>
          <w:p>
            <w:pPr>
              <w:spacing w:line="240" w:lineRule="auto"/>
              <w:jc w:val="left"/>
            </w:pPr>
            <w:r>
              <w:rPr>
                <w:rFonts w:ascii="宋体" w:hAnsi="宋体" w:cs="宋体" w:eastAsia="宋体"/>
                <w:b w:val="false"/>
              </w:rPr>
              <w:t>基金托管人</w:t>
            </w:r>
          </w:p>
        </w:tc>
        <w:tc>
          <w:tcPr>
            <w:tcW/>
            <w:hMerge w:val="restart"/>
          </w:tcPr>
          <w:p>
            <w:pPr>
              <w:spacing w:line="240" w:lineRule="auto"/>
              <w:jc w:val="left"/>
            </w:pPr>
            <w:r>
              <w:rPr>
                <w:rFonts w:ascii="宋体" w:hAnsi="宋体" w:cs="宋体" w:eastAsia="宋体"/>
                <w:b w:val="false"/>
              </w:rPr>
              <w:t>中国农业银行股份有限公司</w:t>
            </w:r>
          </w:p>
        </w:tc>
        <w:tc>
          <w:tcPr>
            <w:hMerge w:val="continue"/>
          </w:tcPr>
          <w:p/>
        </w:tc>
      </w:tr>
      <w:tr>
        <w:tc>
          <w:tcPr>
            <w:tcW/>
          </w:tcPr>
          <w:p>
            <w:pPr>
              <w:spacing w:line="240" w:lineRule="auto"/>
              <w:jc w:val="left"/>
            </w:pPr>
            <w:r>
              <w:rPr>
                <w:rFonts w:ascii="宋体" w:hAnsi="宋体" w:cs="宋体" w:eastAsia="宋体"/>
                <w:b w:val="false"/>
              </w:rPr>
              <w:t>下属分级基金的基金简称</w:t>
            </w:r>
          </w:p>
        </w:tc>
        <w:tc>
          <w:tcPr>
            <w:tcW w:type="pct" w:w="1500"/>
          </w:tcPr>
          <w:p>
            <w:pPr>
              <w:spacing w:line="240" w:lineRule="auto"/>
              <w:jc w:val="left"/>
            </w:pPr>
            <w:r>
              <w:rPr>
                <w:rFonts w:ascii="宋体" w:hAnsi="宋体" w:cs="宋体" w:eastAsia="宋体"/>
                <w:b w:val="false"/>
              </w:rPr>
              <w:t>东方阿尔法瑞丰混合发起A</w:t>
            </w:r>
          </w:p>
        </w:tc>
        <w:tc>
          <w:tcPr>
            <w:tcW w:type="pct" w:w="1500"/>
          </w:tcPr>
          <w:p>
            <w:pPr>
              <w:spacing w:line="240" w:lineRule="auto"/>
              <w:jc w:val="left"/>
            </w:pPr>
            <w:r>
              <w:rPr>
                <w:rFonts w:ascii="宋体" w:hAnsi="宋体" w:cs="宋体" w:eastAsia="宋体"/>
                <w:b w:val="false"/>
              </w:rPr>
              <w:t>东方阿尔法瑞丰混合发起C</w:t>
            </w:r>
          </w:p>
        </w:tc>
      </w:tr>
      <w:tr>
        <w:tc>
          <w:tcPr>
            <w:tcW/>
          </w:tcPr>
          <w:p>
            <w:pPr>
              <w:spacing w:line="240" w:lineRule="auto"/>
              <w:jc w:val="left"/>
            </w:pPr>
            <w:r>
              <w:rPr>
                <w:rFonts w:ascii="宋体" w:hAnsi="宋体" w:cs="宋体" w:eastAsia="宋体"/>
                <w:b w:val="false"/>
              </w:rPr>
              <w:t>下属分级基金的交易代码</w:t>
            </w:r>
          </w:p>
        </w:tc>
        <w:tc>
          <w:tcPr>
            <w:tcW w:type="pct" w:w="1500"/>
          </w:tcPr>
          <w:p>
            <w:pPr>
              <w:spacing w:line="240" w:lineRule="auto"/>
              <w:jc w:val="left"/>
            </w:pPr>
            <w:r>
              <w:rPr>
                <w:rFonts w:ascii="宋体" w:hAnsi="宋体" w:cs="宋体" w:eastAsia="宋体"/>
                <w:b w:val="false"/>
              </w:rPr>
              <w:t>018362</w:t>
            </w:r>
          </w:p>
        </w:tc>
        <w:tc>
          <w:tcPr>
            <w:tcW w:type="pct" w:w="1500"/>
          </w:tcPr>
          <w:p>
            <w:pPr>
              <w:spacing w:line="240" w:lineRule="auto"/>
              <w:jc w:val="left"/>
            </w:pPr>
            <w:r>
              <w:rPr>
                <w:rFonts w:ascii="宋体" w:hAnsi="宋体" w:cs="宋体" w:eastAsia="宋体"/>
                <w:b w:val="false"/>
              </w:rPr>
              <w:t>018363</w:t>
            </w:r>
          </w:p>
        </w:tc>
      </w:tr>
      <w:tr>
        <w:tc>
          <w:tcPr>
            <w:tcW/>
          </w:tcPr>
          <w:p>
            <w:pPr>
              <w:spacing w:line="240" w:lineRule="auto"/>
              <w:jc w:val="left"/>
            </w:pPr>
            <w:r>
              <w:rPr>
                <w:rFonts w:ascii="宋体" w:hAnsi="宋体" w:cs="宋体" w:eastAsia="宋体"/>
                <w:b w:val="false"/>
              </w:rPr>
              <w:t>报告期末下属分级基金的份额总额</w:t>
            </w:r>
          </w:p>
        </w:tc>
        <w:tc>
          <w:tcPr>
            <w:tcW w:type="pct" w:w="1500"/>
          </w:tcPr>
          <w:p>
            <w:pPr>
              <w:spacing w:line="240" w:lineRule="auto"/>
              <w:jc w:val="left"/>
            </w:pPr>
            <w:r>
              <w:rPr>
                <w:rFonts w:ascii="宋体" w:hAnsi="宋体" w:cs="宋体" w:eastAsia="宋体"/>
                <w:b w:val="false"/>
              </w:rPr>
              <w:t>16,580,656.23份</w:t>
            </w:r>
          </w:p>
        </w:tc>
        <w:tc>
          <w:tcPr>
            <w:tcW w:type="pct" w:w="1500"/>
          </w:tcPr>
          <w:p>
            <w:pPr>
              <w:spacing w:line="240" w:lineRule="auto"/>
              <w:jc w:val="left"/>
            </w:pPr>
            <w:r>
              <w:rPr>
                <w:rFonts w:ascii="宋体" w:hAnsi="宋体" w:cs="宋体" w:eastAsia="宋体"/>
                <w:b w:val="false"/>
              </w:rPr>
              <w:t>35,029,085.97份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tcPr>
          <w:tcPr>
            <w:shd w:fill="d9d9d9"/>
          </w:tcPr>
          <w:p>
            <w:pPr>
              <w:spacing w:line="240" w:lineRule="auto"/>
              <w:jc w:val="center"/>
            </w:pPr>
            <w:r>
              <w:rPr>
                <w:rFonts w:ascii="宋体" w:hAnsi="宋体" w:cs="宋体" w:eastAsia="宋体"/>
                <w:b w:val="false"/>
              </w:rPr>
              <w:t>报告期（2025年01月01日-2025年03月31日）</w:t>
            </w:r>
          </w:p>
        </w:tc>
        <w:tc>
          <w:tcPr>
            <w:hMerge w:val="continue"/>
          </w:tcPr>
          <w:p/>
        </w:tc>
      </w:tr>
      <w:tr>
        <w:tc>
          <w:tcPr>
            <w:vMerge w:val="continue"/>
          </w:tcPr>
          <w:p/>
        </w:tc>
        <w:tc>
          <w:tcPr>
            <w:tcW w:type="pct" w:w="1500"/>
          </w:tcPr>
          <w:tcPr>
            <w:shd w:fill="d9d9d9"/>
          </w:tcPr>
          <w:p>
            <w:pPr>
              <w:spacing w:line="240" w:lineRule="auto"/>
              <w:jc w:val="center"/>
            </w:pPr>
            <w:r>
              <w:rPr>
                <w:rFonts w:ascii="宋体" w:hAnsi="宋体" w:cs="宋体" w:eastAsia="宋体"/>
                <w:b w:val="false"/>
              </w:rPr>
              <w:t>东方阿尔法瑞丰混合发起A</w:t>
            </w:r>
          </w:p>
        </w:tc>
        <w:tc>
          <w:tcPr>
            <w:tcW w:type="pct" w:w="1500"/>
          </w:tcPr>
          <w:tcPr>
            <w:shd w:fill="d9d9d9"/>
          </w:tcPr>
          <w:p>
            <w:pPr>
              <w:spacing w:line="240" w:lineRule="auto"/>
              <w:jc w:val="center"/>
            </w:pPr>
            <w:r>
              <w:rPr>
                <w:rFonts w:ascii="宋体" w:hAnsi="宋体" w:cs="宋体" w:eastAsia="宋体"/>
                <w:b w:val="false"/>
              </w:rPr>
              <w:t>东方阿尔法瑞丰混合发起C</w:t>
            </w:r>
          </w:p>
        </w:tc>
      </w:tr>
      <w:tr>
        <w:tc>
          <w:tcPr>
            <w:tcW/>
          </w:tcPr>
          <w:p>
            <w:pPr>
              <w:spacing w:line="240" w:lineRule="auto"/>
              <w:jc w:val="left"/>
            </w:pPr>
            <w:r>
              <w:rPr>
                <w:rFonts w:ascii="宋体" w:hAnsi="宋体" w:cs="宋体" w:eastAsia="宋体"/>
                <w:b w:val="false"/>
              </w:rPr>
              <w:t>1.本期已实现收益</w:t>
            </w:r>
          </w:p>
        </w:tc>
        <w:tc>
          <w:tcPr>
            <w:tcW w:type="pct" w:w="1500"/>
          </w:tcPr>
          <w:p>
            <w:pPr>
              <w:spacing w:line="240" w:lineRule="auto"/>
              <w:jc w:val="right"/>
            </w:pPr>
            <w:r>
              <w:rPr>
                <w:rFonts w:ascii="宋体" w:hAnsi="宋体" w:cs="宋体" w:eastAsia="宋体"/>
                <w:b w:val="false"/>
              </w:rPr>
              <w:t>950,019.23</w:t>
            </w:r>
          </w:p>
        </w:tc>
        <w:tc>
          <w:tcPr>
            <w:tcW w:type="pct" w:w="1500"/>
          </w:tcPr>
          <w:p>
            <w:pPr>
              <w:spacing w:line="240" w:lineRule="auto"/>
              <w:jc w:val="right"/>
            </w:pPr>
            <w:r>
              <w:rPr>
                <w:rFonts w:ascii="宋体" w:hAnsi="宋体" w:cs="宋体" w:eastAsia="宋体"/>
                <w:b w:val="false"/>
              </w:rPr>
              <w:t>-26,809.89</w:t>
            </w:r>
          </w:p>
        </w:tc>
      </w:tr>
      <w:tr>
        <w:tc>
          <w:tcPr>
            <w:tcW/>
          </w:tcPr>
          <w:p>
            <w:pPr>
              <w:spacing w:line="240" w:lineRule="auto"/>
              <w:jc w:val="left"/>
            </w:pPr>
            <w:r>
              <w:rPr>
                <w:rFonts w:ascii="宋体" w:hAnsi="宋体" w:cs="宋体" w:eastAsia="宋体"/>
                <w:b w:val="false"/>
              </w:rPr>
              <w:t>2.本期利润</w:t>
            </w:r>
          </w:p>
        </w:tc>
        <w:tc>
          <w:tcPr>
            <w:tcW w:type="pct" w:w="1500"/>
          </w:tcPr>
          <w:p>
            <w:pPr>
              <w:spacing w:line="240" w:lineRule="auto"/>
              <w:jc w:val="right"/>
            </w:pPr>
            <w:r>
              <w:rPr>
                <w:rFonts w:ascii="宋体" w:hAnsi="宋体" w:cs="宋体" w:eastAsia="宋体"/>
                <w:b w:val="false"/>
              </w:rPr>
              <w:t>484,110.98</w:t>
            </w:r>
          </w:p>
        </w:tc>
        <w:tc>
          <w:tcPr>
            <w:tcW w:type="pct" w:w="1500"/>
          </w:tcPr>
          <w:p>
            <w:pPr>
              <w:spacing w:line="240" w:lineRule="auto"/>
              <w:jc w:val="right"/>
            </w:pPr>
            <w:r>
              <w:rPr>
                <w:rFonts w:ascii="宋体" w:hAnsi="宋体" w:cs="宋体" w:eastAsia="宋体"/>
                <w:b w:val="false"/>
              </w:rPr>
              <w:t>-2,711,054.72</w:t>
            </w:r>
          </w:p>
        </w:tc>
      </w:tr>
      <w:tr>
        <w:tc>
          <w:tcPr>
            <w:tcW/>
          </w:tcPr>
          <w:p>
            <w:pPr>
              <w:spacing w:line="240" w:lineRule="auto"/>
              <w:jc w:val="left"/>
            </w:pPr>
            <w:r>
              <w:rPr>
                <w:rFonts w:ascii="宋体" w:hAnsi="宋体" w:cs="宋体" w:eastAsia="宋体"/>
                <w:b w:val="false"/>
              </w:rPr>
              <w:t>3.加权平均基金份额本期利润</w:t>
            </w:r>
          </w:p>
        </w:tc>
        <w:tc>
          <w:tcPr>
            <w:tcW w:type="pct" w:w="1500"/>
          </w:tcPr>
          <w:p>
            <w:pPr>
              <w:spacing w:line="240" w:lineRule="auto"/>
              <w:jc w:val="right"/>
            </w:pPr>
            <w:r>
              <w:rPr>
                <w:rFonts w:ascii="宋体" w:hAnsi="宋体" w:cs="宋体" w:eastAsia="宋体"/>
                <w:b w:val="false"/>
              </w:rPr>
              <w:t>0.0345</w:t>
            </w:r>
          </w:p>
        </w:tc>
        <w:tc>
          <w:tcPr>
            <w:tcW w:type="pct" w:w="1500"/>
          </w:tcPr>
          <w:p>
            <w:pPr>
              <w:spacing w:line="240" w:lineRule="auto"/>
              <w:jc w:val="right"/>
            </w:pPr>
            <w:r>
              <w:rPr>
                <w:rFonts w:ascii="宋体" w:hAnsi="宋体" w:cs="宋体" w:eastAsia="宋体"/>
                <w:b w:val="false"/>
              </w:rPr>
              <w:t>-0.3592</w:t>
            </w:r>
          </w:p>
        </w:tc>
      </w:tr>
      <w:tr>
        <w:tc>
          <w:tcPr>
            <w:tcW/>
          </w:tcPr>
          <w:p>
            <w:pPr>
              <w:spacing w:line="240" w:lineRule="auto"/>
              <w:jc w:val="left"/>
            </w:pPr>
            <w:r>
              <w:rPr>
                <w:rFonts w:ascii="宋体" w:hAnsi="宋体" w:cs="宋体" w:eastAsia="宋体"/>
                <w:b w:val="false"/>
              </w:rPr>
              <w:t>4.期末基金资产净值</w:t>
            </w:r>
          </w:p>
        </w:tc>
        <w:tc>
          <w:tcPr>
            <w:tcW w:type="pct" w:w="1500"/>
          </w:tcPr>
          <w:p>
            <w:pPr>
              <w:spacing w:line="240" w:lineRule="auto"/>
              <w:jc w:val="right"/>
            </w:pPr>
            <w:r>
              <w:rPr>
                <w:rFonts w:ascii="宋体" w:hAnsi="宋体" w:cs="宋体" w:eastAsia="宋体"/>
                <w:b w:val="false"/>
              </w:rPr>
              <w:t>15,864,224.39</w:t>
            </w:r>
          </w:p>
        </w:tc>
        <w:tc>
          <w:tcPr>
            <w:tcW w:type="pct" w:w="1500"/>
          </w:tcPr>
          <w:p>
            <w:pPr>
              <w:spacing w:line="240" w:lineRule="auto"/>
              <w:jc w:val="right"/>
            </w:pPr>
            <w:r>
              <w:rPr>
                <w:rFonts w:ascii="宋体" w:hAnsi="宋体" w:cs="宋体" w:eastAsia="宋体"/>
                <w:b w:val="false"/>
              </w:rPr>
              <w:t>33,317,418.11</w:t>
            </w:r>
          </w:p>
        </w:tc>
      </w:tr>
      <w:tr>
        <w:tc>
          <w:tcPr>
            <w:tcW/>
          </w:tcPr>
          <w:p>
            <w:pPr>
              <w:spacing w:line="240" w:lineRule="auto"/>
              <w:jc w:val="left"/>
            </w:pPr>
            <w:r>
              <w:rPr>
                <w:rFonts w:ascii="宋体" w:hAnsi="宋体" w:cs="宋体" w:eastAsia="宋体"/>
                <w:b w:val="false"/>
              </w:rPr>
              <w:t>5.期末基金份额净值</w:t>
            </w:r>
          </w:p>
        </w:tc>
        <w:tc>
          <w:tcPr>
            <w:tcW w:type="pct" w:w="1500"/>
          </w:tcPr>
          <w:p>
            <w:pPr>
              <w:spacing w:line="240" w:lineRule="auto"/>
              <w:jc w:val="right"/>
            </w:pPr>
            <w:r>
              <w:rPr>
                <w:rFonts w:ascii="宋体" w:hAnsi="宋体" w:cs="宋体" w:eastAsia="宋体"/>
                <w:b w:val="false"/>
              </w:rPr>
              <w:t>0.9568</w:t>
            </w:r>
          </w:p>
        </w:tc>
        <w:tc>
          <w:tcPr>
            <w:tcW w:type="pct" w:w="1500"/>
          </w:tcPr>
          <w:p>
            <w:pPr>
              <w:spacing w:line="240" w:lineRule="auto"/>
              <w:jc w:val="right"/>
            </w:pPr>
            <w:r>
              <w:rPr>
                <w:rFonts w:ascii="宋体" w:hAnsi="宋体" w:cs="宋体" w:eastAsia="宋体"/>
                <w:b w:val="false"/>
              </w:rPr>
              <w:t>0.9511</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东方阿尔法瑞丰混合发起A净值表现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8.19%</w:t>
            </w:r>
          </w:p>
        </w:tc>
        <w:tc>
          <w:tcPr>
            <w:tcW/>
          </w:tcPr>
          <w:p>
            <w:pPr>
              <w:spacing w:line="240" w:lineRule="auto"/>
              <w:jc w:val="right"/>
            </w:pPr>
            <w:r>
              <w:rPr>
                <w:rFonts w:ascii="宋体" w:hAnsi="宋体" w:cs="宋体" w:eastAsia="宋体"/>
                <w:b w:val="false"/>
              </w:rPr>
              <w:t>2.29%</w:t>
            </w:r>
          </w:p>
        </w:tc>
        <w:tc>
          <w:tcPr>
            <w:tcW/>
          </w:tcPr>
          <w:p>
            <w:pPr>
              <w:spacing w:line="240" w:lineRule="auto"/>
              <w:jc w:val="right"/>
            </w:pPr>
            <w:r>
              <w:rPr>
                <w:rFonts w:ascii="宋体" w:hAnsi="宋体" w:cs="宋体" w:eastAsia="宋体"/>
                <w:b w:val="false"/>
              </w:rPr>
              <w:t>2.60%</w:t>
            </w:r>
          </w:p>
        </w:tc>
        <w:tc>
          <w:tcPr>
            <w:tcW/>
          </w:tcPr>
          <w:p>
            <w:pPr>
              <w:spacing w:line="240" w:lineRule="auto"/>
              <w:jc w:val="right"/>
            </w:pPr>
            <w:r>
              <w:rPr>
                <w:rFonts w:ascii="宋体" w:hAnsi="宋体" w:cs="宋体" w:eastAsia="宋体"/>
                <w:b w:val="false"/>
              </w:rPr>
              <w:t>0.84%</w:t>
            </w:r>
          </w:p>
        </w:tc>
        <w:tc>
          <w:tcPr>
            <w:tcW/>
          </w:tcPr>
          <w:p>
            <w:pPr>
              <w:spacing w:line="240" w:lineRule="auto"/>
              <w:jc w:val="right"/>
            </w:pPr>
            <w:r>
              <w:rPr>
                <w:rFonts w:ascii="宋体" w:hAnsi="宋体" w:cs="宋体" w:eastAsia="宋体"/>
                <w:b w:val="false"/>
              </w:rPr>
              <w:t>5.59%</w:t>
            </w:r>
          </w:p>
        </w:tc>
        <w:tc>
          <w:tcPr>
            <w:tcW/>
          </w:tcPr>
          <w:p>
            <w:pPr>
              <w:spacing w:line="240" w:lineRule="auto"/>
              <w:jc w:val="right"/>
            </w:pPr>
            <w:r>
              <w:rPr>
                <w:rFonts w:ascii="宋体" w:hAnsi="宋体" w:cs="宋体" w:eastAsia="宋体"/>
                <w:b w:val="false"/>
              </w:rPr>
              <w:t>1.45%</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8.25%</w:t>
            </w:r>
          </w:p>
        </w:tc>
        <w:tc>
          <w:tcPr>
            <w:tcW/>
          </w:tcPr>
          <w:p>
            <w:pPr>
              <w:spacing w:line="240" w:lineRule="auto"/>
              <w:jc w:val="right"/>
            </w:pPr>
            <w:r>
              <w:rPr>
                <w:rFonts w:ascii="宋体" w:hAnsi="宋体" w:cs="宋体" w:eastAsia="宋体"/>
                <w:b w:val="false"/>
              </w:rPr>
              <w:t>1.90%</w:t>
            </w:r>
          </w:p>
        </w:tc>
        <w:tc>
          <w:tcPr>
            <w:tcW/>
          </w:tcPr>
          <w:p>
            <w:pPr>
              <w:spacing w:line="240" w:lineRule="auto"/>
              <w:jc w:val="right"/>
            </w:pPr>
            <w:r>
              <w:rPr>
                <w:rFonts w:ascii="宋体" w:hAnsi="宋体" w:cs="宋体" w:eastAsia="宋体"/>
                <w:b w:val="false"/>
              </w:rPr>
              <w:t>1.86%</w:t>
            </w:r>
          </w:p>
        </w:tc>
        <w:tc>
          <w:tcPr>
            <w:tcW/>
          </w:tcPr>
          <w:p>
            <w:pPr>
              <w:spacing w:line="240" w:lineRule="auto"/>
              <w:jc w:val="right"/>
            </w:pPr>
            <w:r>
              <w:rPr>
                <w:rFonts w:ascii="宋体" w:hAnsi="宋体" w:cs="宋体" w:eastAsia="宋体"/>
                <w:b w:val="false"/>
              </w:rPr>
              <w:t>1.06%</w:t>
            </w:r>
          </w:p>
        </w:tc>
        <w:tc>
          <w:tcPr>
            <w:tcW/>
          </w:tcPr>
          <w:p>
            <w:pPr>
              <w:spacing w:line="240" w:lineRule="auto"/>
              <w:jc w:val="right"/>
            </w:pPr>
            <w:r>
              <w:rPr>
                <w:rFonts w:ascii="宋体" w:hAnsi="宋体" w:cs="宋体" w:eastAsia="宋体"/>
                <w:b w:val="false"/>
              </w:rPr>
              <w:t>6.39%</w:t>
            </w:r>
          </w:p>
        </w:tc>
        <w:tc>
          <w:tcPr>
            <w:tcW/>
          </w:tcPr>
          <w:p>
            <w:pPr>
              <w:spacing w:line="240" w:lineRule="auto"/>
              <w:jc w:val="right"/>
            </w:pPr>
            <w:r>
              <w:rPr>
                <w:rFonts w:ascii="宋体" w:hAnsi="宋体" w:cs="宋体" w:eastAsia="宋体"/>
                <w:b w:val="false"/>
              </w:rPr>
              <w:t>0.84%</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10.68%</w:t>
            </w:r>
          </w:p>
        </w:tc>
        <w:tc>
          <w:tcPr>
            <w:tcW/>
          </w:tcPr>
          <w:p>
            <w:pPr>
              <w:spacing w:line="240" w:lineRule="auto"/>
              <w:jc w:val="right"/>
            </w:pPr>
            <w:r>
              <w:rPr>
                <w:rFonts w:ascii="宋体" w:hAnsi="宋体" w:cs="宋体" w:eastAsia="宋体"/>
                <w:b w:val="false"/>
              </w:rPr>
              <w:t>1.60%</w:t>
            </w:r>
          </w:p>
        </w:tc>
        <w:tc>
          <w:tcPr>
            <w:tcW/>
          </w:tcPr>
          <w:p>
            <w:pPr>
              <w:spacing w:line="240" w:lineRule="auto"/>
              <w:jc w:val="right"/>
            </w:pPr>
            <w:r>
              <w:rPr>
                <w:rFonts w:ascii="宋体" w:hAnsi="宋体" w:cs="宋体" w:eastAsia="宋体"/>
                <w:b w:val="false"/>
              </w:rPr>
              <w:t>15.58%</w:t>
            </w:r>
          </w:p>
        </w:tc>
        <w:tc>
          <w:tcPr>
            <w:tcW/>
          </w:tcPr>
          <w:p>
            <w:pPr>
              <w:spacing w:line="240" w:lineRule="auto"/>
              <w:jc w:val="right"/>
            </w:pPr>
            <w:r>
              <w:rPr>
                <w:rFonts w:ascii="宋体" w:hAnsi="宋体" w:cs="宋体" w:eastAsia="宋体"/>
                <w:b w:val="false"/>
              </w:rPr>
              <w:t>1.01%</w:t>
            </w:r>
          </w:p>
        </w:tc>
        <w:tc>
          <w:tcPr>
            <w:tcW/>
          </w:tcPr>
          <w:p>
            <w:pPr>
              <w:spacing w:line="240" w:lineRule="auto"/>
              <w:jc w:val="right"/>
            </w:pPr>
            <w:r>
              <w:rPr>
                <w:rFonts w:ascii="宋体" w:hAnsi="宋体" w:cs="宋体" w:eastAsia="宋体"/>
                <w:b w:val="false"/>
              </w:rPr>
              <w:t>-4.90%</w:t>
            </w:r>
          </w:p>
        </w:tc>
        <w:tc>
          <w:tcPr>
            <w:tcW/>
          </w:tcPr>
          <w:p>
            <w:pPr>
              <w:spacing w:line="240" w:lineRule="auto"/>
              <w:jc w:val="right"/>
            </w:pPr>
            <w:r>
              <w:rPr>
                <w:rFonts w:ascii="宋体" w:hAnsi="宋体" w:cs="宋体" w:eastAsia="宋体"/>
                <w:b w:val="false"/>
              </w:rPr>
              <w:t>0.59%</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-4.32%</w:t>
            </w:r>
          </w:p>
        </w:tc>
        <w:tc>
          <w:tcPr>
            <w:tcW/>
          </w:tcPr>
          <w:p>
            <w:pPr>
              <w:spacing w:line="240" w:lineRule="auto"/>
              <w:jc w:val="right"/>
            </w:pPr>
            <w:r>
              <w:rPr>
                <w:rFonts w:ascii="宋体" w:hAnsi="宋体" w:cs="宋体" w:eastAsia="宋体"/>
                <w:b w:val="false"/>
              </w:rPr>
              <w:t>1.40%</w:t>
            </w:r>
          </w:p>
        </w:tc>
        <w:tc>
          <w:tcPr>
            <w:tcW/>
          </w:tcPr>
          <w:p>
            <w:pPr>
              <w:spacing w:line="240" w:lineRule="auto"/>
              <w:jc w:val="right"/>
            </w:pPr>
            <w:r>
              <w:rPr>
                <w:rFonts w:ascii="宋体" w:hAnsi="宋体" w:cs="宋体" w:eastAsia="宋体"/>
                <w:b w:val="false"/>
              </w:rPr>
              <w:t>5.18%</w:t>
            </w:r>
          </w:p>
        </w:tc>
        <w:tc>
          <w:tcPr>
            <w:tcW/>
          </w:tcPr>
          <w:p>
            <w:pPr>
              <w:spacing w:line="240" w:lineRule="auto"/>
              <w:jc w:val="right"/>
            </w:pPr>
            <w:r>
              <w:rPr>
                <w:rFonts w:ascii="宋体" w:hAnsi="宋体" w:cs="宋体" w:eastAsia="宋体"/>
                <w:b w:val="false"/>
              </w:rPr>
              <w:t>0.91%</w:t>
            </w:r>
          </w:p>
        </w:tc>
        <w:tc>
          <w:tcPr>
            <w:tcW/>
          </w:tcPr>
          <w:p>
            <w:pPr>
              <w:spacing w:line="240" w:lineRule="auto"/>
              <w:jc w:val="right"/>
            </w:pPr>
            <w:r>
              <w:rPr>
                <w:rFonts w:ascii="宋体" w:hAnsi="宋体" w:cs="宋体" w:eastAsia="宋体"/>
                <w:b w:val="false"/>
              </w:rPr>
              <w:t>-9.50%</w:t>
            </w:r>
          </w:p>
        </w:tc>
        <w:tc>
          <w:tcPr>
            <w:tcW/>
          </w:tcPr>
          <w:p>
            <w:pPr>
              <w:spacing w:line="240" w:lineRule="auto"/>
              <w:jc w:val="right"/>
            </w:pPr>
            <w:r>
              <w:rPr>
                <w:rFonts w:ascii="宋体" w:hAnsi="宋体" w:cs="宋体" w:eastAsia="宋体"/>
                <w:b w:val="false"/>
              </w:rPr>
              <w:t>0.49%</w:t>
            </w:r>
          </w:p>
        </w:tc>
      </w:tr>
    </w:tbl>
    <w:p>
      <w:pPr>
        <w:jc w:val="left"/>
      </w:pPr>
      <w:r>
        <w:rPr>
          <w:rFonts w:ascii="宋体" w:hAnsi="宋体" w:cs="宋体" w:eastAsia="宋体"/>
          <w:b w:val="true"/>
        </w:rPr>
        <w:t>东方阿尔法瑞丰混合发起C净值表现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left"/>
            </w:pPr>
            <w:r>
              <w:rPr>
                <w:rFonts w:ascii="宋体" w:hAnsi="宋体" w:cs="宋体" w:eastAsia="宋体"/>
                <w:b w:val="false"/>
              </w:rPr>
              <w:t>阶段</w:t>
            </w:r>
          </w:p>
        </w:tc>
        <w:tc>
          <w:tcPr>
            <w:tcW w:type="pct" w:w="692"/>
            <w:vAlign w:val="center"/>
          </w:tcPr>
          <w:tcPr>
            <w:shd w:fill="d9d9d9"/>
          </w:tcPr>
          <w:p>
            <w:pPr>
              <w:spacing w:line="240" w:lineRule="auto"/>
              <w:jc w:val="left"/>
            </w:pPr>
            <w:r>
              <w:rPr>
                <w:rFonts w:ascii="宋体" w:hAnsi="宋体" w:cs="宋体" w:eastAsia="宋体"/>
                <w:b w:val="false"/>
              </w:rPr>
              <w:t>净值增长率①</w:t>
            </w:r>
          </w:p>
        </w:tc>
        <w:tc>
          <w:tcPr>
            <w:tcW w:type="pct" w:w="692"/>
            <w:vAlign w:val="center"/>
          </w:tcPr>
          <w:tcPr>
            <w:shd w:fill="d9d9d9"/>
          </w:tcPr>
          <w:p>
            <w:pPr>
              <w:spacing w:line="240" w:lineRule="auto"/>
              <w:jc w:val="left"/>
            </w:pPr>
            <w:r>
              <w:rPr>
                <w:rFonts w:ascii="宋体" w:hAnsi="宋体" w:cs="宋体" w:eastAsia="宋体"/>
                <w:b w:val="false"/>
              </w:rPr>
              <w:t>净值增长率标准差②</w:t>
            </w:r>
          </w:p>
        </w:tc>
        <w:tc>
          <w:tcPr>
            <w:tcW w:type="pct" w:w="692"/>
            <w:vAlign w:val="center"/>
          </w:tcPr>
          <w:tcPr>
            <w:shd w:fill="d9d9d9"/>
          </w:tcPr>
          <w:p>
            <w:pPr>
              <w:spacing w:line="240" w:lineRule="auto"/>
              <w:jc w:val="left"/>
            </w:pPr>
            <w:r>
              <w:rPr>
                <w:rFonts w:ascii="宋体" w:hAnsi="宋体" w:cs="宋体" w:eastAsia="宋体"/>
                <w:b w:val="false"/>
              </w:rPr>
              <w:t>业绩比较基准收益率③</w:t>
            </w:r>
          </w:p>
        </w:tc>
        <w:tc>
          <w:tcPr>
            <w:tcW w:type="pct" w:w="692"/>
            <w:vAlign w:val="center"/>
          </w:tcPr>
          <w:tcPr>
            <w:shd w:fill="d9d9d9"/>
          </w:tcPr>
          <w:p>
            <w:pPr>
              <w:spacing w:line="240" w:lineRule="auto"/>
              <w:jc w:val="left"/>
            </w:pPr>
            <w:r>
              <w:rPr>
                <w:rFonts w:ascii="宋体" w:hAnsi="宋体" w:cs="宋体" w:eastAsia="宋体"/>
                <w:b w:val="false"/>
              </w:rPr>
              <w:t>业绩比较基准收益率标准差④</w:t>
            </w:r>
          </w:p>
        </w:tc>
        <w:tc>
          <w:tcPr>
            <w:tcW w:type="pct" w:w="692"/>
            <w:vAlign w:val="center"/>
          </w:tcPr>
          <w:tcPr>
            <w:shd w:fill="d9d9d9"/>
          </w:tcPr>
          <w:p>
            <w:pPr>
              <w:spacing w:line="240" w:lineRule="auto"/>
              <w:jc w:val="left"/>
            </w:pPr>
            <w:r>
              <w:rPr>
                <w:rFonts w:ascii="宋体" w:hAnsi="宋体" w:cs="宋体" w:eastAsia="宋体"/>
                <w:b w:val="false"/>
              </w:rPr>
              <w:t>①-③</w:t>
            </w:r>
          </w:p>
        </w:tc>
        <w:tc>
          <w:tcPr>
            <w:tcW w:type="pct" w:w="692"/>
            <w:vAlign w:val="center"/>
          </w:tcPr>
          <w:tcPr>
            <w:shd w:fill="d9d9d9"/>
          </w:tcPr>
          <w:p>
            <w:pPr>
              <w:spacing w:line="240" w:lineRule="auto"/>
              <w:jc w:val="left"/>
            </w:pPr>
            <w:r>
              <w:rPr>
                <w:rFonts w:ascii="宋体" w:hAnsi="宋体" w:cs="宋体" w:eastAsia="宋体"/>
                <w:b w:val="false"/>
              </w:rPr>
              <w:t>②-④</w:t>
            </w:r>
          </w:p>
        </w:tc>
      </w:tr>
      <w:tr>
        <w:tc>
          <w:tcPr>
            <w:tcW/>
          </w:tcPr>
          <w:p>
            <w:pPr>
              <w:spacing w:line="240" w:lineRule="auto"/>
              <w:jc w:val="left"/>
            </w:pPr>
            <w:r>
              <w:rPr>
                <w:rFonts w:ascii="宋体" w:hAnsi="宋体" w:cs="宋体" w:eastAsia="宋体"/>
                <w:b w:val="false"/>
              </w:rPr>
              <w:t>过去三个月</w:t>
            </w:r>
          </w:p>
        </w:tc>
        <w:tc>
          <w:tcPr>
            <w:tcW/>
          </w:tcPr>
          <w:p>
            <w:pPr>
              <w:spacing w:line="240" w:lineRule="auto"/>
              <w:jc w:val="right"/>
            </w:pPr>
            <w:r>
              <w:rPr>
                <w:rFonts w:ascii="宋体" w:hAnsi="宋体" w:cs="宋体" w:eastAsia="宋体"/>
                <w:b w:val="false"/>
              </w:rPr>
              <w:t>8.07%</w:t>
            </w:r>
          </w:p>
        </w:tc>
        <w:tc>
          <w:tcPr>
            <w:tcW/>
          </w:tcPr>
          <w:p>
            <w:pPr>
              <w:spacing w:line="240" w:lineRule="auto"/>
              <w:jc w:val="right"/>
            </w:pPr>
            <w:r>
              <w:rPr>
                <w:rFonts w:ascii="宋体" w:hAnsi="宋体" w:cs="宋体" w:eastAsia="宋体"/>
                <w:b w:val="false"/>
              </w:rPr>
              <w:t>2.29%</w:t>
            </w:r>
          </w:p>
        </w:tc>
        <w:tc>
          <w:tcPr>
            <w:tcW/>
          </w:tcPr>
          <w:p>
            <w:pPr>
              <w:spacing w:line="240" w:lineRule="auto"/>
              <w:jc w:val="right"/>
            </w:pPr>
            <w:r>
              <w:rPr>
                <w:rFonts w:ascii="宋体" w:hAnsi="宋体" w:cs="宋体" w:eastAsia="宋体"/>
                <w:b w:val="false"/>
              </w:rPr>
              <w:t>2.60%</w:t>
            </w:r>
          </w:p>
        </w:tc>
        <w:tc>
          <w:tcPr>
            <w:tcW/>
          </w:tcPr>
          <w:p>
            <w:pPr>
              <w:spacing w:line="240" w:lineRule="auto"/>
              <w:jc w:val="right"/>
            </w:pPr>
            <w:r>
              <w:rPr>
                <w:rFonts w:ascii="宋体" w:hAnsi="宋体" w:cs="宋体" w:eastAsia="宋体"/>
                <w:b w:val="false"/>
              </w:rPr>
              <w:t>0.84%</w:t>
            </w:r>
          </w:p>
        </w:tc>
        <w:tc>
          <w:tcPr>
            <w:tcW/>
          </w:tcPr>
          <w:p>
            <w:pPr>
              <w:spacing w:line="240" w:lineRule="auto"/>
              <w:jc w:val="right"/>
            </w:pPr>
            <w:r>
              <w:rPr>
                <w:rFonts w:ascii="宋体" w:hAnsi="宋体" w:cs="宋体" w:eastAsia="宋体"/>
                <w:b w:val="false"/>
              </w:rPr>
              <w:t>5.47%</w:t>
            </w:r>
          </w:p>
        </w:tc>
        <w:tc>
          <w:tcPr>
            <w:tcW/>
          </w:tcPr>
          <w:p>
            <w:pPr>
              <w:spacing w:line="240" w:lineRule="auto"/>
              <w:jc w:val="right"/>
            </w:pPr>
            <w:r>
              <w:rPr>
                <w:rFonts w:ascii="宋体" w:hAnsi="宋体" w:cs="宋体" w:eastAsia="宋体"/>
                <w:b w:val="false"/>
              </w:rPr>
              <w:t>1.45%</w:t>
            </w:r>
          </w:p>
        </w:tc>
      </w:tr>
      <w:tr>
        <w:tc>
          <w:tcPr>
            <w:tcW/>
          </w:tcPr>
          <w:p>
            <w:pPr>
              <w:spacing w:line="240" w:lineRule="auto"/>
              <w:jc w:val="left"/>
            </w:pPr>
            <w:r>
              <w:rPr>
                <w:rFonts w:ascii="宋体" w:hAnsi="宋体" w:cs="宋体" w:eastAsia="宋体"/>
                <w:b w:val="false"/>
              </w:rPr>
              <w:t>过去六个月</w:t>
            </w:r>
          </w:p>
        </w:tc>
        <w:tc>
          <w:tcPr>
            <w:tcW/>
          </w:tcPr>
          <w:p>
            <w:pPr>
              <w:spacing w:line="240" w:lineRule="auto"/>
              <w:jc w:val="right"/>
            </w:pPr>
            <w:r>
              <w:rPr>
                <w:rFonts w:ascii="宋体" w:hAnsi="宋体" w:cs="宋体" w:eastAsia="宋体"/>
                <w:b w:val="false"/>
              </w:rPr>
              <w:t>8.28%</w:t>
            </w:r>
          </w:p>
        </w:tc>
        <w:tc>
          <w:tcPr>
            <w:tcW/>
          </w:tcPr>
          <w:p>
            <w:pPr>
              <w:spacing w:line="240" w:lineRule="auto"/>
              <w:jc w:val="right"/>
            </w:pPr>
            <w:r>
              <w:rPr>
                <w:rFonts w:ascii="宋体" w:hAnsi="宋体" w:cs="宋体" w:eastAsia="宋体"/>
                <w:b w:val="false"/>
              </w:rPr>
              <w:t>1.90%</w:t>
            </w:r>
          </w:p>
        </w:tc>
        <w:tc>
          <w:tcPr>
            <w:tcW/>
          </w:tcPr>
          <w:p>
            <w:pPr>
              <w:spacing w:line="240" w:lineRule="auto"/>
              <w:jc w:val="right"/>
            </w:pPr>
            <w:r>
              <w:rPr>
                <w:rFonts w:ascii="宋体" w:hAnsi="宋体" w:cs="宋体" w:eastAsia="宋体"/>
                <w:b w:val="false"/>
              </w:rPr>
              <w:t>1.86%</w:t>
            </w:r>
          </w:p>
        </w:tc>
        <w:tc>
          <w:tcPr>
            <w:tcW/>
          </w:tcPr>
          <w:p>
            <w:pPr>
              <w:spacing w:line="240" w:lineRule="auto"/>
              <w:jc w:val="right"/>
            </w:pPr>
            <w:r>
              <w:rPr>
                <w:rFonts w:ascii="宋体" w:hAnsi="宋体" w:cs="宋体" w:eastAsia="宋体"/>
                <w:b w:val="false"/>
              </w:rPr>
              <w:t>1.06%</w:t>
            </w:r>
          </w:p>
        </w:tc>
        <w:tc>
          <w:tcPr>
            <w:tcW/>
          </w:tcPr>
          <w:p>
            <w:pPr>
              <w:spacing w:line="240" w:lineRule="auto"/>
              <w:jc w:val="right"/>
            </w:pPr>
            <w:r>
              <w:rPr>
                <w:rFonts w:ascii="宋体" w:hAnsi="宋体" w:cs="宋体" w:eastAsia="宋体"/>
                <w:b w:val="false"/>
              </w:rPr>
              <w:t>6.42%</w:t>
            </w:r>
          </w:p>
        </w:tc>
        <w:tc>
          <w:tcPr>
            <w:tcW/>
          </w:tcPr>
          <w:p>
            <w:pPr>
              <w:spacing w:line="240" w:lineRule="auto"/>
              <w:jc w:val="right"/>
            </w:pPr>
            <w:r>
              <w:rPr>
                <w:rFonts w:ascii="宋体" w:hAnsi="宋体" w:cs="宋体" w:eastAsia="宋体"/>
                <w:b w:val="false"/>
              </w:rPr>
              <w:t>0.84%</w:t>
            </w:r>
          </w:p>
        </w:tc>
      </w:tr>
      <w:tr>
        <w:tc>
          <w:tcPr>
            <w:tcW/>
          </w:tcPr>
          <w:p>
            <w:pPr>
              <w:spacing w:line="240" w:lineRule="auto"/>
              <w:jc w:val="left"/>
            </w:pPr>
            <w:r>
              <w:rPr>
                <w:rFonts w:ascii="宋体" w:hAnsi="宋体" w:cs="宋体" w:eastAsia="宋体"/>
                <w:b w:val="false"/>
              </w:rPr>
              <w:t>过去一年</w:t>
            </w:r>
          </w:p>
        </w:tc>
        <w:tc>
          <w:tcPr>
            <w:tcW/>
          </w:tcPr>
          <w:p>
            <w:pPr>
              <w:spacing w:line="240" w:lineRule="auto"/>
              <w:jc w:val="right"/>
            </w:pPr>
            <w:r>
              <w:rPr>
                <w:rFonts w:ascii="宋体" w:hAnsi="宋体" w:cs="宋体" w:eastAsia="宋体"/>
                <w:b w:val="false"/>
              </w:rPr>
              <w:t>10.48%</w:t>
            </w:r>
          </w:p>
        </w:tc>
        <w:tc>
          <w:tcPr>
            <w:tcW/>
          </w:tcPr>
          <w:p>
            <w:pPr>
              <w:spacing w:line="240" w:lineRule="auto"/>
              <w:jc w:val="right"/>
            </w:pPr>
            <w:r>
              <w:rPr>
                <w:rFonts w:ascii="宋体" w:hAnsi="宋体" w:cs="宋体" w:eastAsia="宋体"/>
                <w:b w:val="false"/>
              </w:rPr>
              <w:t>1.60%</w:t>
            </w:r>
          </w:p>
        </w:tc>
        <w:tc>
          <w:tcPr>
            <w:tcW/>
          </w:tcPr>
          <w:p>
            <w:pPr>
              <w:spacing w:line="240" w:lineRule="auto"/>
              <w:jc w:val="right"/>
            </w:pPr>
            <w:r>
              <w:rPr>
                <w:rFonts w:ascii="宋体" w:hAnsi="宋体" w:cs="宋体" w:eastAsia="宋体"/>
                <w:b w:val="false"/>
              </w:rPr>
              <w:t>15.58%</w:t>
            </w:r>
          </w:p>
        </w:tc>
        <w:tc>
          <w:tcPr>
            <w:tcW/>
          </w:tcPr>
          <w:p>
            <w:pPr>
              <w:spacing w:line="240" w:lineRule="auto"/>
              <w:jc w:val="right"/>
            </w:pPr>
            <w:r>
              <w:rPr>
                <w:rFonts w:ascii="宋体" w:hAnsi="宋体" w:cs="宋体" w:eastAsia="宋体"/>
                <w:b w:val="false"/>
              </w:rPr>
              <w:t>1.01%</w:t>
            </w:r>
          </w:p>
        </w:tc>
        <w:tc>
          <w:tcPr>
            <w:tcW/>
          </w:tcPr>
          <w:p>
            <w:pPr>
              <w:spacing w:line="240" w:lineRule="auto"/>
              <w:jc w:val="right"/>
            </w:pPr>
            <w:r>
              <w:rPr>
                <w:rFonts w:ascii="宋体" w:hAnsi="宋体" w:cs="宋体" w:eastAsia="宋体"/>
                <w:b w:val="false"/>
              </w:rPr>
              <w:t>-5.10%</w:t>
            </w:r>
          </w:p>
        </w:tc>
        <w:tc>
          <w:tcPr>
            <w:tcW/>
          </w:tcPr>
          <w:p>
            <w:pPr>
              <w:spacing w:line="240" w:lineRule="auto"/>
              <w:jc w:val="right"/>
            </w:pPr>
            <w:r>
              <w:rPr>
                <w:rFonts w:ascii="宋体" w:hAnsi="宋体" w:cs="宋体" w:eastAsia="宋体"/>
                <w:b w:val="false"/>
              </w:rPr>
              <w:t>0.59%</w:t>
            </w:r>
          </w:p>
        </w:tc>
      </w:tr>
      <w:tr>
        <w:tc>
          <w:tcPr>
            <w:tcW/>
          </w:tcPr>
          <w:p>
            <w:pPr>
              <w:spacing w:line="240" w:lineRule="auto"/>
              <w:jc w:val="left"/>
            </w:pPr>
            <w:r>
              <w:rPr>
                <w:rFonts w:ascii="宋体" w:hAnsi="宋体" w:cs="宋体" w:eastAsia="宋体"/>
                <w:b w:val="false"/>
              </w:rPr>
              <w:t>自基金合同生效起至今</w:t>
            </w:r>
          </w:p>
        </w:tc>
        <w:tc>
          <w:tcPr>
            <w:tcW/>
          </w:tcPr>
          <w:p>
            <w:pPr>
              <w:spacing w:line="240" w:lineRule="auto"/>
              <w:jc w:val="right"/>
            </w:pPr>
            <w:r>
              <w:rPr>
                <w:rFonts w:ascii="宋体" w:hAnsi="宋体" w:cs="宋体" w:eastAsia="宋体"/>
                <w:b w:val="false"/>
              </w:rPr>
              <w:t>-4.89%</w:t>
            </w:r>
          </w:p>
        </w:tc>
        <w:tc>
          <w:tcPr>
            <w:tcW/>
          </w:tcPr>
          <w:p>
            <w:pPr>
              <w:spacing w:line="240" w:lineRule="auto"/>
              <w:jc w:val="right"/>
            </w:pPr>
            <w:r>
              <w:rPr>
                <w:rFonts w:ascii="宋体" w:hAnsi="宋体" w:cs="宋体" w:eastAsia="宋体"/>
                <w:b w:val="false"/>
              </w:rPr>
              <w:t>1.40%</w:t>
            </w:r>
          </w:p>
        </w:tc>
        <w:tc>
          <w:tcPr>
            <w:tcW/>
          </w:tcPr>
          <w:p>
            <w:pPr>
              <w:spacing w:line="240" w:lineRule="auto"/>
              <w:jc w:val="right"/>
            </w:pPr>
            <w:r>
              <w:rPr>
                <w:rFonts w:ascii="宋体" w:hAnsi="宋体" w:cs="宋体" w:eastAsia="宋体"/>
                <w:b w:val="false"/>
              </w:rPr>
              <w:t>5.18%</w:t>
            </w:r>
          </w:p>
        </w:tc>
        <w:tc>
          <w:tcPr>
            <w:tcW/>
          </w:tcPr>
          <w:p>
            <w:pPr>
              <w:spacing w:line="240" w:lineRule="auto"/>
              <w:jc w:val="right"/>
            </w:pPr>
            <w:r>
              <w:rPr>
                <w:rFonts w:ascii="宋体" w:hAnsi="宋体" w:cs="宋体" w:eastAsia="宋体"/>
                <w:b w:val="false"/>
              </w:rPr>
              <w:t>0.91%</w:t>
            </w:r>
          </w:p>
        </w:tc>
        <w:tc>
          <w:tcPr>
            <w:tcW/>
          </w:tcPr>
          <w:p>
            <w:pPr>
              <w:spacing w:line="240" w:lineRule="auto"/>
              <w:jc w:val="right"/>
            </w:pPr>
            <w:r>
              <w:rPr>
                <w:rFonts w:ascii="宋体" w:hAnsi="宋体" w:cs="宋体" w:eastAsia="宋体"/>
                <w:b w:val="false"/>
              </w:rPr>
              <w:t>-10.07%</w:t>
            </w:r>
          </w:p>
        </w:tc>
        <w:tc>
          <w:tcPr>
            <w:tcW/>
          </w:tcPr>
          <w:p>
            <w:pPr>
              <w:spacing w:line="240" w:lineRule="auto"/>
              <w:jc w:val="right"/>
            </w:pPr>
            <w:r>
              <w:rPr>
                <w:rFonts w:ascii="宋体" w:hAnsi="宋体" w:cs="宋体" w:eastAsia="宋体"/>
                <w:b w:val="false"/>
              </w:rPr>
              <w:t>0.49%</w:t>
            </w:r>
          </w:p>
        </w:tc>
      </w:tr>
    </w:tbl>
    <w:p>
      <w:r>
        <w:rPr>
          <w:rFonts w:ascii="宋体" w:hAnsi="宋体" w:cs="宋体" w:eastAsia="宋体"/>
          <w:b w:val="false"/>
        </w:rPr>
        <w:t>注：本基金的业绩比较基准为：中证800指数收益率×60%+中证综合债券指数收益率×20%+恒生指数收益率×20%。</w:t>
        <w:cr/>
      </w:r>
      <w:r>
        <w:rPr>
          <w:rFonts w:ascii="宋体" w:hAnsi="宋体" w:cs="宋体" w:eastAsia="宋体"/>
          <w:b w:val="false"/>
        </w:rPr>
        <w:t>2、本基金自2023年5月12日成立至今尚未满三年，无过去三年和过去五年的净值表现。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孙振波</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2023-05-12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春节期间，以DeepSeek为代表的中国AI企业凭借技术突破和创新成果，引发了全球投资者对中国科技股的重新评估。外资机构纷纷上调中国科技股评级，认为中国AI技术的“斯普特尼克时刻”已至。随着AI技术从实验室走向应用，市场对中国科技资产的定价逻辑正在剧变，其全球竞争力也正被重新定义。之后Manus的Agent能力则展现了AI应用未来应用场景的广泛性， B端AGI产品渗透率有望持续提升。2025年，国内外巨头AI军备竞赛仍如火如荼，AI板块进入算力－应用正循环，大模型成本下降及推理能力提升，可以使得AI应用的Agent产品不断出，甚至在不远的将来达到AGI的能力。</w:t>
        <w:cr/>
      </w:r>
      <w:r>
        <w:rPr>
          <w:rFonts w:ascii="宋体" w:hAnsi="宋体" w:cs="宋体" w:eastAsia="宋体"/>
          <w:b w:val="false"/>
        </w:rPr>
        <w:t xml:space="preserve">    本基金一季度报告期操作汇报如下：</w:t>
        <w:cr/>
      </w:r>
      <w:r>
        <w:rPr>
          <w:rFonts w:ascii="宋体" w:hAnsi="宋体" w:cs="宋体" w:eastAsia="宋体"/>
          <w:b w:val="false"/>
        </w:rPr>
        <w:t xml:space="preserve">    一、加配港股互联网龙头。这类龙头公司拥有庞大的用户生态基础，同时其自研模型不断进步，未来现象级AI应用有希望诞生于这些公司之中。</w:t>
        <w:cr/>
      </w:r>
      <w:r>
        <w:rPr>
          <w:rFonts w:ascii="宋体" w:hAnsi="宋体" w:cs="宋体" w:eastAsia="宋体"/>
          <w:b w:val="false"/>
        </w:rPr>
        <w:t xml:space="preserve">    二、加配ERP软件服务公司。国内ERP软件服务公司在不断提升其市占率以及基于上云的SaaS比率，具备产品优势与AI商业化潜力。</w:t>
        <w:cr/>
      </w:r>
      <w:r>
        <w:rPr>
          <w:rFonts w:ascii="宋体" w:hAnsi="宋体" w:cs="宋体" w:eastAsia="宋体"/>
          <w:b w:val="false"/>
        </w:rPr>
        <w:t xml:space="preserve">    三、加配垂类软件服务公司。这部分公司在垂类方向同样具有较强壁垒的用户生态基础，AI赋能也更容易在垂类方向实现功能的落地。</w:t>
        <w:cr/>
      </w:r>
      <w:r>
        <w:rPr>
          <w:rFonts w:ascii="宋体" w:hAnsi="宋体" w:cs="宋体" w:eastAsia="宋体"/>
          <w:b w:val="false"/>
        </w:rPr>
        <w:t xml:space="preserve">    总结来看，中美贸易战使得内外部环境都面临较大的不确定性，内需消费前期受制于收入预期悲观以及房价下跌，增长动力较为疲软，目前虽然有一定改善，且在一些新消费方向出现了较好的机会，但是考虑到科技行业的基本面积极变化，管理人将在后期将主要投资方向调整到科技行业。管理人看好港股互联网龙头与AI应用软件等方向的投资机会，密切关注行业和公司的变化，努力为投资人创造良好的回报。</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瑞丰混合发起A基金份额净值为0.9568元，本报告期内，该类基金份额净值增长率为8.19%，同期业绩比较基准收益率为2.60%；截至报告期末东方阿尔法瑞丰混合发起C基金份额净值为0.9511元，本报告期内，该类基金份额净值增长率为8.07%，同期业绩比较基准收益率为2.60%。</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45,435,130.42</w:t>
            </w:r>
          </w:p>
        </w:tc>
        <w:tc>
          <w:tcPr>
            <w:tcW/>
            <w:vAlign w:val="center"/>
          </w:tcPr>
          <w:p>
            <w:pPr>
              <w:spacing w:line="240" w:lineRule="auto"/>
              <w:jc w:val="right"/>
            </w:pPr>
            <w:r>
              <w:rPr>
                <w:rFonts w:ascii="宋体" w:hAnsi="宋体" w:cs="宋体" w:eastAsia="宋体"/>
                <w:b w:val="false"/>
              </w:rPr>
              <w:t>90.38</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45,435,130.42</w:t>
            </w:r>
          </w:p>
        </w:tc>
        <w:tc>
          <w:tcPr>
            <w:tcW/>
            <w:vAlign w:val="center"/>
          </w:tcPr>
          <w:p>
            <w:pPr>
              <w:spacing w:line="240" w:lineRule="auto"/>
              <w:jc w:val="right"/>
            </w:pPr>
            <w:r>
              <w:rPr>
                <w:rFonts w:ascii="宋体" w:hAnsi="宋体" w:cs="宋体" w:eastAsia="宋体"/>
                <w:b w:val="false"/>
              </w:rPr>
              <w:t>90.38</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2,517,191.50</w:t>
            </w:r>
          </w:p>
        </w:tc>
        <w:tc>
          <w:tcPr>
            <w:tcW/>
            <w:vAlign w:val="center"/>
          </w:tcPr>
          <w:p>
            <w:pPr>
              <w:spacing w:line="240" w:lineRule="auto"/>
              <w:jc w:val="right"/>
            </w:pPr>
            <w:r>
              <w:rPr>
                <w:rFonts w:ascii="宋体" w:hAnsi="宋体" w:cs="宋体" w:eastAsia="宋体"/>
                <w:b w:val="false"/>
              </w:rPr>
              <w:t>5.01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2,517,191.50</w:t>
            </w:r>
          </w:p>
        </w:tc>
        <w:tc>
          <w:tcPr>
            <w:tcW/>
            <w:vAlign w:val="center"/>
          </w:tcPr>
          <w:p>
            <w:pPr>
              <w:spacing w:line="240" w:lineRule="auto"/>
              <w:jc w:val="right"/>
            </w:pPr>
            <w:r>
              <w:rPr>
                <w:rFonts w:ascii="宋体" w:hAnsi="宋体" w:cs="宋体" w:eastAsia="宋体"/>
                <w:b w:val="false"/>
              </w:rPr>
              <w:t>5.01</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1,982,617.18</w:t>
            </w:r>
          </w:p>
        </w:tc>
        <w:tc>
          <w:tcPr>
            <w:tcW/>
            <w:vAlign w:val="center"/>
          </w:tcPr>
          <w:p>
            <w:pPr>
              <w:spacing w:line="240" w:lineRule="auto"/>
              <w:jc w:val="right"/>
            </w:pPr>
            <w:r>
              <w:rPr>
                <w:rFonts w:ascii="宋体" w:hAnsi="宋体" w:cs="宋体" w:eastAsia="宋体"/>
                <w:b w:val="false"/>
              </w:rPr>
              <w:t>3.94</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334,115.83</w:t>
            </w:r>
          </w:p>
        </w:tc>
        <w:tc>
          <w:tcPr>
            <w:tcW/>
            <w:vAlign w:val="center"/>
          </w:tcPr>
          <w:p>
            <w:pPr>
              <w:spacing w:line="240" w:lineRule="auto"/>
              <w:jc w:val="right"/>
            </w:pPr>
            <w:r>
              <w:rPr>
                <w:rFonts w:ascii="宋体" w:hAnsi="宋体" w:cs="宋体" w:eastAsia="宋体"/>
                <w:b w:val="false"/>
              </w:rPr>
              <w:t>0.66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50,269,054.93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注：报告期末本基金通过港股通交易机制投资的港股公允价值合计21,624,195.51元，占基金资产净值的比例为43.97%。</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tcPr>
          <w:tcPr>
            <w:shd w:fill="d9d9d9"/>
          </w:tcPr>
          <w:p>
            <w:pPr>
              <w:spacing w:line="240" w:lineRule="auto"/>
              <w:jc w:val="center"/>
            </w:pPr>
            <w:r>
              <w:rPr>
                <w:rFonts w:ascii="宋体" w:hAnsi="宋体" w:cs="宋体" w:eastAsia="宋体"/>
                <w:b w:val="false"/>
              </w:rPr>
              <w:t>代码</w:t>
            </w:r>
          </w:p>
        </w:tc>
        <w:tc>
          <w:tcPr>
            <w:tcW w:type="pct" w:w="1538"/>
          </w:tcPr>
          <w:tcPr>
            <w:shd w:fill="d9d9d9"/>
          </w:tcPr>
          <w:p>
            <w:pPr>
              <w:spacing w:line="240" w:lineRule="auto"/>
              <w:jc w:val="center"/>
            </w:pPr>
            <w:r>
              <w:rPr>
                <w:rFonts w:ascii="宋体" w:hAnsi="宋体" w:cs="宋体" w:eastAsia="宋体"/>
                <w:b w:val="false"/>
              </w:rPr>
              <w:t>行业类别</w:t>
            </w:r>
          </w:p>
        </w:tc>
        <w:tc>
          <w:tcPr>
            <w:tcW w:type="pct" w:w="923"/>
          </w:tcPr>
          <w:tcPr>
            <w:shd w:fill="d9d9d9"/>
          </w:tcPr>
          <w:p>
            <w:pPr>
              <w:spacing w:line="240" w:lineRule="auto"/>
              <w:jc w:val="center"/>
            </w:pPr>
            <w:r>
              <w:rPr>
                <w:rFonts w:ascii="宋体" w:hAnsi="宋体" w:cs="宋体" w:eastAsia="宋体"/>
                <w:b w:val="false"/>
              </w:rPr>
              <w:t>公允价值(元)</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A</w:t>
            </w:r>
          </w:p>
        </w:tc>
        <w:tc>
          <w:tcPr>
            <w:tcW/>
          </w:tcPr>
          <w:p>
            <w:pPr>
              <w:spacing w:line="240" w:lineRule="auto"/>
              <w:jc w:val="left"/>
            </w:pPr>
            <w:r>
              <w:rPr>
                <w:rFonts w:ascii="宋体" w:hAnsi="宋体" w:cs="宋体" w:eastAsia="宋体"/>
                <w:b w:val="false"/>
              </w:rPr>
              <w:t>农、林、牧、渔业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B</w:t>
            </w:r>
          </w:p>
        </w:tc>
        <w:tc>
          <w:tcPr>
            <w:tcW/>
          </w:tcPr>
          <w:p>
            <w:pPr>
              <w:spacing w:line="240" w:lineRule="auto"/>
              <w:jc w:val="left"/>
            </w:pPr>
            <w:r>
              <w:rPr>
                <w:rFonts w:ascii="宋体" w:hAnsi="宋体" w:cs="宋体" w:eastAsia="宋体"/>
                <w:b w:val="false"/>
              </w:rPr>
              <w:t>采矿业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C</w:t>
            </w:r>
          </w:p>
        </w:tc>
        <w:tc>
          <w:tcPr>
            <w:tcW/>
          </w:tcPr>
          <w:p>
            <w:pPr>
              <w:spacing w:line="240" w:lineRule="auto"/>
              <w:jc w:val="left"/>
            </w:pPr>
            <w:r>
              <w:rPr>
                <w:rFonts w:ascii="宋体" w:hAnsi="宋体" w:cs="宋体" w:eastAsia="宋体"/>
                <w:b w:val="false"/>
              </w:rPr>
              <w:t>制造业</w:t>
            </w:r>
          </w:p>
        </w:tc>
        <w:tc>
          <w:tcPr>
            <w:tcW/>
          </w:tcPr>
          <w:p>
            <w:pPr>
              <w:spacing w:line="240" w:lineRule="auto"/>
              <w:jc w:val="right"/>
            </w:pPr>
            <w:r>
              <w:rPr>
                <w:rFonts w:ascii="宋体" w:hAnsi="宋体" w:cs="宋体" w:eastAsia="宋体"/>
                <w:b w:val="false"/>
              </w:rPr>
              <w:t>712,720.00</w:t>
            </w:r>
          </w:p>
        </w:tc>
        <w:tc>
          <w:tcPr>
            <w:tcW/>
          </w:tcPr>
          <w:p>
            <w:pPr>
              <w:spacing w:line="240" w:lineRule="auto"/>
              <w:jc w:val="right"/>
            </w:pPr>
            <w:r>
              <w:rPr>
                <w:rFonts w:ascii="宋体" w:hAnsi="宋体" w:cs="宋体" w:eastAsia="宋体"/>
                <w:b w:val="false"/>
              </w:rPr>
              <w:t>1.45</w:t>
            </w:r>
          </w:p>
        </w:tc>
      </w:tr>
      <w:tr>
        <w:tc>
          <w:tcPr>
            <w:tcW/>
          </w:tcPr>
          <w:p>
            <w:pPr>
              <w:spacing w:line="240" w:lineRule="auto"/>
              <w:jc w:val="center"/>
            </w:pPr>
            <w:r>
              <w:rPr>
                <w:rFonts w:ascii="宋体" w:hAnsi="宋体" w:cs="宋体" w:eastAsia="宋体"/>
                <w:b w:val="false"/>
              </w:rPr>
              <w:t>D</w:t>
            </w:r>
          </w:p>
        </w:tc>
        <w:tc>
          <w:tcPr>
            <w:tcW/>
          </w:tcPr>
          <w:p>
            <w:pPr>
              <w:spacing w:line="240" w:lineRule="auto"/>
              <w:jc w:val="left"/>
            </w:pPr>
            <w:r>
              <w:rPr>
                <w:rFonts w:ascii="宋体" w:hAnsi="宋体" w:cs="宋体" w:eastAsia="宋体"/>
                <w:b w:val="false"/>
              </w:rPr>
              <w:t>电力、热力、燃气及水生产和供应业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E</w:t>
            </w:r>
          </w:p>
        </w:tc>
        <w:tc>
          <w:tcPr>
            <w:tcW/>
          </w:tcPr>
          <w:p>
            <w:pPr>
              <w:spacing w:line="240" w:lineRule="auto"/>
              <w:jc w:val="left"/>
            </w:pPr>
            <w:r>
              <w:rPr>
                <w:rFonts w:ascii="宋体" w:hAnsi="宋体" w:cs="宋体" w:eastAsia="宋体"/>
                <w:b w:val="false"/>
              </w:rPr>
              <w:t>建筑业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F</w:t>
            </w:r>
          </w:p>
        </w:tc>
        <w:tc>
          <w:tcPr>
            <w:tcW/>
          </w:tcPr>
          <w:p>
            <w:pPr>
              <w:spacing w:line="240" w:lineRule="auto"/>
              <w:jc w:val="left"/>
            </w:pPr>
            <w:r>
              <w:rPr>
                <w:rFonts w:ascii="宋体" w:hAnsi="宋体" w:cs="宋体" w:eastAsia="宋体"/>
                <w:b w:val="false"/>
              </w:rPr>
              <w:t>批发和零售业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G</w:t>
            </w:r>
          </w:p>
        </w:tc>
        <w:tc>
          <w:tcPr>
            <w:tcW/>
          </w:tcPr>
          <w:p>
            <w:pPr>
              <w:spacing w:line="240" w:lineRule="auto"/>
              <w:jc w:val="left"/>
            </w:pPr>
            <w:r>
              <w:rPr>
                <w:rFonts w:ascii="宋体" w:hAnsi="宋体" w:cs="宋体" w:eastAsia="宋体"/>
                <w:b w:val="false"/>
              </w:rPr>
              <w:t>交通运输、仓储和邮政业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H</w:t>
            </w:r>
          </w:p>
        </w:tc>
        <w:tc>
          <w:tcPr>
            <w:tcW/>
          </w:tcPr>
          <w:p>
            <w:pPr>
              <w:spacing w:line="240" w:lineRule="auto"/>
              <w:jc w:val="left"/>
            </w:pPr>
            <w:r>
              <w:rPr>
                <w:rFonts w:ascii="宋体" w:hAnsi="宋体" w:cs="宋体" w:eastAsia="宋体"/>
                <w:b w:val="false"/>
              </w:rPr>
              <w:t>住宿和餐饮业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I</w:t>
            </w:r>
          </w:p>
        </w:tc>
        <w:tc>
          <w:tcPr>
            <w:tcW/>
          </w:tcPr>
          <w:p>
            <w:pPr>
              <w:spacing w:line="240" w:lineRule="auto"/>
              <w:jc w:val="left"/>
            </w:pPr>
            <w:r>
              <w:rPr>
                <w:rFonts w:ascii="宋体" w:hAnsi="宋体" w:cs="宋体" w:eastAsia="宋体"/>
                <w:b w:val="false"/>
              </w:rPr>
              <w:t>信息传输、软件和信息技术服务业</w:t>
            </w:r>
          </w:p>
        </w:tc>
        <w:tc>
          <w:tcPr>
            <w:tcW/>
          </w:tcPr>
          <w:p>
            <w:pPr>
              <w:spacing w:line="240" w:lineRule="auto"/>
              <w:jc w:val="right"/>
            </w:pPr>
            <w:r>
              <w:rPr>
                <w:rFonts w:ascii="宋体" w:hAnsi="宋体" w:cs="宋体" w:eastAsia="宋体"/>
                <w:b w:val="false"/>
              </w:rPr>
              <w:t>22,765,454.91</w:t>
            </w:r>
          </w:p>
        </w:tc>
        <w:tc>
          <w:tcPr>
            <w:tcW/>
          </w:tcPr>
          <w:p>
            <w:pPr>
              <w:spacing w:line="240" w:lineRule="auto"/>
              <w:jc w:val="right"/>
            </w:pPr>
            <w:r>
              <w:rPr>
                <w:rFonts w:ascii="宋体" w:hAnsi="宋体" w:cs="宋体" w:eastAsia="宋体"/>
                <w:b w:val="false"/>
              </w:rPr>
              <w:t>46.29</w:t>
            </w:r>
          </w:p>
        </w:tc>
      </w:tr>
      <w:tr>
        <w:tc>
          <w:tcPr>
            <w:tcW/>
          </w:tcPr>
          <w:p>
            <w:pPr>
              <w:spacing w:line="240" w:lineRule="auto"/>
              <w:jc w:val="center"/>
            </w:pPr>
            <w:r>
              <w:rPr>
                <w:rFonts w:ascii="宋体" w:hAnsi="宋体" w:cs="宋体" w:eastAsia="宋体"/>
                <w:b w:val="false"/>
              </w:rPr>
              <w:t>J</w:t>
            </w:r>
          </w:p>
        </w:tc>
        <w:tc>
          <w:tcPr>
            <w:tcW/>
          </w:tcPr>
          <w:p>
            <w:pPr>
              <w:spacing w:line="240" w:lineRule="auto"/>
              <w:jc w:val="left"/>
            </w:pPr>
            <w:r>
              <w:rPr>
                <w:rFonts w:ascii="宋体" w:hAnsi="宋体" w:cs="宋体" w:eastAsia="宋体"/>
                <w:b w:val="false"/>
              </w:rPr>
              <w:t>金融业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K</w:t>
            </w:r>
          </w:p>
        </w:tc>
        <w:tc>
          <w:tcPr>
            <w:tcW/>
          </w:tcPr>
          <w:p>
            <w:pPr>
              <w:spacing w:line="240" w:lineRule="auto"/>
              <w:jc w:val="left"/>
            </w:pPr>
            <w:r>
              <w:rPr>
                <w:rFonts w:ascii="宋体" w:hAnsi="宋体" w:cs="宋体" w:eastAsia="宋体"/>
                <w:b w:val="false"/>
              </w:rPr>
              <w:t>房地产业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L</w:t>
            </w:r>
          </w:p>
        </w:tc>
        <w:tc>
          <w:tcPr>
            <w:tcW/>
          </w:tcPr>
          <w:p>
            <w:pPr>
              <w:spacing w:line="240" w:lineRule="auto"/>
              <w:jc w:val="left"/>
            </w:pPr>
            <w:r>
              <w:rPr>
                <w:rFonts w:ascii="宋体" w:hAnsi="宋体" w:cs="宋体" w:eastAsia="宋体"/>
                <w:b w:val="false"/>
              </w:rPr>
              <w:t>租赁和商务服务业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M</w:t>
            </w:r>
          </w:p>
        </w:tc>
        <w:tc>
          <w:tcPr>
            <w:tcW/>
          </w:tcPr>
          <w:p>
            <w:pPr>
              <w:spacing w:line="240" w:lineRule="auto"/>
              <w:jc w:val="left"/>
            </w:pPr>
            <w:r>
              <w:rPr>
                <w:rFonts w:ascii="宋体" w:hAnsi="宋体" w:cs="宋体" w:eastAsia="宋体"/>
                <w:b w:val="false"/>
              </w:rPr>
              <w:t>科学研究和技术服务业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N</w:t>
            </w:r>
          </w:p>
        </w:tc>
        <w:tc>
          <w:tcPr>
            <w:tcW/>
          </w:tcPr>
          <w:p>
            <w:pPr>
              <w:spacing w:line="240" w:lineRule="auto"/>
              <w:jc w:val="left"/>
            </w:pPr>
            <w:r>
              <w:rPr>
                <w:rFonts w:ascii="宋体" w:hAnsi="宋体" w:cs="宋体" w:eastAsia="宋体"/>
                <w:b w:val="false"/>
              </w:rPr>
              <w:t>水利、环境和公共设施管理业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O</w:t>
            </w:r>
          </w:p>
        </w:tc>
        <w:tc>
          <w:tcPr>
            <w:tcW/>
          </w:tcPr>
          <w:p>
            <w:pPr>
              <w:spacing w:line="240" w:lineRule="auto"/>
              <w:jc w:val="left"/>
            </w:pPr>
            <w:r>
              <w:rPr>
                <w:rFonts w:ascii="宋体" w:hAnsi="宋体" w:cs="宋体" w:eastAsia="宋体"/>
                <w:b w:val="false"/>
              </w:rPr>
              <w:t>居民服务、修理和其他服务业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P</w:t>
            </w:r>
          </w:p>
        </w:tc>
        <w:tc>
          <w:tcPr>
            <w:tcW/>
          </w:tcPr>
          <w:p>
            <w:pPr>
              <w:spacing w:line="240" w:lineRule="auto"/>
              <w:jc w:val="left"/>
            </w:pPr>
            <w:r>
              <w:rPr>
                <w:rFonts w:ascii="宋体" w:hAnsi="宋体" w:cs="宋体" w:eastAsia="宋体"/>
                <w:b w:val="false"/>
              </w:rPr>
              <w:t>教育</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Q</w:t>
            </w:r>
          </w:p>
        </w:tc>
        <w:tc>
          <w:tcPr>
            <w:tcW/>
          </w:tcPr>
          <w:p>
            <w:pPr>
              <w:spacing w:line="240" w:lineRule="auto"/>
              <w:jc w:val="left"/>
            </w:pPr>
            <w:r>
              <w:rPr>
                <w:rFonts w:ascii="宋体" w:hAnsi="宋体" w:cs="宋体" w:eastAsia="宋体"/>
                <w:b w:val="false"/>
              </w:rPr>
              <w:t>卫生和社会工作</w:t>
            </w:r>
          </w:p>
        </w:tc>
        <w:tc>
          <w:tcPr>
            <w:tcW/>
          </w:tcPr>
          <w:p>
            <w:pPr>
              <w:spacing w:line="240" w:lineRule="auto"/>
              <w:jc w:val="right"/>
            </w:pPr>
            <w:r>
              <w:rPr>
                <w:rFonts w:ascii="宋体" w:hAnsi="宋体" w:cs="宋体" w:eastAsia="宋体"/>
                <w:b w:val="false"/>
              </w:rPr>
              <w:t>332,760.00</w:t>
            </w:r>
          </w:p>
        </w:tc>
        <w:tc>
          <w:tcPr>
            <w:tcW/>
          </w:tcPr>
          <w:p>
            <w:pPr>
              <w:spacing w:line="240" w:lineRule="auto"/>
              <w:jc w:val="right"/>
            </w:pPr>
            <w:r>
              <w:rPr>
                <w:rFonts w:ascii="宋体" w:hAnsi="宋体" w:cs="宋体" w:eastAsia="宋体"/>
                <w:b w:val="false"/>
              </w:rPr>
              <w:t>0.68</w:t>
            </w:r>
          </w:p>
        </w:tc>
      </w:tr>
      <w:tr>
        <w:tc>
          <w:tcPr>
            <w:tcW/>
          </w:tcPr>
          <w:p>
            <w:pPr>
              <w:spacing w:line="240" w:lineRule="auto"/>
              <w:jc w:val="center"/>
            </w:pPr>
            <w:r>
              <w:rPr>
                <w:rFonts w:ascii="宋体" w:hAnsi="宋体" w:cs="宋体" w:eastAsia="宋体"/>
                <w:b w:val="false"/>
              </w:rPr>
              <w:t>R</w:t>
            </w:r>
          </w:p>
        </w:tc>
        <w:tc>
          <w:tcPr>
            <w:tcW/>
          </w:tcPr>
          <w:p>
            <w:pPr>
              <w:spacing w:line="240" w:lineRule="auto"/>
              <w:jc w:val="left"/>
            </w:pPr>
            <w:r>
              <w:rPr>
                <w:rFonts w:ascii="宋体" w:hAnsi="宋体" w:cs="宋体" w:eastAsia="宋体"/>
                <w:b w:val="false"/>
              </w:rPr>
              <w:t>文化、体育和娱乐业</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S</w:t>
            </w:r>
          </w:p>
        </w:tc>
        <w:tc>
          <w:tcPr>
            <w:tcW/>
          </w:tcPr>
          <w:p>
            <w:pPr>
              <w:spacing w:line="240" w:lineRule="auto"/>
              <w:jc w:val="left"/>
            </w:pPr>
            <w:r>
              <w:rPr>
                <w:rFonts w:ascii="宋体" w:hAnsi="宋体" w:cs="宋体" w:eastAsia="宋体"/>
                <w:b w:val="false"/>
              </w:rPr>
              <w:t>综合</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23,810,934.91</w:t>
            </w:r>
          </w:p>
        </w:tc>
        <w:tc>
          <w:tcPr>
            <w:tcW/>
          </w:tcPr>
          <w:p>
            <w:pPr>
              <w:spacing w:line="240" w:lineRule="auto"/>
              <w:jc w:val="right"/>
            </w:pPr>
            <w:r>
              <w:rPr>
                <w:rFonts w:ascii="宋体" w:hAnsi="宋体" w:cs="宋体" w:eastAsia="宋体"/>
                <w:b w:val="false"/>
              </w:rPr>
              <w:t>48.41</w:t>
            </w:r>
          </w:p>
        </w:tc>
      </w:tr>
    </w:tbl>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tcPr>
          <w:tcPr>
            <w:shd w:fill="d9d9d9"/>
          </w:tcPr>
          <w:p>
            <w:pPr>
              <w:spacing w:line="240" w:lineRule="auto"/>
              <w:jc w:val="center"/>
            </w:pPr>
            <w:r>
              <w:rPr>
                <w:rFonts w:ascii="宋体" w:hAnsi="宋体" w:cs="宋体" w:eastAsia="宋体"/>
                <w:b w:val="false"/>
              </w:rPr>
              <w:t>行业类别</w:t>
            </w:r>
          </w:p>
        </w:tc>
        <w:tc>
          <w:tcPr>
            <w:tcW w:type="pct" w:w="1538"/>
          </w:tcPr>
          <w:tcPr>
            <w:shd w:fill="d9d9d9"/>
          </w:tcPr>
          <w:p>
            <w:pPr>
              <w:spacing w:line="240" w:lineRule="auto"/>
              <w:jc w:val="center"/>
            </w:pPr>
            <w:r>
              <w:rPr>
                <w:rFonts w:ascii="宋体" w:hAnsi="宋体" w:cs="宋体" w:eastAsia="宋体"/>
                <w:b w:val="false"/>
              </w:rPr>
              <w:t>公允价值（人民币）</w:t>
            </w:r>
          </w:p>
        </w:tc>
        <w:tc>
          <w:tcPr>
            <w:tcW w:type="pct" w:w="1538"/>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left"/>
            </w:pPr>
            <w:r>
              <w:rPr>
                <w:rFonts w:ascii="宋体" w:hAnsi="宋体" w:cs="宋体" w:eastAsia="宋体"/>
                <w:b w:val="false"/>
              </w:rPr>
              <w:t>非日常生活消费品</w:t>
            </w:r>
          </w:p>
        </w:tc>
        <w:tc>
          <w:tcPr>
            <w:tcW/>
          </w:tcPr>
          <w:p>
            <w:pPr>
              <w:spacing w:line="240" w:lineRule="auto"/>
              <w:jc w:val="right"/>
            </w:pPr>
            <w:r>
              <w:rPr>
                <w:rFonts w:ascii="宋体" w:hAnsi="宋体" w:cs="宋体" w:eastAsia="宋体"/>
                <w:b w:val="false"/>
              </w:rPr>
              <w:t>3,889,017.87</w:t>
            </w:r>
          </w:p>
        </w:tc>
        <w:tc>
          <w:tcPr>
            <w:tcW/>
          </w:tcPr>
          <w:p>
            <w:pPr>
              <w:spacing w:line="240" w:lineRule="auto"/>
              <w:jc w:val="right"/>
            </w:pPr>
            <w:r>
              <w:rPr>
                <w:rFonts w:ascii="宋体" w:hAnsi="宋体" w:cs="宋体" w:eastAsia="宋体"/>
                <w:b w:val="false"/>
              </w:rPr>
              <w:t>7.91</w:t>
            </w:r>
          </w:p>
        </w:tc>
      </w:tr>
      <w:tr>
        <w:tc>
          <w:tcPr>
            <w:tcW/>
          </w:tcPr>
          <w:p>
            <w:pPr>
              <w:spacing w:line="240" w:lineRule="auto"/>
              <w:jc w:val="left"/>
            </w:pPr>
            <w:r>
              <w:rPr>
                <w:rFonts w:ascii="宋体" w:hAnsi="宋体" w:cs="宋体" w:eastAsia="宋体"/>
                <w:b w:val="false"/>
              </w:rPr>
              <w:t>日常消费品</w:t>
            </w:r>
          </w:p>
        </w:tc>
        <w:tc>
          <w:tcPr>
            <w:tcW/>
          </w:tcPr>
          <w:p>
            <w:pPr>
              <w:spacing w:line="240" w:lineRule="auto"/>
              <w:jc w:val="right"/>
            </w:pPr>
            <w:r>
              <w:rPr>
                <w:rFonts w:ascii="宋体" w:hAnsi="宋体" w:cs="宋体" w:eastAsia="宋体"/>
                <w:b w:val="false"/>
              </w:rPr>
              <w:t>171,314.16</w:t>
            </w:r>
          </w:p>
        </w:tc>
        <w:tc>
          <w:tcPr>
            <w:tcW/>
          </w:tcPr>
          <w:p>
            <w:pPr>
              <w:spacing w:line="240" w:lineRule="auto"/>
              <w:jc w:val="right"/>
            </w:pPr>
            <w:r>
              <w:rPr>
                <w:rFonts w:ascii="宋体" w:hAnsi="宋体" w:cs="宋体" w:eastAsia="宋体"/>
                <w:b w:val="false"/>
              </w:rPr>
              <w:t>0.35</w:t>
            </w:r>
          </w:p>
        </w:tc>
      </w:tr>
      <w:tr>
        <w:tc>
          <w:tcPr>
            <w:tcW/>
          </w:tcPr>
          <w:p>
            <w:pPr>
              <w:spacing w:line="240" w:lineRule="auto"/>
              <w:jc w:val="left"/>
            </w:pPr>
            <w:r>
              <w:rPr>
                <w:rFonts w:ascii="宋体" w:hAnsi="宋体" w:cs="宋体" w:eastAsia="宋体"/>
                <w:b w:val="false"/>
              </w:rPr>
              <w:t>信息技术</w:t>
            </w:r>
          </w:p>
        </w:tc>
        <w:tc>
          <w:tcPr>
            <w:tcW/>
          </w:tcPr>
          <w:p>
            <w:pPr>
              <w:spacing w:line="240" w:lineRule="auto"/>
              <w:jc w:val="right"/>
            </w:pPr>
            <w:r>
              <w:rPr>
                <w:rFonts w:ascii="宋体" w:hAnsi="宋体" w:cs="宋体" w:eastAsia="宋体"/>
                <w:b w:val="false"/>
              </w:rPr>
              <w:t>7,027,045.92</w:t>
            </w:r>
          </w:p>
        </w:tc>
        <w:tc>
          <w:tcPr>
            <w:tcW/>
          </w:tcPr>
          <w:p>
            <w:pPr>
              <w:spacing w:line="240" w:lineRule="auto"/>
              <w:jc w:val="right"/>
            </w:pPr>
            <w:r>
              <w:rPr>
                <w:rFonts w:ascii="宋体" w:hAnsi="宋体" w:cs="宋体" w:eastAsia="宋体"/>
                <w:b w:val="false"/>
              </w:rPr>
              <w:t>14.29</w:t>
            </w:r>
          </w:p>
        </w:tc>
      </w:tr>
      <w:tr>
        <w:tc>
          <w:tcPr>
            <w:tcW/>
          </w:tcPr>
          <w:p>
            <w:pPr>
              <w:spacing w:line="240" w:lineRule="auto"/>
              <w:jc w:val="left"/>
            </w:pPr>
            <w:r>
              <w:rPr>
                <w:rFonts w:ascii="宋体" w:hAnsi="宋体" w:cs="宋体" w:eastAsia="宋体"/>
                <w:b w:val="false"/>
              </w:rPr>
              <w:t>通讯业务</w:t>
            </w:r>
          </w:p>
        </w:tc>
        <w:tc>
          <w:tcPr>
            <w:tcW/>
          </w:tcPr>
          <w:p>
            <w:pPr>
              <w:spacing w:line="240" w:lineRule="auto"/>
              <w:jc w:val="right"/>
            </w:pPr>
            <w:r>
              <w:rPr>
                <w:rFonts w:ascii="宋体" w:hAnsi="宋体" w:cs="宋体" w:eastAsia="宋体"/>
                <w:b w:val="false"/>
              </w:rPr>
              <w:t>10,536,817.56</w:t>
            </w:r>
          </w:p>
        </w:tc>
        <w:tc>
          <w:tcPr>
            <w:tcW/>
          </w:tcPr>
          <w:p>
            <w:pPr>
              <w:spacing w:line="240" w:lineRule="auto"/>
              <w:jc w:val="right"/>
            </w:pPr>
            <w:r>
              <w:rPr>
                <w:rFonts w:ascii="宋体" w:hAnsi="宋体" w:cs="宋体" w:eastAsia="宋体"/>
                <w:b w:val="false"/>
              </w:rPr>
              <w:t>21.42</w:t>
            </w:r>
          </w:p>
        </w:tc>
      </w:tr>
      <w:tr>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21,624,195.51</w:t>
            </w:r>
          </w:p>
        </w:tc>
        <w:tc>
          <w:tcPr>
            <w:tcW/>
          </w:tcPr>
          <w:p>
            <w:pPr>
              <w:spacing w:line="240" w:lineRule="auto"/>
              <w:jc w:val="right"/>
            </w:pPr>
            <w:r>
              <w:rPr>
                <w:rFonts w:ascii="宋体" w:hAnsi="宋体" w:cs="宋体" w:eastAsia="宋体"/>
                <w:b w:val="false"/>
              </w:rPr>
              <w:t>43.97</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01357</w:t>
            </w:r>
          </w:p>
        </w:tc>
        <w:tc>
          <w:tcPr>
            <w:tcW/>
          </w:tcPr>
          <w:p>
            <w:pPr>
              <w:spacing w:line="240" w:lineRule="auto"/>
              <w:jc w:val="left"/>
            </w:pPr>
            <w:r>
              <w:rPr>
                <w:rFonts w:ascii="宋体" w:hAnsi="宋体" w:cs="宋体" w:eastAsia="宋体"/>
                <w:b w:val="false"/>
              </w:rPr>
              <w:t>美图公司</w:t>
            </w:r>
          </w:p>
        </w:tc>
        <w:tc>
          <w:tcPr>
            <w:tcW/>
          </w:tcPr>
          <w:p>
            <w:pPr>
              <w:spacing w:line="240" w:lineRule="auto"/>
              <w:jc w:val="right"/>
            </w:pPr>
            <w:r>
              <w:rPr>
                <w:rFonts w:ascii="宋体" w:hAnsi="宋体" w:cs="宋体" w:eastAsia="宋体"/>
                <w:b w:val="false"/>
              </w:rPr>
              <w:t>864,000</w:t>
            </w:r>
          </w:p>
        </w:tc>
        <w:tc>
          <w:tcPr>
            <w:tcW/>
          </w:tcPr>
          <w:p>
            <w:pPr>
              <w:spacing w:line="240" w:lineRule="auto"/>
              <w:jc w:val="right"/>
            </w:pPr>
            <w:r>
              <w:rPr>
                <w:rFonts w:ascii="宋体" w:hAnsi="宋体" w:cs="宋体" w:eastAsia="宋体"/>
                <w:b w:val="false"/>
              </w:rPr>
              <w:t>4,345,421.90</w:t>
            </w:r>
          </w:p>
        </w:tc>
        <w:tc>
          <w:tcPr>
            <w:tcW/>
          </w:tcPr>
          <w:p>
            <w:pPr>
              <w:spacing w:line="240" w:lineRule="auto"/>
              <w:jc w:val="right"/>
            </w:pPr>
            <w:r>
              <w:rPr>
                <w:rFonts w:ascii="宋体" w:hAnsi="宋体" w:cs="宋体" w:eastAsia="宋体"/>
                <w:b w:val="false"/>
              </w:rPr>
              <w:t>8.84</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00700</w:t>
            </w:r>
          </w:p>
        </w:tc>
        <w:tc>
          <w:tcPr>
            <w:tcW/>
          </w:tcPr>
          <w:p>
            <w:pPr>
              <w:spacing w:line="240" w:lineRule="auto"/>
              <w:jc w:val="left"/>
            </w:pPr>
            <w:r>
              <w:rPr>
                <w:rFonts w:ascii="宋体" w:hAnsi="宋体" w:cs="宋体" w:eastAsia="宋体"/>
                <w:b w:val="false"/>
              </w:rPr>
              <w:t>腾讯控股</w:t>
            </w:r>
          </w:p>
        </w:tc>
        <w:tc>
          <w:tcPr>
            <w:tcW/>
          </w:tcPr>
          <w:p>
            <w:pPr>
              <w:spacing w:line="240" w:lineRule="auto"/>
              <w:jc w:val="right"/>
            </w:pPr>
            <w:r>
              <w:rPr>
                <w:rFonts w:ascii="宋体" w:hAnsi="宋体" w:cs="宋体" w:eastAsia="宋体"/>
                <w:b w:val="false"/>
              </w:rPr>
              <w:t>9,300</w:t>
            </w:r>
          </w:p>
        </w:tc>
        <w:tc>
          <w:tcPr>
            <w:tcW/>
          </w:tcPr>
          <w:p>
            <w:pPr>
              <w:spacing w:line="240" w:lineRule="auto"/>
              <w:jc w:val="right"/>
            </w:pPr>
            <w:r>
              <w:rPr>
                <w:rFonts w:ascii="宋体" w:hAnsi="宋体" w:cs="宋体" w:eastAsia="宋体"/>
                <w:b w:val="false"/>
              </w:rPr>
              <w:t>4,265,412.54</w:t>
            </w:r>
          </w:p>
        </w:tc>
        <w:tc>
          <w:tcPr>
            <w:tcW/>
          </w:tcPr>
          <w:p>
            <w:pPr>
              <w:spacing w:line="240" w:lineRule="auto"/>
              <w:jc w:val="right"/>
            </w:pPr>
            <w:r>
              <w:rPr>
                <w:rFonts w:ascii="宋体" w:hAnsi="宋体" w:cs="宋体" w:eastAsia="宋体"/>
                <w:b w:val="false"/>
              </w:rPr>
              <w:t>8.67</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600588</w:t>
            </w:r>
          </w:p>
        </w:tc>
        <w:tc>
          <w:tcPr>
            <w:tcW/>
          </w:tcPr>
          <w:p>
            <w:pPr>
              <w:spacing w:line="240" w:lineRule="auto"/>
              <w:jc w:val="left"/>
            </w:pPr>
            <w:r>
              <w:rPr>
                <w:rFonts w:ascii="宋体" w:hAnsi="宋体" w:cs="宋体" w:eastAsia="宋体"/>
                <w:b w:val="false"/>
              </w:rPr>
              <w:t>用友网络</w:t>
            </w:r>
          </w:p>
        </w:tc>
        <w:tc>
          <w:tcPr>
            <w:tcW/>
          </w:tcPr>
          <w:p>
            <w:pPr>
              <w:spacing w:line="240" w:lineRule="auto"/>
              <w:jc w:val="right"/>
            </w:pPr>
            <w:r>
              <w:rPr>
                <w:rFonts w:ascii="宋体" w:hAnsi="宋体" w:cs="宋体" w:eastAsia="宋体"/>
                <w:b w:val="false"/>
              </w:rPr>
              <w:t>269,600</w:t>
            </w:r>
          </w:p>
        </w:tc>
        <w:tc>
          <w:tcPr>
            <w:tcW/>
          </w:tcPr>
          <w:p>
            <w:pPr>
              <w:spacing w:line="240" w:lineRule="auto"/>
              <w:jc w:val="right"/>
            </w:pPr>
            <w:r>
              <w:rPr>
                <w:rFonts w:ascii="宋体" w:hAnsi="宋体" w:cs="宋体" w:eastAsia="宋体"/>
                <w:b w:val="false"/>
              </w:rPr>
              <w:t>4,060,176.00</w:t>
            </w:r>
          </w:p>
        </w:tc>
        <w:tc>
          <w:tcPr>
            <w:tcW/>
          </w:tcPr>
          <w:p>
            <w:pPr>
              <w:spacing w:line="240" w:lineRule="auto"/>
              <w:jc w:val="right"/>
            </w:pPr>
            <w:r>
              <w:rPr>
                <w:rFonts w:ascii="宋体" w:hAnsi="宋体" w:cs="宋体" w:eastAsia="宋体"/>
                <w:b w:val="false"/>
              </w:rPr>
              <w:t>8.26</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300170</w:t>
            </w:r>
          </w:p>
        </w:tc>
        <w:tc>
          <w:tcPr>
            <w:tcW/>
          </w:tcPr>
          <w:p>
            <w:pPr>
              <w:spacing w:line="240" w:lineRule="auto"/>
              <w:jc w:val="left"/>
            </w:pPr>
            <w:r>
              <w:rPr>
                <w:rFonts w:ascii="宋体" w:hAnsi="宋体" w:cs="宋体" w:eastAsia="宋体"/>
                <w:b w:val="false"/>
              </w:rPr>
              <w:t>汉得信息</w:t>
            </w:r>
          </w:p>
        </w:tc>
        <w:tc>
          <w:tcPr>
            <w:tcW/>
          </w:tcPr>
          <w:p>
            <w:pPr>
              <w:spacing w:line="240" w:lineRule="auto"/>
              <w:jc w:val="right"/>
            </w:pPr>
            <w:r>
              <w:rPr>
                <w:rFonts w:ascii="宋体" w:hAnsi="宋体" w:cs="宋体" w:eastAsia="宋体"/>
                <w:b w:val="false"/>
              </w:rPr>
              <w:t>193,300</w:t>
            </w:r>
          </w:p>
        </w:tc>
        <w:tc>
          <w:tcPr>
            <w:tcW/>
          </w:tcPr>
          <w:p>
            <w:pPr>
              <w:spacing w:line="240" w:lineRule="auto"/>
              <w:jc w:val="right"/>
            </w:pPr>
            <w:r>
              <w:rPr>
                <w:rFonts w:ascii="宋体" w:hAnsi="宋体" w:cs="宋体" w:eastAsia="宋体"/>
                <w:b w:val="false"/>
              </w:rPr>
              <w:t>3,765,484.00</w:t>
            </w:r>
          </w:p>
        </w:tc>
        <w:tc>
          <w:tcPr>
            <w:tcW/>
          </w:tcPr>
          <w:p>
            <w:pPr>
              <w:spacing w:line="240" w:lineRule="auto"/>
              <w:jc w:val="right"/>
            </w:pPr>
            <w:r>
              <w:rPr>
                <w:rFonts w:ascii="宋体" w:hAnsi="宋体" w:cs="宋体" w:eastAsia="宋体"/>
                <w:b w:val="false"/>
              </w:rPr>
              <w:t>7.66</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00268</w:t>
            </w:r>
          </w:p>
        </w:tc>
        <w:tc>
          <w:tcPr>
            <w:tcW/>
          </w:tcPr>
          <w:p>
            <w:pPr>
              <w:spacing w:line="240" w:lineRule="auto"/>
              <w:jc w:val="left"/>
            </w:pPr>
            <w:r>
              <w:rPr>
                <w:rFonts w:ascii="宋体" w:hAnsi="宋体" w:cs="宋体" w:eastAsia="宋体"/>
                <w:b w:val="false"/>
              </w:rPr>
              <w:t>金蝶国际</w:t>
            </w:r>
          </w:p>
        </w:tc>
        <w:tc>
          <w:tcPr>
            <w:tcW/>
          </w:tcPr>
          <w:p>
            <w:pPr>
              <w:spacing w:line="240" w:lineRule="auto"/>
              <w:jc w:val="right"/>
            </w:pPr>
            <w:r>
              <w:rPr>
                <w:rFonts w:ascii="宋体" w:hAnsi="宋体" w:cs="宋体" w:eastAsia="宋体"/>
                <w:b w:val="false"/>
              </w:rPr>
              <w:t>310,000</w:t>
            </w:r>
          </w:p>
        </w:tc>
        <w:tc>
          <w:tcPr>
            <w:tcW/>
          </w:tcPr>
          <w:p>
            <w:pPr>
              <w:spacing w:line="240" w:lineRule="auto"/>
              <w:jc w:val="right"/>
            </w:pPr>
            <w:r>
              <w:rPr>
                <w:rFonts w:ascii="宋体" w:hAnsi="宋体" w:cs="宋体" w:eastAsia="宋体"/>
                <w:b w:val="false"/>
              </w:rPr>
              <w:t>3,764,777.27</w:t>
            </w:r>
          </w:p>
        </w:tc>
        <w:tc>
          <w:tcPr>
            <w:tcW/>
          </w:tcPr>
          <w:p>
            <w:pPr>
              <w:spacing w:line="240" w:lineRule="auto"/>
              <w:jc w:val="right"/>
            </w:pPr>
            <w:r>
              <w:rPr>
                <w:rFonts w:ascii="宋体" w:hAnsi="宋体" w:cs="宋体" w:eastAsia="宋体"/>
                <w:b w:val="false"/>
              </w:rPr>
              <w:t>7.65</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09988</w:t>
            </w:r>
          </w:p>
        </w:tc>
        <w:tc>
          <w:tcPr>
            <w:tcW/>
          </w:tcPr>
          <w:p>
            <w:pPr>
              <w:spacing w:line="240" w:lineRule="auto"/>
              <w:jc w:val="left"/>
            </w:pPr>
            <w:r>
              <w:rPr>
                <w:rFonts w:ascii="宋体" w:hAnsi="宋体" w:cs="宋体" w:eastAsia="宋体"/>
                <w:b w:val="false"/>
              </w:rPr>
              <w:t>阿里巴巴－Ｗ</w:t>
            </w:r>
          </w:p>
        </w:tc>
        <w:tc>
          <w:tcPr>
            <w:tcW/>
          </w:tcPr>
          <w:p>
            <w:pPr>
              <w:spacing w:line="240" w:lineRule="auto"/>
              <w:jc w:val="right"/>
            </w:pPr>
            <w:r>
              <w:rPr>
                <w:rFonts w:ascii="宋体" w:hAnsi="宋体" w:cs="宋体" w:eastAsia="宋体"/>
                <w:b w:val="false"/>
              </w:rPr>
              <w:t>30,100</w:t>
            </w:r>
          </w:p>
        </w:tc>
        <w:tc>
          <w:tcPr>
            <w:tcW/>
          </w:tcPr>
          <w:p>
            <w:pPr>
              <w:spacing w:line="240" w:lineRule="auto"/>
              <w:jc w:val="right"/>
            </w:pPr>
            <w:r>
              <w:rPr>
                <w:rFonts w:ascii="宋体" w:hAnsi="宋体" w:cs="宋体" w:eastAsia="宋体"/>
                <w:b w:val="false"/>
              </w:rPr>
              <w:t>3,555,479.42</w:t>
            </w:r>
          </w:p>
        </w:tc>
        <w:tc>
          <w:tcPr>
            <w:tcW/>
          </w:tcPr>
          <w:p>
            <w:pPr>
              <w:spacing w:line="240" w:lineRule="auto"/>
              <w:jc w:val="right"/>
            </w:pPr>
            <w:r>
              <w:rPr>
                <w:rFonts w:ascii="宋体" w:hAnsi="宋体" w:cs="宋体" w:eastAsia="宋体"/>
                <w:b w:val="false"/>
              </w:rPr>
              <w:t>7.23</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300687</w:t>
            </w:r>
          </w:p>
        </w:tc>
        <w:tc>
          <w:tcPr>
            <w:tcW/>
          </w:tcPr>
          <w:p>
            <w:pPr>
              <w:spacing w:line="240" w:lineRule="auto"/>
              <w:jc w:val="left"/>
            </w:pPr>
            <w:r>
              <w:rPr>
                <w:rFonts w:ascii="宋体" w:hAnsi="宋体" w:cs="宋体" w:eastAsia="宋体"/>
                <w:b w:val="false"/>
              </w:rPr>
              <w:t>赛意信息</w:t>
            </w:r>
          </w:p>
        </w:tc>
        <w:tc>
          <w:tcPr>
            <w:tcW/>
          </w:tcPr>
          <w:p>
            <w:pPr>
              <w:spacing w:line="240" w:lineRule="auto"/>
              <w:jc w:val="right"/>
            </w:pPr>
            <w:r>
              <w:rPr>
                <w:rFonts w:ascii="宋体" w:hAnsi="宋体" w:cs="宋体" w:eastAsia="宋体"/>
                <w:b w:val="false"/>
              </w:rPr>
              <w:t>81,700</w:t>
            </w:r>
          </w:p>
        </w:tc>
        <w:tc>
          <w:tcPr>
            <w:tcW/>
          </w:tcPr>
          <w:p>
            <w:pPr>
              <w:spacing w:line="240" w:lineRule="auto"/>
              <w:jc w:val="right"/>
            </w:pPr>
            <w:r>
              <w:rPr>
                <w:rFonts w:ascii="宋体" w:hAnsi="宋体" w:cs="宋体" w:eastAsia="宋体"/>
                <w:b w:val="false"/>
              </w:rPr>
              <w:t>2,667,505.00</w:t>
            </w:r>
          </w:p>
        </w:tc>
        <w:tc>
          <w:tcPr>
            <w:tcW/>
          </w:tcPr>
          <w:p>
            <w:pPr>
              <w:spacing w:line="240" w:lineRule="auto"/>
              <w:jc w:val="right"/>
            </w:pPr>
            <w:r>
              <w:rPr>
                <w:rFonts w:ascii="宋体" w:hAnsi="宋体" w:cs="宋体" w:eastAsia="宋体"/>
                <w:b w:val="false"/>
              </w:rPr>
              <w:t>5.42</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300378</w:t>
            </w:r>
          </w:p>
        </w:tc>
        <w:tc>
          <w:tcPr>
            <w:tcW/>
          </w:tcPr>
          <w:p>
            <w:pPr>
              <w:spacing w:line="240" w:lineRule="auto"/>
              <w:jc w:val="left"/>
            </w:pPr>
            <w:r>
              <w:rPr>
                <w:rFonts w:ascii="宋体" w:hAnsi="宋体" w:cs="宋体" w:eastAsia="宋体"/>
                <w:b w:val="false"/>
              </w:rPr>
              <w:t>鼎捷数智</w:t>
            </w:r>
          </w:p>
        </w:tc>
        <w:tc>
          <w:tcPr>
            <w:tcW/>
          </w:tcPr>
          <w:p>
            <w:pPr>
              <w:spacing w:line="240" w:lineRule="auto"/>
              <w:jc w:val="right"/>
            </w:pPr>
            <w:r>
              <w:rPr>
                <w:rFonts w:ascii="宋体" w:hAnsi="宋体" w:cs="宋体" w:eastAsia="宋体"/>
                <w:b w:val="false"/>
              </w:rPr>
              <w:t>65,600</w:t>
            </w:r>
          </w:p>
        </w:tc>
        <w:tc>
          <w:tcPr>
            <w:tcW/>
          </w:tcPr>
          <w:p>
            <w:pPr>
              <w:spacing w:line="240" w:lineRule="auto"/>
              <w:jc w:val="right"/>
            </w:pPr>
            <w:r>
              <w:rPr>
                <w:rFonts w:ascii="宋体" w:hAnsi="宋体" w:cs="宋体" w:eastAsia="宋体"/>
                <w:b w:val="false"/>
              </w:rPr>
              <w:t>2,548,560.00</w:t>
            </w:r>
          </w:p>
        </w:tc>
        <w:tc>
          <w:tcPr>
            <w:tcW/>
          </w:tcPr>
          <w:p>
            <w:pPr>
              <w:spacing w:line="240" w:lineRule="auto"/>
              <w:jc w:val="right"/>
            </w:pPr>
            <w:r>
              <w:rPr>
                <w:rFonts w:ascii="宋体" w:hAnsi="宋体" w:cs="宋体" w:eastAsia="宋体"/>
                <w:b w:val="false"/>
              </w:rPr>
              <w:t>5.18</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01810</w:t>
            </w:r>
          </w:p>
        </w:tc>
        <w:tc>
          <w:tcPr>
            <w:tcW/>
          </w:tcPr>
          <w:p>
            <w:pPr>
              <w:spacing w:line="240" w:lineRule="auto"/>
              <w:jc w:val="left"/>
            </w:pPr>
            <w:r>
              <w:rPr>
                <w:rFonts w:ascii="宋体" w:hAnsi="宋体" w:cs="宋体" w:eastAsia="宋体"/>
                <w:b w:val="false"/>
              </w:rPr>
              <w:t>小米集团－Ｗ</w:t>
            </w:r>
          </w:p>
        </w:tc>
        <w:tc>
          <w:tcPr>
            <w:tcW/>
          </w:tcPr>
          <w:p>
            <w:pPr>
              <w:spacing w:line="240" w:lineRule="auto"/>
              <w:jc w:val="right"/>
            </w:pPr>
            <w:r>
              <w:rPr>
                <w:rFonts w:ascii="宋体" w:hAnsi="宋体" w:cs="宋体" w:eastAsia="宋体"/>
                <w:b w:val="false"/>
              </w:rPr>
              <w:t>47,800</w:t>
            </w:r>
          </w:p>
        </w:tc>
        <w:tc>
          <w:tcPr>
            <w:tcW/>
          </w:tcPr>
          <w:p>
            <w:pPr>
              <w:spacing w:line="240" w:lineRule="auto"/>
              <w:jc w:val="right"/>
            </w:pPr>
            <w:r>
              <w:rPr>
                <w:rFonts w:ascii="宋体" w:hAnsi="宋体" w:cs="宋体" w:eastAsia="宋体"/>
                <w:b w:val="false"/>
              </w:rPr>
              <w:t>2,170,274.68</w:t>
            </w:r>
          </w:p>
        </w:tc>
        <w:tc>
          <w:tcPr>
            <w:tcW/>
          </w:tcPr>
          <w:p>
            <w:pPr>
              <w:spacing w:line="240" w:lineRule="auto"/>
              <w:jc w:val="right"/>
            </w:pPr>
            <w:r>
              <w:rPr>
                <w:rFonts w:ascii="宋体" w:hAnsi="宋体" w:cs="宋体" w:eastAsia="宋体"/>
                <w:b w:val="false"/>
              </w:rPr>
              <w:t>4.41</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01024</w:t>
            </w:r>
          </w:p>
        </w:tc>
        <w:tc>
          <w:tcPr>
            <w:tcW/>
          </w:tcPr>
          <w:p>
            <w:pPr>
              <w:spacing w:line="240" w:lineRule="auto"/>
              <w:jc w:val="left"/>
            </w:pPr>
            <w:r>
              <w:rPr>
                <w:rFonts w:ascii="宋体" w:hAnsi="宋体" w:cs="宋体" w:eastAsia="宋体"/>
                <w:b w:val="false"/>
              </w:rPr>
              <w:t>快手－Ｗ</w:t>
            </w:r>
          </w:p>
        </w:tc>
        <w:tc>
          <w:tcPr>
            <w:tcW/>
          </w:tcPr>
          <w:p>
            <w:pPr>
              <w:spacing w:line="240" w:lineRule="auto"/>
              <w:jc w:val="right"/>
            </w:pPr>
            <w:r>
              <w:rPr>
                <w:rFonts w:ascii="宋体" w:hAnsi="宋体" w:cs="宋体" w:eastAsia="宋体"/>
                <w:b w:val="false"/>
              </w:rPr>
              <w:t>38,400</w:t>
            </w:r>
          </w:p>
        </w:tc>
        <w:tc>
          <w:tcPr>
            <w:tcW/>
          </w:tcPr>
          <w:p>
            <w:pPr>
              <w:spacing w:line="240" w:lineRule="auto"/>
              <w:jc w:val="right"/>
            </w:pPr>
            <w:r>
              <w:rPr>
                <w:rFonts w:ascii="宋体" w:hAnsi="宋体" w:cs="宋体" w:eastAsia="宋体"/>
                <w:b w:val="false"/>
              </w:rPr>
              <w:t>1,925,983.12</w:t>
            </w:r>
          </w:p>
        </w:tc>
        <w:tc>
          <w:tcPr>
            <w:tcW/>
          </w:tcPr>
          <w:p>
            <w:pPr>
              <w:spacing w:line="240" w:lineRule="auto"/>
              <w:jc w:val="right"/>
            </w:pPr>
            <w:r>
              <w:rPr>
                <w:rFonts w:ascii="宋体" w:hAnsi="宋体" w:cs="宋体" w:eastAsia="宋体"/>
                <w:b w:val="false"/>
              </w:rPr>
              <w:t>3.92</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国家债券</w:t>
            </w:r>
          </w:p>
        </w:tc>
        <w:tc>
          <w:tcPr>
            <w:tcW/>
          </w:tcPr>
          <w:p>
            <w:pPr>
              <w:spacing w:line="240" w:lineRule="auto"/>
              <w:jc w:val="right"/>
            </w:pPr>
            <w:r>
              <w:rPr>
                <w:rFonts w:ascii="宋体" w:hAnsi="宋体" w:cs="宋体" w:eastAsia="宋体"/>
                <w:b w:val="false"/>
              </w:rPr>
              <w:t>2,517,191.50</w:t>
            </w:r>
          </w:p>
        </w:tc>
        <w:tc>
          <w:tcPr>
            <w:tcW/>
          </w:tcPr>
          <w:p>
            <w:pPr>
              <w:spacing w:line="240" w:lineRule="auto"/>
              <w:jc w:val="right"/>
            </w:pPr>
            <w:r>
              <w:rPr>
                <w:rFonts w:ascii="宋体" w:hAnsi="宋体" w:cs="宋体" w:eastAsia="宋体"/>
                <w:b w:val="false"/>
              </w:rPr>
              <w:t>5.12</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央行票据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金融债券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p>
        </w:tc>
        <w:tc>
          <w:tcPr>
            <w:tcW/>
          </w:tcPr>
          <w:p>
            <w:pPr>
              <w:spacing w:line="240" w:lineRule="auto"/>
              <w:jc w:val="left"/>
            </w:pPr>
            <w:r>
              <w:rPr>
                <w:rFonts w:ascii="宋体" w:hAnsi="宋体" w:cs="宋体" w:eastAsia="宋体"/>
                <w:b w:val="false"/>
              </w:rPr>
              <w:t>其中：政策性金融债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企业债券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企业短期融资券</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中期票据</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可转债（可交换债）</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同业存单</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9</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10</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2,517,191.50</w:t>
            </w:r>
          </w:p>
        </w:tc>
        <w:tc>
          <w:tcPr>
            <w:tcW/>
          </w:tcPr>
          <w:p>
            <w:pPr>
              <w:spacing w:line="240" w:lineRule="auto"/>
              <w:jc w:val="right"/>
            </w:pPr>
            <w:r>
              <w:rPr>
                <w:rFonts w:ascii="宋体" w:hAnsi="宋体" w:cs="宋体" w:eastAsia="宋体"/>
                <w:b w:val="false"/>
              </w:rPr>
              <w:t>5.12</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019758</w:t>
            </w:r>
          </w:p>
        </w:tc>
        <w:tc>
          <w:tcPr>
            <w:tcW/>
          </w:tcPr>
          <w:p>
            <w:pPr>
              <w:spacing w:line="240" w:lineRule="auto"/>
              <w:jc w:val="left"/>
            </w:pPr>
            <w:r>
              <w:rPr>
                <w:rFonts w:ascii="宋体" w:hAnsi="宋体" w:cs="宋体" w:eastAsia="宋体"/>
                <w:b w:val="false"/>
              </w:rPr>
              <w:t>24国债21</w:t>
            </w:r>
          </w:p>
        </w:tc>
        <w:tc>
          <w:tcPr>
            <w:tcW/>
          </w:tcPr>
          <w:p>
            <w:pPr>
              <w:spacing w:line="240" w:lineRule="auto"/>
              <w:jc w:val="right"/>
            </w:pPr>
            <w:r>
              <w:rPr>
                <w:rFonts w:ascii="宋体" w:hAnsi="宋体" w:cs="宋体" w:eastAsia="宋体"/>
                <w:b w:val="false"/>
              </w:rPr>
              <w:t>19,000</w:t>
            </w:r>
          </w:p>
        </w:tc>
        <w:tc>
          <w:tcPr>
            <w:tcW/>
          </w:tcPr>
          <w:p>
            <w:pPr>
              <w:spacing w:line="240" w:lineRule="auto"/>
              <w:jc w:val="right"/>
            </w:pPr>
            <w:r>
              <w:rPr>
                <w:rFonts w:ascii="宋体" w:hAnsi="宋体" w:cs="宋体" w:eastAsia="宋体"/>
                <w:b w:val="false"/>
              </w:rPr>
              <w:t>1,908,278.79</w:t>
            </w:r>
          </w:p>
        </w:tc>
        <w:tc>
          <w:tcPr>
            <w:tcW/>
          </w:tcPr>
          <w:p>
            <w:pPr>
              <w:spacing w:line="240" w:lineRule="auto"/>
              <w:jc w:val="right"/>
            </w:pPr>
            <w:r>
              <w:rPr>
                <w:rFonts w:ascii="宋体" w:hAnsi="宋体" w:cs="宋体" w:eastAsia="宋体"/>
                <w:b w:val="false"/>
              </w:rPr>
              <w:t>3.88</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019740</w:t>
            </w:r>
          </w:p>
        </w:tc>
        <w:tc>
          <w:tcPr>
            <w:tcW/>
          </w:tcPr>
          <w:p>
            <w:pPr>
              <w:spacing w:line="240" w:lineRule="auto"/>
              <w:jc w:val="left"/>
            </w:pPr>
            <w:r>
              <w:rPr>
                <w:rFonts w:ascii="宋体" w:hAnsi="宋体" w:cs="宋体" w:eastAsia="宋体"/>
                <w:b w:val="false"/>
              </w:rPr>
              <w:t>24国债09</w:t>
            </w:r>
          </w:p>
        </w:tc>
        <w:tc>
          <w:tcPr>
            <w:tcW/>
          </w:tcPr>
          <w:p>
            <w:pPr>
              <w:spacing w:line="240" w:lineRule="auto"/>
              <w:jc w:val="right"/>
            </w:pPr>
            <w:r>
              <w:rPr>
                <w:rFonts w:ascii="宋体" w:hAnsi="宋体" w:cs="宋体" w:eastAsia="宋体"/>
                <w:b w:val="false"/>
              </w:rPr>
              <w:t>6,000</w:t>
            </w:r>
          </w:p>
        </w:tc>
        <w:tc>
          <w:tcPr>
            <w:tcW/>
          </w:tcPr>
          <w:p>
            <w:pPr>
              <w:spacing w:line="240" w:lineRule="auto"/>
              <w:jc w:val="right"/>
            </w:pPr>
            <w:r>
              <w:rPr>
                <w:rFonts w:ascii="宋体" w:hAnsi="宋体" w:cs="宋体" w:eastAsia="宋体"/>
                <w:b w:val="false"/>
              </w:rPr>
              <w:t>608,912.71</w:t>
            </w:r>
          </w:p>
        </w:tc>
        <w:tc>
          <w:tcPr>
            <w:tcW/>
          </w:tcPr>
          <w:p>
            <w:pPr>
              <w:spacing w:line="240" w:lineRule="auto"/>
              <w:jc w:val="right"/>
            </w:pPr>
            <w:r>
              <w:rPr>
                <w:rFonts w:ascii="宋体" w:hAnsi="宋体" w:cs="宋体" w:eastAsia="宋体"/>
                <w:b w:val="false"/>
              </w:rPr>
              <w:t>1.24</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tcPr>
          <w:tcPr>
            <w:shd w:fill="d9d9d9"/>
          </w:tcPr>
          <w:p>
            <w:pPr>
              <w:spacing w:line="240" w:lineRule="auto"/>
              <w:jc w:val="center"/>
            </w:pPr>
            <w:r>
              <w:rPr>
                <w:rFonts w:ascii="宋体" w:hAnsi="宋体" w:cs="宋体" w:eastAsia="宋体"/>
                <w:b w:val="false"/>
              </w:rPr>
              <w:t>序号</w:t>
            </w:r>
          </w:p>
        </w:tc>
        <w:tc>
          <w:tcPr>
            <w:tcW w:type="pct" w:w="2308"/>
          </w:tcPr>
          <w:tcPr>
            <w:shd w:fill="d9d9d9"/>
          </w:tcPr>
          <w:p>
            <w:pPr>
              <w:spacing w:line="240" w:lineRule="auto"/>
              <w:jc w:val="center"/>
            </w:pPr>
            <w:r>
              <w:rPr>
                <w:rFonts w:ascii="宋体" w:hAnsi="宋体" w:cs="宋体" w:eastAsia="宋体"/>
                <w:b w:val="false"/>
              </w:rPr>
              <w:t>名称</w:t>
            </w:r>
          </w:p>
        </w:tc>
        <w:tc>
          <w:tcPr>
            <w:tcW w:type="pct" w:w="1538"/>
          </w:tcPr>
          <w:tcPr>
            <w:shd w:fill="d9d9d9"/>
          </w:tcPr>
          <w:p>
            <w:pPr>
              <w:spacing w:line="240" w:lineRule="auto"/>
              <w:jc w:val="center"/>
            </w:pPr>
            <w:r>
              <w:rPr>
                <w:rFonts w:ascii="宋体" w:hAnsi="宋体" w:cs="宋体" w:eastAsia="宋体"/>
                <w:b w:val="false"/>
              </w:rPr>
              <w:t>金额(元)</w:t>
            </w:r>
          </w:p>
        </w:tc>
      </w:tr>
      <w:tr>
        <w:tc>
          <w:tcPr>
            <w:tcW/>
          </w:tcPr>
          <w:p>
            <w:pPr>
              <w:spacing w:line="240" w:lineRule="auto"/>
              <w:jc w:val="center"/>
            </w:pPr>
            <w:r>
              <w:rPr>
                <w:rFonts w:ascii="宋体" w:hAnsi="宋体" w:cs="宋体" w:eastAsia="宋体"/>
                <w:b w:val="false"/>
              </w:rPr>
              <w:t>1</w:t>
            </w:r>
          </w:p>
        </w:tc>
        <w:tc>
          <w:tcPr>
            <w:tcW/>
          </w:tcPr>
          <w:p>
            <w:pPr>
              <w:spacing w:line="240" w:lineRule="auto"/>
              <w:jc w:val="left"/>
            </w:pPr>
            <w:r>
              <w:rPr>
                <w:rFonts w:ascii="宋体" w:hAnsi="宋体" w:cs="宋体" w:eastAsia="宋体"/>
                <w:b w:val="false"/>
              </w:rPr>
              <w:t>存出保证金</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2</w:t>
            </w:r>
          </w:p>
        </w:tc>
        <w:tc>
          <w:tcPr>
            <w:tcW/>
          </w:tcPr>
          <w:p>
            <w:pPr>
              <w:spacing w:line="240" w:lineRule="auto"/>
              <w:jc w:val="left"/>
            </w:pPr>
            <w:r>
              <w:rPr>
                <w:rFonts w:ascii="宋体" w:hAnsi="宋体" w:cs="宋体" w:eastAsia="宋体"/>
                <w:b w:val="false"/>
              </w:rPr>
              <w:t>应收证券清算款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3</w:t>
            </w:r>
          </w:p>
        </w:tc>
        <w:tc>
          <w:tcPr>
            <w:tcW/>
          </w:tcPr>
          <w:p>
            <w:pPr>
              <w:spacing w:line="240" w:lineRule="auto"/>
              <w:jc w:val="left"/>
            </w:pPr>
            <w:r>
              <w:rPr>
                <w:rFonts w:ascii="宋体" w:hAnsi="宋体" w:cs="宋体" w:eastAsia="宋体"/>
                <w:b w:val="false"/>
              </w:rPr>
              <w:t>应收股利</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4</w:t>
            </w:r>
          </w:p>
        </w:tc>
        <w:tc>
          <w:tcPr>
            <w:tcW/>
          </w:tcPr>
          <w:p>
            <w:pPr>
              <w:spacing w:line="240" w:lineRule="auto"/>
              <w:jc w:val="left"/>
            </w:pPr>
            <w:r>
              <w:rPr>
                <w:rFonts w:ascii="宋体" w:hAnsi="宋体" w:cs="宋体" w:eastAsia="宋体"/>
                <w:b w:val="false"/>
              </w:rPr>
              <w:t>应收利息</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5</w:t>
            </w:r>
          </w:p>
        </w:tc>
        <w:tc>
          <w:tcPr>
            <w:tcW/>
          </w:tcPr>
          <w:p>
            <w:pPr>
              <w:spacing w:line="240" w:lineRule="auto"/>
              <w:jc w:val="left"/>
            </w:pPr>
            <w:r>
              <w:rPr>
                <w:rFonts w:ascii="宋体" w:hAnsi="宋体" w:cs="宋体" w:eastAsia="宋体"/>
                <w:b w:val="false"/>
              </w:rPr>
              <w:t>应收申购款</w:t>
            </w:r>
          </w:p>
        </w:tc>
        <w:tc>
          <w:tcPr>
            <w:tcW/>
          </w:tcPr>
          <w:p>
            <w:pPr>
              <w:spacing w:line="240" w:lineRule="auto"/>
              <w:jc w:val="right"/>
            </w:pPr>
            <w:r>
              <w:rPr>
                <w:rFonts w:ascii="宋体" w:hAnsi="宋体" w:cs="宋体" w:eastAsia="宋体"/>
                <w:b w:val="false"/>
              </w:rPr>
              <w:t>334,115.83</w:t>
            </w:r>
          </w:p>
        </w:tc>
      </w:tr>
      <w:tr>
        <w:tc>
          <w:tcPr>
            <w:tcW/>
          </w:tcPr>
          <w:p>
            <w:pPr>
              <w:spacing w:line="240" w:lineRule="auto"/>
              <w:jc w:val="center"/>
            </w:pPr>
            <w:r>
              <w:rPr>
                <w:rFonts w:ascii="宋体" w:hAnsi="宋体" w:cs="宋体" w:eastAsia="宋体"/>
                <w:b w:val="false"/>
              </w:rPr>
              <w:t>6</w:t>
            </w:r>
          </w:p>
        </w:tc>
        <w:tc>
          <w:tcPr>
            <w:tcW/>
          </w:tcPr>
          <w:p>
            <w:pPr>
              <w:spacing w:line="240" w:lineRule="auto"/>
              <w:jc w:val="left"/>
            </w:pPr>
            <w:r>
              <w:rPr>
                <w:rFonts w:ascii="宋体" w:hAnsi="宋体" w:cs="宋体" w:eastAsia="宋体"/>
                <w:b w:val="false"/>
              </w:rPr>
              <w:t>其他应收款</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7</w:t>
            </w:r>
          </w:p>
        </w:tc>
        <w:tc>
          <w:tcPr>
            <w:tcW/>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r>
      <w:tr>
        <w:tc>
          <w:tcPr>
            <w:tcW/>
          </w:tcPr>
          <w:p>
            <w:pPr>
              <w:spacing w:line="240" w:lineRule="auto"/>
              <w:jc w:val="center"/>
            </w:pPr>
            <w:r>
              <w:rPr>
                <w:rFonts w:ascii="宋体" w:hAnsi="宋体" w:cs="宋体" w:eastAsia="宋体"/>
                <w:b w:val="false"/>
              </w:rPr>
              <w:t>8</w:t>
            </w:r>
          </w:p>
        </w:tc>
        <w:tc>
          <w:tcPr>
            <w:tcW/>
          </w:tcPr>
          <w:p>
            <w:pPr>
              <w:spacing w:line="240" w:lineRule="auto"/>
              <w:jc w:val="left"/>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334,115.83</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tcPr>
          <w:p>
            <w:pPr>
              <w:spacing w:line="240" w:lineRule="auto"/>
              <w:jc w:val="center"/>
            </w:pPr>
          </w:p>
        </w:tc>
        <w:tc>
          <w:tcPr>
            <w:tcW w:type="pct" w:w="1300"/>
          </w:tcPr>
          <w:p>
            <w:pPr>
              <w:spacing w:line="240" w:lineRule="auto"/>
              <w:jc w:val="center"/>
            </w:pPr>
            <w:r>
              <w:rPr>
                <w:rFonts w:ascii="宋体" w:hAnsi="宋体" w:cs="宋体" w:eastAsia="宋体"/>
                <w:b w:val="false"/>
              </w:rPr>
              <w:t>东方阿尔法瑞丰混合发起A</w:t>
            </w:r>
          </w:p>
        </w:tc>
        <w:tc>
          <w:tcPr>
            <w:tcW w:type="pct" w:w="1300"/>
          </w:tcPr>
          <w:p>
            <w:pPr>
              <w:spacing w:line="240" w:lineRule="auto"/>
              <w:jc w:val="center"/>
            </w:pPr>
            <w:r>
              <w:rPr>
                <w:rFonts w:ascii="宋体" w:hAnsi="宋体" w:cs="宋体" w:eastAsia="宋体"/>
                <w:b w:val="false"/>
              </w:rPr>
              <w:t>东方阿尔法瑞丰混合发起C</w:t>
            </w:r>
          </w:p>
        </w:tc>
      </w:tr>
      <w:tr>
        <w:tc>
          <w:tcPr>
            <w:tcW/>
          </w:tcPr>
          <w:p>
            <w:pPr>
              <w:spacing w:line="240" w:lineRule="auto"/>
              <w:jc w:val="left"/>
            </w:pPr>
            <w:r>
              <w:rPr>
                <w:rFonts w:ascii="宋体" w:hAnsi="宋体" w:cs="宋体" w:eastAsia="宋体"/>
                <w:b w:val="false"/>
              </w:rPr>
              <w:t>报告期期初基金份额总额</w:t>
            </w:r>
          </w:p>
        </w:tc>
        <w:tc>
          <w:tcPr>
            <w:tcW w:type="pct" w:w="1300"/>
          </w:tcPr>
          <w:p>
            <w:pPr>
              <w:spacing w:line="240" w:lineRule="auto"/>
              <w:jc w:val="right"/>
            </w:pPr>
            <w:r>
              <w:rPr>
                <w:rFonts w:ascii="宋体" w:hAnsi="宋体" w:cs="宋体" w:eastAsia="宋体"/>
                <w:b w:val="false"/>
              </w:rPr>
              <w:t>12,845,953.23</w:t>
            </w:r>
          </w:p>
        </w:tc>
        <w:tc>
          <w:tcPr>
            <w:tcW w:type="pct" w:w="1300"/>
          </w:tcPr>
          <w:p>
            <w:pPr>
              <w:spacing w:line="240" w:lineRule="auto"/>
              <w:jc w:val="right"/>
            </w:pPr>
            <w:r>
              <w:rPr>
                <w:rFonts w:ascii="宋体" w:hAnsi="宋体" w:cs="宋体" w:eastAsia="宋体"/>
                <w:b w:val="false"/>
              </w:rPr>
              <w:t>115,171.69</w:t>
            </w:r>
          </w:p>
        </w:tc>
      </w:tr>
      <w:tr>
        <w:tc>
          <w:tcPr>
            <w:tcW/>
          </w:tcPr>
          <w:p>
            <w:pPr>
              <w:spacing w:line="240" w:lineRule="auto"/>
              <w:jc w:val="left"/>
            </w:pPr>
            <w:r>
              <w:rPr>
                <w:rFonts w:ascii="宋体" w:hAnsi="宋体" w:cs="宋体" w:eastAsia="宋体"/>
                <w:b w:val="false"/>
              </w:rPr>
              <w:t>报告期期间基金总申购份额</w:t>
            </w:r>
          </w:p>
        </w:tc>
        <w:tc>
          <w:tcPr>
            <w:tcW w:type="pct" w:w="1300"/>
          </w:tcPr>
          <w:p>
            <w:pPr>
              <w:spacing w:line="240" w:lineRule="auto"/>
              <w:jc w:val="right"/>
            </w:pPr>
            <w:r>
              <w:rPr>
                <w:rFonts w:ascii="宋体" w:hAnsi="宋体" w:cs="宋体" w:eastAsia="宋体"/>
                <w:b w:val="false"/>
              </w:rPr>
              <w:t>6,183,063.67</w:t>
            </w:r>
          </w:p>
        </w:tc>
        <w:tc>
          <w:tcPr>
            <w:tcW w:type="pct" w:w="1300"/>
          </w:tcPr>
          <w:p>
            <w:pPr>
              <w:spacing w:line="240" w:lineRule="auto"/>
              <w:jc w:val="right"/>
            </w:pPr>
            <w:r>
              <w:rPr>
                <w:rFonts w:ascii="宋体" w:hAnsi="宋体" w:cs="宋体" w:eastAsia="宋体"/>
                <w:b w:val="false"/>
              </w:rPr>
              <w:t>46,017,635.27</w:t>
            </w:r>
          </w:p>
        </w:tc>
      </w:tr>
      <w:tr>
        <w:tc>
          <w:tcPr>
            <w:tcW/>
          </w:tcPr>
          <w:p>
            <w:pPr>
              <w:spacing w:line="240" w:lineRule="auto"/>
              <w:jc w:val="left"/>
            </w:pPr>
            <w:r>
              <w:rPr>
                <w:rFonts w:ascii="宋体" w:hAnsi="宋体" w:cs="宋体" w:eastAsia="宋体"/>
                <w:b w:val="false"/>
              </w:rPr>
              <w:t>减：报告期期间基金总赎回份额</w:t>
            </w:r>
          </w:p>
        </w:tc>
        <w:tc>
          <w:tcPr>
            <w:tcW w:type="pct" w:w="1300"/>
          </w:tcPr>
          <w:p>
            <w:pPr>
              <w:spacing w:line="240" w:lineRule="auto"/>
              <w:jc w:val="right"/>
            </w:pPr>
            <w:r>
              <w:rPr>
                <w:rFonts w:ascii="宋体" w:hAnsi="宋体" w:cs="宋体" w:eastAsia="宋体"/>
                <w:b w:val="false"/>
              </w:rPr>
              <w:t>2,448,360.67</w:t>
            </w:r>
          </w:p>
        </w:tc>
        <w:tc>
          <w:tcPr>
            <w:tcW w:type="pct" w:w="1300"/>
          </w:tcPr>
          <w:p>
            <w:pPr>
              <w:spacing w:line="240" w:lineRule="auto"/>
              <w:jc w:val="right"/>
            </w:pPr>
            <w:r>
              <w:rPr>
                <w:rFonts w:ascii="宋体" w:hAnsi="宋体" w:cs="宋体" w:eastAsia="宋体"/>
                <w:b w:val="false"/>
              </w:rPr>
              <w:t>11,103,720.99</w:t>
            </w:r>
          </w:p>
        </w:tc>
      </w:tr>
      <w:tr>
        <w:tc>
          <w:tcPr>
            <w:tcW/>
          </w:tcPr>
          <w:p>
            <w:pPr>
              <w:spacing w:line="240" w:lineRule="auto"/>
              <w:jc w:val="left"/>
            </w:pPr>
            <w:r>
              <w:rPr>
                <w:rFonts w:ascii="宋体" w:hAnsi="宋体" w:cs="宋体" w:eastAsia="宋体"/>
                <w:b w:val="false"/>
              </w:rPr>
              <w:t>报告期期间基金拆分变动份额（份额减少以“-”填列）</w:t>
            </w:r>
          </w:p>
        </w:tc>
        <w:tc>
          <w:tcPr>
            <w:tcW w:type="pct" w:w="1300"/>
          </w:tcPr>
          <w:p>
            <w:pPr>
              <w:spacing w:line="240" w:lineRule="auto"/>
              <w:jc w:val="right"/>
            </w:pPr>
            <w:r>
              <w:rPr>
                <w:rFonts w:ascii="宋体" w:hAnsi="宋体" w:cs="宋体" w:eastAsia="宋体"/>
                <w:b w:val="false"/>
              </w:rPr>
              <w:t>-</w:t>
            </w:r>
          </w:p>
        </w:tc>
        <w:tc>
          <w:tcPr>
            <w:tcW w:type="pct" w:w="130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报告期期末基金份额总额</w:t>
            </w:r>
          </w:p>
        </w:tc>
        <w:tc>
          <w:tcPr>
            <w:tcW w:type="pct" w:w="1300"/>
          </w:tcPr>
          <w:p>
            <w:pPr>
              <w:spacing w:line="240" w:lineRule="auto"/>
              <w:jc w:val="right"/>
            </w:pPr>
            <w:r>
              <w:rPr>
                <w:rFonts w:ascii="宋体" w:hAnsi="宋体" w:cs="宋体" w:eastAsia="宋体"/>
                <w:b w:val="false"/>
              </w:rPr>
              <w:t>16,580,656.23</w:t>
            </w:r>
          </w:p>
        </w:tc>
        <w:tc>
          <w:tcPr>
            <w:tcW w:type="pct" w:w="1300"/>
          </w:tcPr>
          <w:p>
            <w:pPr>
              <w:spacing w:line="240" w:lineRule="auto"/>
              <w:jc w:val="right"/>
            </w:pPr>
            <w:r>
              <w:rPr>
                <w:rFonts w:ascii="宋体" w:hAnsi="宋体" w:cs="宋体" w:eastAsia="宋体"/>
                <w:b w:val="false"/>
              </w:rPr>
              <w:t>35,029,085.97</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3077"/>
          </w:tcPr>
          <w:p>
            <w:pPr>
              <w:spacing w:line="240" w:lineRule="auto"/>
              <w:jc w:val="center"/>
            </w:pPr>
          </w:p>
        </w:tc>
        <w:tc>
          <w:tcPr>
            <w:tcW w:type="pct" w:w="950"/>
          </w:tcPr>
          <w:p>
            <w:pPr>
              <w:spacing w:line="240" w:lineRule="auto"/>
              <w:jc w:val="center"/>
            </w:pPr>
            <w:r>
              <w:rPr>
                <w:rFonts w:ascii="宋体" w:hAnsi="宋体" w:cs="宋体" w:eastAsia="宋体"/>
                <w:b w:val="false"/>
              </w:rPr>
              <w:t>东方阿尔法瑞丰混合发起A</w:t>
            </w:r>
          </w:p>
        </w:tc>
        <w:tc>
          <w:tcPr>
            <w:tcW w:type="pct" w:w="950"/>
          </w:tcPr>
          <w:p>
            <w:pPr>
              <w:spacing w:line="240" w:lineRule="auto"/>
              <w:jc w:val="center"/>
            </w:pPr>
            <w:r>
              <w:rPr>
                <w:rFonts w:ascii="宋体" w:hAnsi="宋体" w:cs="宋体" w:eastAsia="宋体"/>
                <w:b w:val="false"/>
              </w:rPr>
              <w:t>东方阿尔法瑞丰混合发起C</w:t>
            </w:r>
          </w:p>
        </w:tc>
      </w:tr>
      <w:tr>
        <w:tc>
          <w:tcPr>
            <w:tcW w:type="pct" w:w="3077"/>
          </w:tcPr>
          <w:p>
            <w:pPr>
              <w:spacing w:line="240" w:lineRule="auto"/>
              <w:jc w:val="left"/>
            </w:pPr>
            <w:r>
              <w:rPr>
                <w:rFonts w:ascii="宋体" w:hAnsi="宋体" w:cs="宋体" w:eastAsia="宋体"/>
                <w:b w:val="false"/>
              </w:rPr>
              <w:t>报告期期初管理人持有的本基金份额</w:t>
            </w:r>
          </w:p>
        </w:tc>
        <w:tc>
          <w:tcPr>
            <w:tcW w:type="pct" w:w="950"/>
          </w:tcPr>
          <w:p>
            <w:pPr>
              <w:spacing w:line="240" w:lineRule="auto"/>
              <w:jc w:val="right"/>
            </w:pPr>
            <w:r>
              <w:rPr>
                <w:rFonts w:ascii="宋体" w:hAnsi="宋体" w:cs="宋体" w:eastAsia="宋体"/>
                <w:b w:val="false"/>
              </w:rPr>
              <w:t>10,000,450.04</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报告期期间买入/申购总份额</w:t>
            </w:r>
          </w:p>
        </w:tc>
        <w:tc>
          <w:tcPr>
            <w:tcW w:type="pct" w:w="950"/>
          </w:tcPr>
          <w:p>
            <w:pPr>
              <w:spacing w:line="240" w:lineRule="auto"/>
              <w:jc w:val="right"/>
            </w:pPr>
            <w:r>
              <w:rPr>
                <w:rFonts w:ascii="宋体" w:hAnsi="宋体" w:cs="宋体" w:eastAsia="宋体"/>
                <w:b w:val="false"/>
              </w:rPr>
              <w:t>-</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报告期期间卖出/赎回总份额</w:t>
            </w:r>
          </w:p>
        </w:tc>
        <w:tc>
          <w:tcPr>
            <w:tcW w:type="pct" w:w="950"/>
          </w:tcPr>
          <w:p>
            <w:pPr>
              <w:spacing w:line="240" w:lineRule="auto"/>
              <w:jc w:val="right"/>
            </w:pPr>
            <w:r>
              <w:rPr>
                <w:rFonts w:ascii="宋体" w:hAnsi="宋体" w:cs="宋体" w:eastAsia="宋体"/>
                <w:b w:val="false"/>
              </w:rPr>
              <w:t>-</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报告期期末管理人持有的本基金份额</w:t>
            </w:r>
          </w:p>
        </w:tc>
        <w:tc>
          <w:tcPr>
            <w:tcW w:type="pct" w:w="950"/>
          </w:tcPr>
          <w:p>
            <w:pPr>
              <w:spacing w:line="240" w:lineRule="auto"/>
              <w:jc w:val="right"/>
            </w:pPr>
            <w:r>
              <w:rPr>
                <w:rFonts w:ascii="宋体" w:hAnsi="宋体" w:cs="宋体" w:eastAsia="宋体"/>
                <w:b w:val="false"/>
              </w:rPr>
              <w:t>10,000,450.04</w:t>
            </w:r>
          </w:p>
        </w:tc>
        <w:tc>
          <w:tcPr>
            <w:tcW w:type="pct" w:w="950"/>
          </w:tcPr>
          <w:p>
            <w:pPr>
              <w:spacing w:line="240" w:lineRule="auto"/>
              <w:jc w:val="right"/>
            </w:pPr>
            <w:r>
              <w:rPr>
                <w:rFonts w:ascii="宋体" w:hAnsi="宋体" w:cs="宋体" w:eastAsia="宋体"/>
                <w:b w:val="false"/>
              </w:rPr>
              <w:t>-</w:t>
            </w:r>
          </w:p>
        </w:tc>
      </w:tr>
      <w:tr>
        <w:tc>
          <w:tcPr>
            <w:tcW/>
          </w:tcPr>
          <w:p>
            <w:pPr>
              <w:spacing w:line="240" w:lineRule="auto"/>
              <w:jc w:val="left"/>
            </w:pPr>
            <w:r>
              <w:rPr>
                <w:rFonts w:ascii="宋体" w:hAnsi="宋体" w:cs="宋体" w:eastAsia="宋体"/>
                <w:b w:val="false"/>
              </w:rPr>
              <w:t>报告期期末持有的本基金份额占基金总份额比例（%）</w:t>
            </w:r>
          </w:p>
        </w:tc>
        <w:tc>
          <w:tcPr>
            <w:tcW w:type="pct" w:w="950"/>
          </w:tcPr>
          <w:p>
            <w:pPr>
              <w:spacing w:line="240" w:lineRule="auto"/>
              <w:jc w:val="right"/>
            </w:pPr>
            <w:r>
              <w:rPr>
                <w:rFonts w:ascii="宋体" w:hAnsi="宋体" w:cs="宋体" w:eastAsia="宋体"/>
                <w:b w:val="false"/>
              </w:rPr>
              <w:t>19.38</w:t>
            </w:r>
          </w:p>
        </w:tc>
        <w:tc>
          <w:tcPr>
            <w:tcW w:type="pct" w:w="950"/>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本报告期内，基金管理人不存在申购、赎回或转换本基金的情况。</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tcPr>
          <w:p>
            <w:pPr>
              <w:spacing w:line="240" w:lineRule="auto"/>
              <w:jc w:val="right"/>
            </w:pPr>
            <w:r>
              <w:rPr>
                <w:rFonts w:ascii="宋体" w:hAnsi="宋体" w:cs="宋体" w:eastAsia="宋体"/>
                <w:b w:val="false"/>
              </w:rPr>
              <w:t>10,000,450.04</w:t>
            </w:r>
          </w:p>
        </w:tc>
        <w:tc>
          <w:tcPr>
            <w:tcW/>
          </w:tcPr>
          <w:p>
            <w:pPr>
              <w:spacing w:line="240" w:lineRule="auto"/>
              <w:jc w:val="right"/>
            </w:pPr>
            <w:r>
              <w:rPr>
                <w:rFonts w:ascii="宋体" w:hAnsi="宋体" w:cs="宋体" w:eastAsia="宋体"/>
                <w:b w:val="false"/>
              </w:rPr>
              <w:t>19.38%</w:t>
            </w:r>
          </w:p>
        </w:tc>
        <w:tc>
          <w:tcPr>
            <w:tcW/>
          </w:tcPr>
          <w:p>
            <w:pPr>
              <w:spacing w:line="240" w:lineRule="auto"/>
              <w:jc w:val="right"/>
            </w:pPr>
            <w:r>
              <w:rPr>
                <w:rFonts w:ascii="宋体" w:hAnsi="宋体" w:cs="宋体" w:eastAsia="宋体"/>
                <w:b w:val="false"/>
              </w:rPr>
              <w:t>10,000,450.04</w:t>
            </w:r>
          </w:p>
        </w:tc>
        <w:tc>
          <w:tcPr>
            <w:tcW/>
          </w:tcPr>
          <w:p>
            <w:pPr>
              <w:spacing w:line="240" w:lineRule="auto"/>
              <w:jc w:val="right"/>
            </w:pPr>
            <w:r>
              <w:rPr>
                <w:rFonts w:ascii="宋体" w:hAnsi="宋体" w:cs="宋体" w:eastAsia="宋体"/>
                <w:b w:val="false"/>
              </w:rPr>
              <w:t>19.38%</w:t>
            </w:r>
          </w:p>
        </w:tc>
        <w:tc>
          <w:tcPr>
            <w:tcW/>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基金经理等人员</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right"/>
            </w:pPr>
            <w:r>
              <w:rPr>
                <w:rFonts w:ascii="宋体" w:hAnsi="宋体" w:cs="宋体" w:eastAsia="宋体"/>
                <w:b w:val="false"/>
              </w:rPr>
              <w:t>-</w:t>
            </w:r>
          </w:p>
        </w:tc>
        <w:tc>
          <w:tcPr>
            <w:tcW/>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tcPr>
          <w:p>
            <w:pPr>
              <w:spacing w:line="240" w:lineRule="auto"/>
              <w:jc w:val="right"/>
            </w:pPr>
            <w:r>
              <w:rPr>
                <w:rFonts w:ascii="宋体" w:hAnsi="宋体" w:cs="宋体" w:eastAsia="宋体"/>
                <w:b w:val="false"/>
              </w:rPr>
              <w:t>10,000,450.04</w:t>
            </w:r>
          </w:p>
        </w:tc>
        <w:tc>
          <w:tcPr>
            <w:tcW/>
          </w:tcPr>
          <w:p>
            <w:pPr>
              <w:spacing w:line="240" w:lineRule="auto"/>
              <w:jc w:val="right"/>
            </w:pPr>
            <w:r>
              <w:rPr>
                <w:rFonts w:ascii="宋体" w:hAnsi="宋体" w:cs="宋体" w:eastAsia="宋体"/>
                <w:b w:val="false"/>
              </w:rPr>
              <w:t>19.38%</w:t>
            </w:r>
          </w:p>
        </w:tc>
        <w:tc>
          <w:tcPr>
            <w:tcW/>
          </w:tcPr>
          <w:p>
            <w:pPr>
              <w:spacing w:line="240" w:lineRule="auto"/>
              <w:jc w:val="right"/>
            </w:pPr>
            <w:r>
              <w:rPr>
                <w:rFonts w:ascii="宋体" w:hAnsi="宋体" w:cs="宋体" w:eastAsia="宋体"/>
                <w:b w:val="false"/>
              </w:rPr>
              <w:t>10,000,450.04</w:t>
            </w:r>
          </w:p>
        </w:tc>
        <w:tc>
          <w:tcPr>
            <w:tcW/>
          </w:tcPr>
          <w:p>
            <w:pPr>
              <w:spacing w:line="240" w:lineRule="auto"/>
              <w:jc w:val="right"/>
            </w:pPr>
            <w:r>
              <w:rPr>
                <w:rFonts w:ascii="宋体" w:hAnsi="宋体" w:cs="宋体" w:eastAsia="宋体"/>
                <w:b w:val="false"/>
              </w:rPr>
              <w:t>19.38%</w:t>
            </w:r>
          </w:p>
        </w:tc>
        <w:tc>
          <w:tcPr>
            <w:tcW/>
          </w:tcPr>
          <w:p>
            <w:pPr>
              <w:spacing w:line="240" w:lineRule="auto"/>
              <w:jc w:val="left"/>
            </w:pPr>
            <w:r>
              <w:rPr>
                <w:rFonts w:ascii="宋体" w:hAnsi="宋体" w:cs="宋体" w:eastAsia="宋体"/>
                <w:b w:val="false"/>
              </w:rPr>
              <w:t>-</w:t>
            </w:r>
          </w:p>
        </w:tc>
      </w:tr>
    </w:tbl>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20250101-20250323</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19.38%</w:t>
            </w:r>
          </w:p>
        </w:tc>
      </w:tr>
      <w:tr>
        <w:tc>
          <w:tcPr>
            <w:tcW/>
            <w:hMerge w:val="restart"/>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1、中国证券监督管理委员会批准的东方阿尔法瑞丰混合型发起式证券投资基金设立的文件；</w:t>
        <w:cr/>
      </w:r>
      <w:r>
        <w:rPr>
          <w:rFonts w:ascii="宋体" w:hAnsi="宋体" w:cs="宋体" w:eastAsia="宋体"/>
          <w:b w:val="false"/>
        </w:rPr>
        <w:t xml:space="preserve">    2、《东方阿尔法瑞丰混合型发起式证券投资基金基金合同》；</w:t>
        <w:cr/>
      </w:r>
      <w:r>
        <w:rPr>
          <w:rFonts w:ascii="宋体" w:hAnsi="宋体" w:cs="宋体" w:eastAsia="宋体"/>
          <w:b w:val="false"/>
        </w:rPr>
        <w:t xml:space="preserve">    3、《东方阿尔法瑞丰混合型发起式证券投资基金托管协议》；</w:t>
        <w:cr/>
      </w:r>
      <w:r>
        <w:rPr>
          <w:rFonts w:ascii="宋体" w:hAnsi="宋体" w:cs="宋体" w:eastAsia="宋体"/>
          <w:b w:val="false"/>
        </w:rPr>
        <w:t xml:space="preserve">    4、《东方阿尔法瑞丰混合型发起式证券投资基金招募说明书》（含更新）；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二〇二五年四月十八日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东方阿尔法瑞丰混合型发起式证券投资基金2025年第1季度报告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