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东方阿尔法兴科一年持有期混合型证券投资基金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兴业银行股份有限公司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2025年04月18日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基金托管人兴业银行股份有限公司根据本基金合同规定，于2025年04月17日复核了本报告中的财务指标、净值表现和投资组合报告等内容，保证复核内容不存在虚假记载、误导性陈述或者重大遗漏。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本报告期自2025年01月01日起至2025年03月31日止。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东方阿尔法兴科一年持有混合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015900</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契约型开放式。每个开放日开放申购，每笔申购/转换转入申请所得基金份额持有满一年后每个开放日开放赎回/转换转出。</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2022年09月28日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193,670,536.67份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本基金在有效控制组合风险并保持良好流动性的前提下，通过深入研究、优选个股、主动的投资管理方式力求实现组合资产的稳健增值。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本基金根据对宏观经济周期的分析研究，结合基本面、市场面、政策面等多种因素的综合考量，研判所处经济周期的位置及未来发展方向，以确定组合中股票、债券、货币市场工具及其他金融工具的比例。</w:t>
              <w:br/>
            </w:r>
            <w:r>
              <w:rPr>
                <w:rFonts w:ascii="宋体" w:hAnsi="宋体" w:cs="宋体" w:eastAsia="宋体"/>
                <w:b w:val="false"/>
              </w:rPr>
              <w:t>2、股票投资策略</w:t>
              <w:br/>
            </w:r>
            <w:r>
              <w:rPr>
                <w:rFonts w:ascii="宋体" w:hAnsi="宋体" w:cs="宋体" w:eastAsia="宋体"/>
                <w:b w:val="false"/>
              </w:rPr>
              <w:t>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br/>
            </w:r>
            <w:r>
              <w:rPr>
                <w:rFonts w:ascii="宋体" w:hAnsi="宋体" w:cs="宋体" w:eastAsia="宋体"/>
                <w:b w:val="false"/>
              </w:rPr>
              <w:t>3、港股投资策略</w:t>
              <w:br/>
            </w:r>
            <w:r>
              <w:rPr>
                <w:rFonts w:ascii="宋体" w:hAnsi="宋体" w:cs="宋体" w:eastAsia="宋体"/>
                <w:b w:val="false"/>
              </w:rPr>
              <w:t>本基金可通过内地与香港股票市场交易互联互通机制投资于香港股票市场，不使用合格境内机构投资者(QDII)境外投资额度进行境外投资。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本基金在深入研究的基础上，通过定性分析和定量分析相结合的方式，可选择投资价值高的存托凭证进行投资。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本基金以套期保值为目的，在风险可控的前提下，参与股指期货的投资。本基金还将运用股指期货来管理特殊情况下的流动性风险，如预期大额申购赎回、大量分红等。</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中证800指数收益率×60%+中证综合债券指数收益率×20%+恒生指数收益率×20%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兴业银行股份有限公司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东方阿尔法兴科一年持有混合A</w:t>
            </w:r>
          </w:p>
        </w:tc>
        <w:tc>
          <w:tcPr>
            <w:tcW w:type="pct" w:w="1500"/>
          </w:tcPr>
          <w:p>
            <w:pPr>
              <w:spacing w:line="240" w:lineRule="auto"/>
              <w:jc w:val="left"/>
            </w:pPr>
            <w:r>
              <w:rPr>
                <w:rFonts w:ascii="宋体" w:hAnsi="宋体" w:cs="宋体" w:eastAsia="宋体"/>
                <w:b w:val="false"/>
              </w:rPr>
              <w:t>东方阿尔法兴科一年持有混合C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015900</w:t>
            </w:r>
          </w:p>
        </w:tc>
        <w:tc>
          <w:tcPr>
            <w:tcW w:type="pct" w:w="1500"/>
          </w:tcPr>
          <w:p>
            <w:pPr>
              <w:spacing w:line="240" w:lineRule="auto"/>
              <w:jc w:val="left"/>
            </w:pPr>
            <w:r>
              <w:rPr>
                <w:rFonts w:ascii="宋体" w:hAnsi="宋体" w:cs="宋体" w:eastAsia="宋体"/>
                <w:b w:val="false"/>
              </w:rPr>
              <w:t>015901</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161,269,483.81份</w:t>
            </w:r>
          </w:p>
        </w:tc>
        <w:tc>
          <w:tcPr>
            <w:tcW w:type="pct" w:w="1500"/>
          </w:tcPr>
          <w:p>
            <w:pPr>
              <w:spacing w:line="240" w:lineRule="auto"/>
              <w:jc w:val="left"/>
            </w:pPr>
            <w:r>
              <w:rPr>
                <w:rFonts w:ascii="宋体" w:hAnsi="宋体" w:cs="宋体" w:eastAsia="宋体"/>
                <w:b w:val="false"/>
              </w:rPr>
              <w:t>32,401,052.86份</w:t>
            </w:r>
          </w:p>
        </w:tc>
      </w:tr>
    </w:tbl>
    <w:p>
      <w:r>
        <w:rPr>
          <w:rFonts w:ascii="宋体" w:hAnsi="宋体" w:cs="宋体" w:eastAsia="宋体"/>
          <w:b w:val="false"/>
        </w:rPr>
        <w:t>注：本基金对每份基金份额设置一年的最短持有期限。</w:t>
        <w:cr/>
      </w:r>
      <w:r>
        <w:rPr>
          <w:rFonts w:ascii="宋体" w:hAnsi="宋体" w:cs="宋体" w:eastAsia="宋体"/>
          <w:b w:val="false"/>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cr/>
      </w:r>
      <w:r>
        <w:rPr>
          <w:rFonts w:ascii="宋体" w:hAnsi="宋体" w:cs="宋体" w:eastAsia="宋体"/>
          <w:b w:val="false"/>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报告期（2025年01月01日-2025年03月31日）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东方阿尔法兴科一年持有混合A</w:t>
            </w:r>
          </w:p>
        </w:tc>
        <w:tc>
          <w:tcPr>
            <w:tcW w:type="pct" w:w="1500"/>
          </w:tcPr>
          <w:tcPr>
            <w:shd w:fill="d9d9d9"/>
          </w:tcPr>
          <w:p>
            <w:pPr>
              <w:spacing w:line="240" w:lineRule="auto"/>
              <w:jc w:val="center"/>
            </w:pPr>
            <w:r>
              <w:rPr>
                <w:rFonts w:ascii="宋体" w:hAnsi="宋体" w:cs="宋体" w:eastAsia="宋体"/>
                <w:b w:val="false"/>
              </w:rPr>
              <w:t>东方阿尔法兴科一年持有混合C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10,390,174.98</w:t>
            </w:r>
          </w:p>
        </w:tc>
        <w:tc>
          <w:tcPr>
            <w:tcW w:type="pct" w:w="1500"/>
          </w:tcPr>
          <w:p>
            <w:pPr>
              <w:spacing w:line="240" w:lineRule="auto"/>
              <w:jc w:val="right"/>
            </w:pPr>
            <w:r>
              <w:rPr>
                <w:rFonts w:ascii="宋体" w:hAnsi="宋体" w:cs="宋体" w:eastAsia="宋体"/>
                <w:b w:val="false"/>
              </w:rPr>
              <w:t>2,037,362.31</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4,792,847.66</w:t>
            </w:r>
          </w:p>
        </w:tc>
        <w:tc>
          <w:tcPr>
            <w:tcW w:type="pct" w:w="1500"/>
          </w:tcPr>
          <w:p>
            <w:pPr>
              <w:spacing w:line="240" w:lineRule="auto"/>
              <w:jc w:val="right"/>
            </w:pPr>
            <w:r>
              <w:rPr>
                <w:rFonts w:ascii="宋体" w:hAnsi="宋体" w:cs="宋体" w:eastAsia="宋体"/>
                <w:b w:val="false"/>
              </w:rPr>
              <w:t>987,587.38</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0.0292</w:t>
            </w:r>
          </w:p>
        </w:tc>
        <w:tc>
          <w:tcPr>
            <w:tcW w:type="pct" w:w="1500"/>
          </w:tcPr>
          <w:p>
            <w:pPr>
              <w:spacing w:line="240" w:lineRule="auto"/>
              <w:jc w:val="right"/>
            </w:pPr>
            <w:r>
              <w:rPr>
                <w:rFonts w:ascii="宋体" w:hAnsi="宋体" w:cs="宋体" w:eastAsia="宋体"/>
                <w:b w:val="false"/>
              </w:rPr>
              <w:t>0.0289</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143,916,756.14</w:t>
            </w:r>
          </w:p>
        </w:tc>
        <w:tc>
          <w:tcPr>
            <w:tcW w:type="pct" w:w="1500"/>
          </w:tcPr>
          <w:p>
            <w:pPr>
              <w:spacing w:line="240" w:lineRule="auto"/>
              <w:jc w:val="right"/>
            </w:pPr>
            <w:r>
              <w:rPr>
                <w:rFonts w:ascii="宋体" w:hAnsi="宋体" w:cs="宋体" w:eastAsia="宋体"/>
                <w:b w:val="false"/>
              </w:rPr>
              <w:t>28,481,931.12</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0.8924</w:t>
            </w:r>
          </w:p>
        </w:tc>
        <w:tc>
          <w:tcPr>
            <w:tcW w:type="pct" w:w="1500"/>
          </w:tcPr>
          <w:p>
            <w:pPr>
              <w:spacing w:line="240" w:lineRule="auto"/>
              <w:jc w:val="right"/>
            </w:pPr>
            <w:r>
              <w:rPr>
                <w:rFonts w:ascii="宋体" w:hAnsi="宋体" w:cs="宋体" w:eastAsia="宋体"/>
                <w:b w:val="false"/>
              </w:rPr>
              <w:t>0.8790</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东方阿尔法兴科一年持有混合A净值表现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3.36%</w:t>
            </w:r>
          </w:p>
        </w:tc>
        <w:tc>
          <w:tcPr>
            <w:tcW/>
          </w:tcPr>
          <w:p>
            <w:pPr>
              <w:spacing w:line="240" w:lineRule="auto"/>
              <w:jc w:val="right"/>
            </w:pPr>
            <w:r>
              <w:rPr>
                <w:rFonts w:ascii="宋体" w:hAnsi="宋体" w:cs="宋体" w:eastAsia="宋体"/>
                <w:b w:val="false"/>
              </w:rPr>
              <w:t>1.03%</w:t>
            </w:r>
          </w:p>
        </w:tc>
        <w:tc>
          <w:tcPr>
            <w:tcW/>
          </w:tcPr>
          <w:p>
            <w:pPr>
              <w:spacing w:line="240" w:lineRule="auto"/>
              <w:jc w:val="right"/>
            </w:pPr>
            <w:r>
              <w:rPr>
                <w:rFonts w:ascii="宋体" w:hAnsi="宋体" w:cs="宋体" w:eastAsia="宋体"/>
                <w:b w:val="false"/>
              </w:rPr>
              <w:t>2.60%</w:t>
            </w:r>
          </w:p>
        </w:tc>
        <w:tc>
          <w:tcPr>
            <w:tcW/>
          </w:tcPr>
          <w:p>
            <w:pPr>
              <w:spacing w:line="240" w:lineRule="auto"/>
              <w:jc w:val="right"/>
            </w:pPr>
            <w:r>
              <w:rPr>
                <w:rFonts w:ascii="宋体" w:hAnsi="宋体" w:cs="宋体" w:eastAsia="宋体"/>
                <w:b w:val="false"/>
              </w:rPr>
              <w:t>0.84%</w:t>
            </w:r>
          </w:p>
        </w:tc>
        <w:tc>
          <w:tcPr>
            <w:tcW/>
          </w:tcPr>
          <w:p>
            <w:pPr>
              <w:spacing w:line="240" w:lineRule="auto"/>
              <w:jc w:val="right"/>
            </w:pPr>
            <w:r>
              <w:rPr>
                <w:rFonts w:ascii="宋体" w:hAnsi="宋体" w:cs="宋体" w:eastAsia="宋体"/>
                <w:b w:val="false"/>
              </w:rPr>
              <w:t>0.76%</w:t>
            </w:r>
          </w:p>
        </w:tc>
        <w:tc>
          <w:tcPr>
            <w:tcW/>
          </w:tcPr>
          <w:p>
            <w:pPr>
              <w:spacing w:line="240" w:lineRule="auto"/>
              <w:jc w:val="right"/>
            </w:pPr>
            <w:r>
              <w:rPr>
                <w:rFonts w:ascii="宋体" w:hAnsi="宋体" w:cs="宋体" w:eastAsia="宋体"/>
                <w:b w:val="false"/>
              </w:rPr>
              <w:t>0.19%</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-0.56%</w:t>
            </w:r>
          </w:p>
        </w:tc>
        <w:tc>
          <w:tcPr>
            <w:tcW/>
          </w:tcPr>
          <w:p>
            <w:pPr>
              <w:spacing w:line="240" w:lineRule="auto"/>
              <w:jc w:val="right"/>
            </w:pPr>
            <w:r>
              <w:rPr>
                <w:rFonts w:ascii="宋体" w:hAnsi="宋体" w:cs="宋体" w:eastAsia="宋体"/>
                <w:b w:val="false"/>
              </w:rPr>
              <w:t>1.37%</w:t>
            </w:r>
          </w:p>
        </w:tc>
        <w:tc>
          <w:tcPr>
            <w:tcW/>
          </w:tcPr>
          <w:p>
            <w:pPr>
              <w:spacing w:line="240" w:lineRule="auto"/>
              <w:jc w:val="right"/>
            </w:pPr>
            <w:r>
              <w:rPr>
                <w:rFonts w:ascii="宋体" w:hAnsi="宋体" w:cs="宋体" w:eastAsia="宋体"/>
                <w:b w:val="false"/>
              </w:rPr>
              <w:t>1.86%</w:t>
            </w:r>
          </w:p>
        </w:tc>
        <w:tc>
          <w:tcPr>
            <w:tcW/>
          </w:tcPr>
          <w:p>
            <w:pPr>
              <w:spacing w:line="240" w:lineRule="auto"/>
              <w:jc w:val="right"/>
            </w:pPr>
            <w:r>
              <w:rPr>
                <w:rFonts w:ascii="宋体" w:hAnsi="宋体" w:cs="宋体" w:eastAsia="宋体"/>
                <w:b w:val="false"/>
              </w:rPr>
              <w:t>1.06%</w:t>
            </w:r>
          </w:p>
        </w:tc>
        <w:tc>
          <w:tcPr>
            <w:tcW/>
          </w:tcPr>
          <w:p>
            <w:pPr>
              <w:spacing w:line="240" w:lineRule="auto"/>
              <w:jc w:val="right"/>
            </w:pPr>
            <w:r>
              <w:rPr>
                <w:rFonts w:ascii="宋体" w:hAnsi="宋体" w:cs="宋体" w:eastAsia="宋体"/>
                <w:b w:val="false"/>
              </w:rPr>
              <w:t>-2.42%</w:t>
            </w:r>
          </w:p>
        </w:tc>
        <w:tc>
          <w:tcPr>
            <w:tcW/>
          </w:tcPr>
          <w:p>
            <w:pPr>
              <w:spacing w:line="240" w:lineRule="auto"/>
              <w:jc w:val="right"/>
            </w:pPr>
            <w:r>
              <w:rPr>
                <w:rFonts w:ascii="宋体" w:hAnsi="宋体" w:cs="宋体" w:eastAsia="宋体"/>
                <w:b w:val="false"/>
              </w:rPr>
              <w:t>0.31%</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7.62%</w:t>
            </w:r>
          </w:p>
        </w:tc>
        <w:tc>
          <w:tcPr>
            <w:tcW/>
          </w:tcPr>
          <w:p>
            <w:pPr>
              <w:spacing w:line="240" w:lineRule="auto"/>
              <w:jc w:val="right"/>
            </w:pPr>
            <w:r>
              <w:rPr>
                <w:rFonts w:ascii="宋体" w:hAnsi="宋体" w:cs="宋体" w:eastAsia="宋体"/>
                <w:b w:val="false"/>
              </w:rPr>
              <w:t>1.53%</w:t>
            </w:r>
          </w:p>
        </w:tc>
        <w:tc>
          <w:tcPr>
            <w:tcW/>
          </w:tcPr>
          <w:p>
            <w:pPr>
              <w:spacing w:line="240" w:lineRule="auto"/>
              <w:jc w:val="right"/>
            </w:pPr>
            <w:r>
              <w:rPr>
                <w:rFonts w:ascii="宋体" w:hAnsi="宋体" w:cs="宋体" w:eastAsia="宋体"/>
                <w:b w:val="false"/>
              </w:rPr>
              <w:t>15.58%</w:t>
            </w:r>
          </w:p>
        </w:tc>
        <w:tc>
          <w:tcPr>
            <w:tcW/>
          </w:tcPr>
          <w:p>
            <w:pPr>
              <w:spacing w:line="240" w:lineRule="auto"/>
              <w:jc w:val="right"/>
            </w:pPr>
            <w:r>
              <w:rPr>
                <w:rFonts w:ascii="宋体" w:hAnsi="宋体" w:cs="宋体" w:eastAsia="宋体"/>
                <w:b w:val="false"/>
              </w:rPr>
              <w:t>1.01%</w:t>
            </w:r>
          </w:p>
        </w:tc>
        <w:tc>
          <w:tcPr>
            <w:tcW/>
          </w:tcPr>
          <w:p>
            <w:pPr>
              <w:spacing w:line="240" w:lineRule="auto"/>
              <w:jc w:val="right"/>
            </w:pPr>
            <w:r>
              <w:rPr>
                <w:rFonts w:ascii="宋体" w:hAnsi="宋体" w:cs="宋体" w:eastAsia="宋体"/>
                <w:b w:val="false"/>
              </w:rPr>
              <w:t>-7.96%</w:t>
            </w:r>
          </w:p>
        </w:tc>
        <w:tc>
          <w:tcPr>
            <w:tcW/>
          </w:tcPr>
          <w:p>
            <w:pPr>
              <w:spacing w:line="240" w:lineRule="auto"/>
              <w:jc w:val="right"/>
            </w:pPr>
            <w:r>
              <w:rPr>
                <w:rFonts w:ascii="宋体" w:hAnsi="宋体" w:cs="宋体" w:eastAsia="宋体"/>
                <w:b w:val="false"/>
              </w:rPr>
              <w:t>0.52%</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-10.76%</w:t>
            </w:r>
          </w:p>
        </w:tc>
        <w:tc>
          <w:tcPr>
            <w:tcW/>
          </w:tcPr>
          <w:p>
            <w:pPr>
              <w:spacing w:line="240" w:lineRule="auto"/>
              <w:jc w:val="right"/>
            </w:pPr>
            <w:r>
              <w:rPr>
                <w:rFonts w:ascii="宋体" w:hAnsi="宋体" w:cs="宋体" w:eastAsia="宋体"/>
                <w:b w:val="false"/>
              </w:rPr>
              <w:t>1.50%</w:t>
            </w:r>
          </w:p>
        </w:tc>
        <w:tc>
          <w:tcPr>
            <w:tcW/>
          </w:tcPr>
          <w:p>
            <w:pPr>
              <w:spacing w:line="240" w:lineRule="auto"/>
              <w:jc w:val="right"/>
            </w:pPr>
            <w:r>
              <w:rPr>
                <w:rFonts w:ascii="宋体" w:hAnsi="宋体" w:cs="宋体" w:eastAsia="宋体"/>
                <w:b w:val="false"/>
              </w:rPr>
              <w:t>9.48%</w:t>
            </w:r>
          </w:p>
        </w:tc>
        <w:tc>
          <w:tcPr>
            <w:tcW/>
          </w:tcPr>
          <w:p>
            <w:pPr>
              <w:spacing w:line="240" w:lineRule="auto"/>
              <w:jc w:val="right"/>
            </w:pPr>
            <w:r>
              <w:rPr>
                <w:rFonts w:ascii="宋体" w:hAnsi="宋体" w:cs="宋体" w:eastAsia="宋体"/>
                <w:b w:val="false"/>
              </w:rPr>
              <w:t>0.90%</w:t>
            </w:r>
          </w:p>
        </w:tc>
        <w:tc>
          <w:tcPr>
            <w:tcW/>
          </w:tcPr>
          <w:p>
            <w:pPr>
              <w:spacing w:line="240" w:lineRule="auto"/>
              <w:jc w:val="right"/>
            </w:pPr>
            <w:r>
              <w:rPr>
                <w:rFonts w:ascii="宋体" w:hAnsi="宋体" w:cs="宋体" w:eastAsia="宋体"/>
                <w:b w:val="false"/>
              </w:rPr>
              <w:t>-20.24%</w:t>
            </w:r>
          </w:p>
        </w:tc>
        <w:tc>
          <w:tcPr>
            <w:tcW/>
          </w:tcPr>
          <w:p>
            <w:pPr>
              <w:spacing w:line="240" w:lineRule="auto"/>
              <w:jc w:val="right"/>
            </w:pPr>
            <w:r>
              <w:rPr>
                <w:rFonts w:ascii="宋体" w:hAnsi="宋体" w:cs="宋体" w:eastAsia="宋体"/>
                <w:b w:val="false"/>
              </w:rPr>
              <w:t>0.60%</w:t>
            </w:r>
          </w:p>
        </w:tc>
      </w:tr>
    </w:tbl>
    <w:p>
      <w:pPr>
        <w:jc w:val="left"/>
      </w:pPr>
      <w:r>
        <w:rPr>
          <w:rFonts w:ascii="宋体" w:hAnsi="宋体" w:cs="宋体" w:eastAsia="宋体"/>
          <w:b w:val="true"/>
        </w:rPr>
        <w:t>东方阿尔法兴科一年持有混合C净值表现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3.19%</w:t>
            </w:r>
          </w:p>
        </w:tc>
        <w:tc>
          <w:tcPr>
            <w:tcW/>
          </w:tcPr>
          <w:p>
            <w:pPr>
              <w:spacing w:line="240" w:lineRule="auto"/>
              <w:jc w:val="right"/>
            </w:pPr>
            <w:r>
              <w:rPr>
                <w:rFonts w:ascii="宋体" w:hAnsi="宋体" w:cs="宋体" w:eastAsia="宋体"/>
                <w:b w:val="false"/>
              </w:rPr>
              <w:t>1.03%</w:t>
            </w:r>
          </w:p>
        </w:tc>
        <w:tc>
          <w:tcPr>
            <w:tcW/>
          </w:tcPr>
          <w:p>
            <w:pPr>
              <w:spacing w:line="240" w:lineRule="auto"/>
              <w:jc w:val="right"/>
            </w:pPr>
            <w:r>
              <w:rPr>
                <w:rFonts w:ascii="宋体" w:hAnsi="宋体" w:cs="宋体" w:eastAsia="宋体"/>
                <w:b w:val="false"/>
              </w:rPr>
              <w:t>2.60%</w:t>
            </w:r>
          </w:p>
        </w:tc>
        <w:tc>
          <w:tcPr>
            <w:tcW/>
          </w:tcPr>
          <w:p>
            <w:pPr>
              <w:spacing w:line="240" w:lineRule="auto"/>
              <w:jc w:val="right"/>
            </w:pPr>
            <w:r>
              <w:rPr>
                <w:rFonts w:ascii="宋体" w:hAnsi="宋体" w:cs="宋体" w:eastAsia="宋体"/>
                <w:b w:val="false"/>
              </w:rPr>
              <w:t>0.84%</w:t>
            </w:r>
          </w:p>
        </w:tc>
        <w:tc>
          <w:tcPr>
            <w:tcW/>
          </w:tcPr>
          <w:p>
            <w:pPr>
              <w:spacing w:line="240" w:lineRule="auto"/>
              <w:jc w:val="right"/>
            </w:pPr>
            <w:r>
              <w:rPr>
                <w:rFonts w:ascii="宋体" w:hAnsi="宋体" w:cs="宋体" w:eastAsia="宋体"/>
                <w:b w:val="false"/>
              </w:rPr>
              <w:t>0.59%</w:t>
            </w:r>
          </w:p>
        </w:tc>
        <w:tc>
          <w:tcPr>
            <w:tcW/>
          </w:tcPr>
          <w:p>
            <w:pPr>
              <w:spacing w:line="240" w:lineRule="auto"/>
              <w:jc w:val="right"/>
            </w:pPr>
            <w:r>
              <w:rPr>
                <w:rFonts w:ascii="宋体" w:hAnsi="宋体" w:cs="宋体" w:eastAsia="宋体"/>
                <w:b w:val="false"/>
              </w:rPr>
              <w:t>0.19%</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-0.86%</w:t>
            </w:r>
          </w:p>
        </w:tc>
        <w:tc>
          <w:tcPr>
            <w:tcW/>
          </w:tcPr>
          <w:p>
            <w:pPr>
              <w:spacing w:line="240" w:lineRule="auto"/>
              <w:jc w:val="right"/>
            </w:pPr>
            <w:r>
              <w:rPr>
                <w:rFonts w:ascii="宋体" w:hAnsi="宋体" w:cs="宋体" w:eastAsia="宋体"/>
                <w:b w:val="false"/>
              </w:rPr>
              <w:t>1.37%</w:t>
            </w:r>
          </w:p>
        </w:tc>
        <w:tc>
          <w:tcPr>
            <w:tcW/>
          </w:tcPr>
          <w:p>
            <w:pPr>
              <w:spacing w:line="240" w:lineRule="auto"/>
              <w:jc w:val="right"/>
            </w:pPr>
            <w:r>
              <w:rPr>
                <w:rFonts w:ascii="宋体" w:hAnsi="宋体" w:cs="宋体" w:eastAsia="宋体"/>
                <w:b w:val="false"/>
              </w:rPr>
              <w:t>1.86%</w:t>
            </w:r>
          </w:p>
        </w:tc>
        <w:tc>
          <w:tcPr>
            <w:tcW/>
          </w:tcPr>
          <w:p>
            <w:pPr>
              <w:spacing w:line="240" w:lineRule="auto"/>
              <w:jc w:val="right"/>
            </w:pPr>
            <w:r>
              <w:rPr>
                <w:rFonts w:ascii="宋体" w:hAnsi="宋体" w:cs="宋体" w:eastAsia="宋体"/>
                <w:b w:val="false"/>
              </w:rPr>
              <w:t>1.06%</w:t>
            </w:r>
          </w:p>
        </w:tc>
        <w:tc>
          <w:tcPr>
            <w:tcW/>
          </w:tcPr>
          <w:p>
            <w:pPr>
              <w:spacing w:line="240" w:lineRule="auto"/>
              <w:jc w:val="right"/>
            </w:pPr>
            <w:r>
              <w:rPr>
                <w:rFonts w:ascii="宋体" w:hAnsi="宋体" w:cs="宋体" w:eastAsia="宋体"/>
                <w:b w:val="false"/>
              </w:rPr>
              <w:t>-2.72%</w:t>
            </w:r>
          </w:p>
        </w:tc>
        <w:tc>
          <w:tcPr>
            <w:tcW/>
          </w:tcPr>
          <w:p>
            <w:pPr>
              <w:spacing w:line="240" w:lineRule="auto"/>
              <w:jc w:val="right"/>
            </w:pPr>
            <w:r>
              <w:rPr>
                <w:rFonts w:ascii="宋体" w:hAnsi="宋体" w:cs="宋体" w:eastAsia="宋体"/>
                <w:b w:val="false"/>
              </w:rPr>
              <w:t>0.31%</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6.96%</w:t>
            </w:r>
          </w:p>
        </w:tc>
        <w:tc>
          <w:tcPr>
            <w:tcW/>
          </w:tcPr>
          <w:p>
            <w:pPr>
              <w:spacing w:line="240" w:lineRule="auto"/>
              <w:jc w:val="right"/>
            </w:pPr>
            <w:r>
              <w:rPr>
                <w:rFonts w:ascii="宋体" w:hAnsi="宋体" w:cs="宋体" w:eastAsia="宋体"/>
                <w:b w:val="false"/>
              </w:rPr>
              <w:t>1.52%</w:t>
            </w:r>
          </w:p>
        </w:tc>
        <w:tc>
          <w:tcPr>
            <w:tcW/>
          </w:tcPr>
          <w:p>
            <w:pPr>
              <w:spacing w:line="240" w:lineRule="auto"/>
              <w:jc w:val="right"/>
            </w:pPr>
            <w:r>
              <w:rPr>
                <w:rFonts w:ascii="宋体" w:hAnsi="宋体" w:cs="宋体" w:eastAsia="宋体"/>
                <w:b w:val="false"/>
              </w:rPr>
              <w:t>15.58%</w:t>
            </w:r>
          </w:p>
        </w:tc>
        <w:tc>
          <w:tcPr>
            <w:tcW/>
          </w:tcPr>
          <w:p>
            <w:pPr>
              <w:spacing w:line="240" w:lineRule="auto"/>
              <w:jc w:val="right"/>
            </w:pPr>
            <w:r>
              <w:rPr>
                <w:rFonts w:ascii="宋体" w:hAnsi="宋体" w:cs="宋体" w:eastAsia="宋体"/>
                <w:b w:val="false"/>
              </w:rPr>
              <w:t>1.01%</w:t>
            </w:r>
          </w:p>
        </w:tc>
        <w:tc>
          <w:tcPr>
            <w:tcW/>
          </w:tcPr>
          <w:p>
            <w:pPr>
              <w:spacing w:line="240" w:lineRule="auto"/>
              <w:jc w:val="right"/>
            </w:pPr>
            <w:r>
              <w:rPr>
                <w:rFonts w:ascii="宋体" w:hAnsi="宋体" w:cs="宋体" w:eastAsia="宋体"/>
                <w:b w:val="false"/>
              </w:rPr>
              <w:t>-8.62%</w:t>
            </w:r>
          </w:p>
        </w:tc>
        <w:tc>
          <w:tcPr>
            <w:tcW/>
          </w:tcPr>
          <w:p>
            <w:pPr>
              <w:spacing w:line="240" w:lineRule="auto"/>
              <w:jc w:val="right"/>
            </w:pPr>
            <w:r>
              <w:rPr>
                <w:rFonts w:ascii="宋体" w:hAnsi="宋体" w:cs="宋体" w:eastAsia="宋体"/>
                <w:b w:val="false"/>
              </w:rPr>
              <w:t>0.51%</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-12.10%</w:t>
            </w:r>
          </w:p>
        </w:tc>
        <w:tc>
          <w:tcPr>
            <w:tcW/>
          </w:tcPr>
          <w:p>
            <w:pPr>
              <w:spacing w:line="240" w:lineRule="auto"/>
              <w:jc w:val="right"/>
            </w:pPr>
            <w:r>
              <w:rPr>
                <w:rFonts w:ascii="宋体" w:hAnsi="宋体" w:cs="宋体" w:eastAsia="宋体"/>
                <w:b w:val="false"/>
              </w:rPr>
              <w:t>1.50%</w:t>
            </w:r>
          </w:p>
        </w:tc>
        <w:tc>
          <w:tcPr>
            <w:tcW/>
          </w:tcPr>
          <w:p>
            <w:pPr>
              <w:spacing w:line="240" w:lineRule="auto"/>
              <w:jc w:val="right"/>
            </w:pPr>
            <w:r>
              <w:rPr>
                <w:rFonts w:ascii="宋体" w:hAnsi="宋体" w:cs="宋体" w:eastAsia="宋体"/>
                <w:b w:val="false"/>
              </w:rPr>
              <w:t>9.48%</w:t>
            </w:r>
          </w:p>
        </w:tc>
        <w:tc>
          <w:tcPr>
            <w:tcW/>
          </w:tcPr>
          <w:p>
            <w:pPr>
              <w:spacing w:line="240" w:lineRule="auto"/>
              <w:jc w:val="right"/>
            </w:pPr>
            <w:r>
              <w:rPr>
                <w:rFonts w:ascii="宋体" w:hAnsi="宋体" w:cs="宋体" w:eastAsia="宋体"/>
                <w:b w:val="false"/>
              </w:rPr>
              <w:t>0.90%</w:t>
            </w:r>
          </w:p>
        </w:tc>
        <w:tc>
          <w:tcPr>
            <w:tcW/>
          </w:tcPr>
          <w:p>
            <w:pPr>
              <w:spacing w:line="240" w:lineRule="auto"/>
              <w:jc w:val="right"/>
            </w:pPr>
            <w:r>
              <w:rPr>
                <w:rFonts w:ascii="宋体" w:hAnsi="宋体" w:cs="宋体" w:eastAsia="宋体"/>
                <w:b w:val="false"/>
              </w:rPr>
              <w:t>-21.58%</w:t>
            </w:r>
          </w:p>
        </w:tc>
        <w:tc>
          <w:tcPr>
            <w:tcW/>
          </w:tcPr>
          <w:p>
            <w:pPr>
              <w:spacing w:line="240" w:lineRule="auto"/>
              <w:jc w:val="right"/>
            </w:pPr>
            <w:r>
              <w:rPr>
                <w:rFonts w:ascii="宋体" w:hAnsi="宋体" w:cs="宋体" w:eastAsia="宋体"/>
                <w:b w:val="false"/>
              </w:rPr>
              <w:t>0.60%</w:t>
            </w:r>
          </w:p>
        </w:tc>
      </w:tr>
    </w:tbl>
    <w:p>
      <w:r>
        <w:rPr>
          <w:rFonts w:ascii="宋体" w:hAnsi="宋体" w:cs="宋体" w:eastAsia="宋体"/>
          <w:b w:val="false"/>
        </w:rPr>
        <w:t>注：1、本基金的业绩比较基准为：中证800指数收益率×60%+中证综合债券指数收益率×20%+恒生指数收益率×20%。</w:t>
        <w:cr/>
      </w:r>
      <w:r>
        <w:rPr>
          <w:rFonts w:ascii="宋体" w:hAnsi="宋体" w:cs="宋体" w:eastAsia="宋体"/>
          <w:b w:val="false"/>
        </w:rPr>
        <w:t>2、本基金自2022年9月28日成立至今尚未满三年，无过去三年、过去五年的净值表现。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
      <w:pPr>
        <w:pStyle w:val="2"/>
        <w:jc w:val="left"/>
      </w:pPr>
      <w:r>
        <w:rPr>
          <w:rFonts w:ascii="宋体" w:hAnsi="宋体" w:cs="宋体" w:eastAsia="宋体"/>
        </w:rPr>
        <w:t>3.3 其他指标</w:t>
      </w:r>
    </w:p>
    <w:p>
      <w:r>
        <w:rPr>
          <w:rFonts w:ascii="宋体" w:hAnsi="宋体" w:cs="宋体" w:eastAsia="宋体"/>
          <w:b w:val="false"/>
        </w:rPr>
        <w:t>无。</w:t>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近期美国政府在白宫签署两项关于所谓“对等关税”的行政令，幅度超出市场预期，市场衰退交易持续发酵。美国滥施关税将对我国出口造成较大冲击，而基于去年中央经济工作会议措辞，党中央已经对此有充分的估计，将根据外部影响程度动态调整政策，我们预计今年将明显加强超常规逆周期调节，因此我们进一步增加了内需顺周期的仓位。同时依然按照原有的框架，结合行业、公司估值进行均衡配置，重点围绕现金流、围绕竞争格局、围绕商业模式进行配置。</w:t>
        <w:cr/>
      </w:r>
      <w:r>
        <w:rPr>
          <w:rFonts w:ascii="宋体" w:hAnsi="宋体" w:cs="宋体" w:eastAsia="宋体"/>
          <w:b w:val="false"/>
        </w:rPr>
        <w:t xml:space="preserve">    （1）上游资源类公司。目前主要关注供给端约束、以基本金属为代表的资源类公司，以电解铝行业为例，电解铝行业作为能源消耗和碳排放的大户，目前看竞争格局受到了政策强约束，中国政府为达到碳达峰、碳中和的远期目标，给国内电解铝产能设定了4500万吨的产能红线，严格限制了新产能的增加，这导致电解铝行业的竞争格局明显改善，从而导致电解铝行业的经营现金流良好。而电解铝这种低产能弹性的行业特点，只要需求端边际上有些扰动，价格就能有巨大的向上弹性。目前成本端氧化铝供给将持续放出，价格持续下降，产业链的利润将持续往电解铝环节转移，结合电解铝供需关系依然紧张，对后市铝价持续乐观，电解铝行业公司的远期分红能力仍将进一步提升；</w:t>
        <w:cr/>
      </w:r>
      <w:r>
        <w:rPr>
          <w:rFonts w:ascii="宋体" w:hAnsi="宋体" w:cs="宋体" w:eastAsia="宋体"/>
          <w:b w:val="false"/>
        </w:rPr>
        <w:t xml:space="preserve">    （2）内需顺周期相关的制造业细分龙头。广义制造业中，如建材、化工等，已产生众多竞争格局相当稳定且现金流优秀的细分龙头，在对内需悲观的市场环境下估值已压至较低的位置，这些行业的远期资本开支有望大幅度下降，进而自由现金流将逐渐提升，潜在分红能力将持续增强；</w:t>
        <w:cr/>
      </w:r>
      <w:r>
        <w:rPr>
          <w:rFonts w:ascii="宋体" w:hAnsi="宋体" w:cs="宋体" w:eastAsia="宋体"/>
          <w:b w:val="false"/>
        </w:rPr>
        <w:t xml:space="preserve">    （3）内需相关消费龙头，包括家电、整车、化妆品、消费医疗器械等。在前期市场持续担心内需的背景下，这些公司的估值已压至较低位置，在未来超常规逆周期调节下，业绩的悲观预期有望得到明显的修复。</w:t>
        <w:cr/>
      </w:r>
      <w:r>
        <w:rPr>
          <w:rFonts w:ascii="宋体" w:hAnsi="宋体" w:cs="宋体" w:eastAsia="宋体"/>
          <w:b w:val="false"/>
        </w:rPr>
        <w:t xml:space="preserve">    目前许多行业的中小企业依然有较大的经营压力甚至面临出清，龙头企业压到较低的估值，在未来超常规逆周期调节下，龙头企业将抢占许多中小企业出清的份额，呈现出较大的业绩弹性，后续组合上继续偏好于龙头企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兴科一年持有混合A基金份额净值为0.8924元，本报告期内，该类基金份额净值增长率为3.36%，同期业绩比较基准收益率为2.60%；截至报告期末东方阿尔法兴科一年持有混合C基金份额净值为0.8790元，本报告期内，该类基金份额净值增长率为3.19%，同期业绩比较基准收益率为2.60%。</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160,879,315.87</w:t>
            </w:r>
          </w:p>
        </w:tc>
        <w:tc>
          <w:tcPr>
            <w:tcW/>
            <w:vAlign w:val="center"/>
          </w:tcPr>
          <w:p>
            <w:pPr>
              <w:spacing w:line="240" w:lineRule="auto"/>
              <w:jc w:val="right"/>
            </w:pPr>
            <w:r>
              <w:rPr>
                <w:rFonts w:ascii="宋体" w:hAnsi="宋体" w:cs="宋体" w:eastAsia="宋体"/>
                <w:b w:val="false"/>
              </w:rPr>
              <w:t>92.61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160,879,315.87</w:t>
            </w:r>
          </w:p>
        </w:tc>
        <w:tc>
          <w:tcPr>
            <w:tcW/>
            <w:vAlign w:val="center"/>
          </w:tcPr>
          <w:p>
            <w:pPr>
              <w:spacing w:line="240" w:lineRule="auto"/>
              <w:jc w:val="right"/>
            </w:pPr>
            <w:r>
              <w:rPr>
                <w:rFonts w:ascii="宋体" w:hAnsi="宋体" w:cs="宋体" w:eastAsia="宋体"/>
                <w:b w:val="false"/>
              </w:rPr>
              <w:t>92.61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9,520,914.14</w:t>
            </w:r>
          </w:p>
        </w:tc>
        <w:tc>
          <w:tcPr>
            <w:tcW/>
            <w:vAlign w:val="center"/>
          </w:tcPr>
          <w:p>
            <w:pPr>
              <w:spacing w:line="240" w:lineRule="auto"/>
              <w:jc w:val="right"/>
            </w:pPr>
            <w:r>
              <w:rPr>
                <w:rFonts w:ascii="宋体" w:hAnsi="宋体" w:cs="宋体" w:eastAsia="宋体"/>
                <w:b w:val="false"/>
              </w:rPr>
              <w:t>5.48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9,520,914.14</w:t>
            </w:r>
          </w:p>
        </w:tc>
        <w:tc>
          <w:tcPr>
            <w:tcW/>
            <w:vAlign w:val="center"/>
          </w:tcPr>
          <w:p>
            <w:pPr>
              <w:spacing w:line="240" w:lineRule="auto"/>
              <w:jc w:val="right"/>
            </w:pPr>
            <w:r>
              <w:rPr>
                <w:rFonts w:ascii="宋体" w:hAnsi="宋体" w:cs="宋体" w:eastAsia="宋体"/>
                <w:b w:val="false"/>
              </w:rPr>
              <w:t>5.48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3,317,334.19</w:t>
            </w:r>
          </w:p>
        </w:tc>
        <w:tc>
          <w:tcPr>
            <w:tcW/>
            <w:vAlign w:val="center"/>
          </w:tcPr>
          <w:p>
            <w:pPr>
              <w:spacing w:line="240" w:lineRule="auto"/>
              <w:jc w:val="right"/>
            </w:pPr>
            <w:r>
              <w:rPr>
                <w:rFonts w:ascii="宋体" w:hAnsi="宋体" w:cs="宋体" w:eastAsia="宋体"/>
                <w:b w:val="false"/>
              </w:rPr>
              <w:t>1.91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307.54</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173,717,871.74</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注：报告期末本基金通过港股通交易机制投资的港股公允价值合计32,473,511.01元，占基金资产净值的比例为18.84%。</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128,387,337.76</w:t>
            </w:r>
          </w:p>
        </w:tc>
        <w:tc>
          <w:tcPr>
            <w:tcW/>
          </w:tcPr>
          <w:p>
            <w:pPr>
              <w:spacing w:line="240" w:lineRule="auto"/>
              <w:jc w:val="right"/>
            </w:pPr>
            <w:r>
              <w:rPr>
                <w:rFonts w:ascii="宋体" w:hAnsi="宋体" w:cs="宋体" w:eastAsia="宋体"/>
                <w:b w:val="false"/>
              </w:rPr>
              <w:t>74.47</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9,564.84</w:t>
            </w:r>
          </w:p>
        </w:tc>
        <w:tc>
          <w:tcPr>
            <w:tcW/>
          </w:tcPr>
          <w:p>
            <w:pPr>
              <w:spacing w:line="240" w:lineRule="auto"/>
              <w:jc w:val="right"/>
            </w:pPr>
            <w:r>
              <w:rPr>
                <w:rFonts w:ascii="宋体" w:hAnsi="宋体" w:cs="宋体" w:eastAsia="宋体"/>
                <w:b w:val="false"/>
              </w:rPr>
              <w:t>0.01</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8,902.26</w:t>
            </w:r>
          </w:p>
        </w:tc>
        <w:tc>
          <w:tcPr>
            <w:tcW/>
          </w:tcPr>
          <w:p>
            <w:pPr>
              <w:spacing w:line="240" w:lineRule="auto"/>
              <w:jc w:val="right"/>
            </w:pPr>
            <w:r>
              <w:rPr>
                <w:rFonts w:ascii="宋体" w:hAnsi="宋体" w:cs="宋体" w:eastAsia="宋体"/>
                <w:b w:val="false"/>
              </w:rPr>
              <w:t>0.01</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128,405,804.86</w:t>
            </w:r>
          </w:p>
        </w:tc>
        <w:tc>
          <w:tcPr>
            <w:tcW/>
          </w:tcPr>
          <w:p>
            <w:pPr>
              <w:spacing w:line="240" w:lineRule="auto"/>
              <w:jc w:val="right"/>
            </w:pPr>
            <w:r>
              <w:rPr>
                <w:rFonts w:ascii="宋体" w:hAnsi="宋体" w:cs="宋体" w:eastAsia="宋体"/>
                <w:b w:val="false"/>
              </w:rPr>
              <w:t>74.48</w:t>
            </w:r>
          </w:p>
        </w:tc>
      </w:tr>
    </w:tbl>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tcPr>
          <w:tcPr>
            <w:shd w:fill="d9d9d9"/>
          </w:tcPr>
          <w:p>
            <w:pPr>
              <w:spacing w:line="240" w:lineRule="auto"/>
              <w:jc w:val="center"/>
            </w:pPr>
            <w:r>
              <w:rPr>
                <w:rFonts w:ascii="宋体" w:hAnsi="宋体" w:cs="宋体" w:eastAsia="宋体"/>
                <w:b w:val="false"/>
              </w:rPr>
              <w:t>行业类别</w:t>
            </w:r>
          </w:p>
        </w:tc>
        <w:tc>
          <w:tcPr>
            <w:tcW w:type="pct" w:w="1538"/>
          </w:tcPr>
          <w:tcPr>
            <w:shd w:fill="d9d9d9"/>
          </w:tcPr>
          <w:p>
            <w:pPr>
              <w:spacing w:line="240" w:lineRule="auto"/>
              <w:jc w:val="center"/>
            </w:pPr>
            <w:r>
              <w:rPr>
                <w:rFonts w:ascii="宋体" w:hAnsi="宋体" w:cs="宋体" w:eastAsia="宋体"/>
                <w:b w:val="false"/>
              </w:rPr>
              <w:t>公允价值（人民币）</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left"/>
            </w:pPr>
            <w:r>
              <w:rPr>
                <w:rFonts w:ascii="宋体" w:hAnsi="宋体" w:cs="宋体" w:eastAsia="宋体"/>
                <w:b w:val="false"/>
              </w:rPr>
              <w:t>非日常生活消费品</w:t>
            </w:r>
          </w:p>
        </w:tc>
        <w:tc>
          <w:tcPr>
            <w:tcW/>
          </w:tcPr>
          <w:p>
            <w:pPr>
              <w:spacing w:line="240" w:lineRule="auto"/>
              <w:jc w:val="right"/>
            </w:pPr>
            <w:r>
              <w:rPr>
                <w:rFonts w:ascii="宋体" w:hAnsi="宋体" w:cs="宋体" w:eastAsia="宋体"/>
                <w:b w:val="false"/>
              </w:rPr>
              <w:t>13,940,445.32</w:t>
            </w:r>
          </w:p>
        </w:tc>
        <w:tc>
          <w:tcPr>
            <w:tcW/>
          </w:tcPr>
          <w:p>
            <w:pPr>
              <w:spacing w:line="240" w:lineRule="auto"/>
              <w:jc w:val="right"/>
            </w:pPr>
            <w:r>
              <w:rPr>
                <w:rFonts w:ascii="宋体" w:hAnsi="宋体" w:cs="宋体" w:eastAsia="宋体"/>
                <w:b w:val="false"/>
              </w:rPr>
              <w:t>8.09</w:t>
            </w:r>
          </w:p>
        </w:tc>
      </w:tr>
      <w:tr>
        <w:tc>
          <w:tcPr>
            <w:tcW/>
          </w:tcPr>
          <w:p>
            <w:pPr>
              <w:spacing w:line="240" w:lineRule="auto"/>
              <w:jc w:val="left"/>
            </w:pPr>
            <w:r>
              <w:rPr>
                <w:rFonts w:ascii="宋体" w:hAnsi="宋体" w:cs="宋体" w:eastAsia="宋体"/>
                <w:b w:val="false"/>
              </w:rPr>
              <w:t>工业</w:t>
            </w:r>
          </w:p>
        </w:tc>
        <w:tc>
          <w:tcPr>
            <w:tcW/>
          </w:tcPr>
          <w:p>
            <w:pPr>
              <w:spacing w:line="240" w:lineRule="auto"/>
              <w:jc w:val="right"/>
            </w:pPr>
            <w:r>
              <w:rPr>
                <w:rFonts w:ascii="宋体" w:hAnsi="宋体" w:cs="宋体" w:eastAsia="宋体"/>
                <w:b w:val="false"/>
              </w:rPr>
              <w:t>18,533,065.69</w:t>
            </w:r>
          </w:p>
        </w:tc>
        <w:tc>
          <w:tcPr>
            <w:tcW/>
          </w:tcPr>
          <w:p>
            <w:pPr>
              <w:spacing w:line="240" w:lineRule="auto"/>
              <w:jc w:val="right"/>
            </w:pPr>
            <w:r>
              <w:rPr>
                <w:rFonts w:ascii="宋体" w:hAnsi="宋体" w:cs="宋体" w:eastAsia="宋体"/>
                <w:b w:val="false"/>
              </w:rPr>
              <w:t>10.75</w:t>
            </w:r>
          </w:p>
        </w:tc>
      </w:tr>
      <w:tr>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32,473,511.01</w:t>
            </w:r>
          </w:p>
        </w:tc>
        <w:tc>
          <w:tcPr>
            <w:tcW/>
          </w:tcPr>
          <w:p>
            <w:pPr>
              <w:spacing w:line="240" w:lineRule="auto"/>
              <w:jc w:val="right"/>
            </w:pPr>
            <w:r>
              <w:rPr>
                <w:rFonts w:ascii="宋体" w:hAnsi="宋体" w:cs="宋体" w:eastAsia="宋体"/>
                <w:b w:val="false"/>
              </w:rPr>
              <w:t>18.84</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000807</w:t>
            </w:r>
          </w:p>
        </w:tc>
        <w:tc>
          <w:tcPr>
            <w:tcW/>
          </w:tcPr>
          <w:p>
            <w:pPr>
              <w:spacing w:line="240" w:lineRule="auto"/>
              <w:jc w:val="left"/>
            </w:pPr>
            <w:r>
              <w:rPr>
                <w:rFonts w:ascii="宋体" w:hAnsi="宋体" w:cs="宋体" w:eastAsia="宋体"/>
                <w:b w:val="false"/>
              </w:rPr>
              <w:t>云铝股份</w:t>
            </w:r>
          </w:p>
        </w:tc>
        <w:tc>
          <w:tcPr>
            <w:tcW/>
          </w:tcPr>
          <w:p>
            <w:pPr>
              <w:spacing w:line="240" w:lineRule="auto"/>
              <w:jc w:val="right"/>
            </w:pPr>
            <w:r>
              <w:rPr>
                <w:rFonts w:ascii="宋体" w:hAnsi="宋体" w:cs="宋体" w:eastAsia="宋体"/>
                <w:b w:val="false"/>
              </w:rPr>
              <w:t>950,400</w:t>
            </w:r>
          </w:p>
        </w:tc>
        <w:tc>
          <w:tcPr>
            <w:tcW/>
          </w:tcPr>
          <w:p>
            <w:pPr>
              <w:spacing w:line="240" w:lineRule="auto"/>
              <w:jc w:val="right"/>
            </w:pPr>
            <w:r>
              <w:rPr>
                <w:rFonts w:ascii="宋体" w:hAnsi="宋体" w:cs="宋体" w:eastAsia="宋体"/>
                <w:b w:val="false"/>
              </w:rPr>
              <w:t>16,479,936.00</w:t>
            </w:r>
          </w:p>
        </w:tc>
        <w:tc>
          <w:tcPr>
            <w:tcW/>
          </w:tcPr>
          <w:p>
            <w:pPr>
              <w:spacing w:line="240" w:lineRule="auto"/>
              <w:jc w:val="right"/>
            </w:pPr>
            <w:r>
              <w:rPr>
                <w:rFonts w:ascii="宋体" w:hAnsi="宋体" w:cs="宋体" w:eastAsia="宋体"/>
                <w:b w:val="false"/>
              </w:rPr>
              <w:t>9.56</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600309</w:t>
            </w:r>
          </w:p>
        </w:tc>
        <w:tc>
          <w:tcPr>
            <w:tcW/>
          </w:tcPr>
          <w:p>
            <w:pPr>
              <w:spacing w:line="240" w:lineRule="auto"/>
              <w:jc w:val="left"/>
            </w:pPr>
            <w:r>
              <w:rPr>
                <w:rFonts w:ascii="宋体" w:hAnsi="宋体" w:cs="宋体" w:eastAsia="宋体"/>
                <w:b w:val="false"/>
              </w:rPr>
              <w:t>万华化学</w:t>
            </w:r>
          </w:p>
        </w:tc>
        <w:tc>
          <w:tcPr>
            <w:tcW/>
          </w:tcPr>
          <w:p>
            <w:pPr>
              <w:spacing w:line="240" w:lineRule="auto"/>
              <w:jc w:val="right"/>
            </w:pPr>
            <w:r>
              <w:rPr>
                <w:rFonts w:ascii="宋体" w:hAnsi="宋体" w:cs="宋体" w:eastAsia="宋体"/>
                <w:b w:val="false"/>
              </w:rPr>
              <w:t>241,000</w:t>
            </w:r>
          </w:p>
        </w:tc>
        <w:tc>
          <w:tcPr>
            <w:tcW/>
          </w:tcPr>
          <w:p>
            <w:pPr>
              <w:spacing w:line="240" w:lineRule="auto"/>
              <w:jc w:val="right"/>
            </w:pPr>
            <w:r>
              <w:rPr>
                <w:rFonts w:ascii="宋体" w:hAnsi="宋体" w:cs="宋体" w:eastAsia="宋体"/>
                <w:b w:val="false"/>
              </w:rPr>
              <w:t>16,197,610.00</w:t>
            </w:r>
          </w:p>
        </w:tc>
        <w:tc>
          <w:tcPr>
            <w:tcW/>
          </w:tcPr>
          <w:p>
            <w:pPr>
              <w:spacing w:line="240" w:lineRule="auto"/>
              <w:jc w:val="right"/>
            </w:pPr>
            <w:r>
              <w:rPr>
                <w:rFonts w:ascii="宋体" w:hAnsi="宋体" w:cs="宋体" w:eastAsia="宋体"/>
                <w:b w:val="false"/>
              </w:rPr>
              <w:t>9.40</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000933</w:t>
            </w:r>
          </w:p>
        </w:tc>
        <w:tc>
          <w:tcPr>
            <w:tcW/>
          </w:tcPr>
          <w:p>
            <w:pPr>
              <w:spacing w:line="240" w:lineRule="auto"/>
              <w:jc w:val="left"/>
            </w:pPr>
            <w:r>
              <w:rPr>
                <w:rFonts w:ascii="宋体" w:hAnsi="宋体" w:cs="宋体" w:eastAsia="宋体"/>
                <w:b w:val="false"/>
              </w:rPr>
              <w:t>神火股份</w:t>
            </w:r>
          </w:p>
        </w:tc>
        <w:tc>
          <w:tcPr>
            <w:tcW/>
          </w:tcPr>
          <w:p>
            <w:pPr>
              <w:spacing w:line="240" w:lineRule="auto"/>
              <w:jc w:val="right"/>
            </w:pPr>
            <w:r>
              <w:rPr>
                <w:rFonts w:ascii="宋体" w:hAnsi="宋体" w:cs="宋体" w:eastAsia="宋体"/>
                <w:b w:val="false"/>
              </w:rPr>
              <w:t>850,800</w:t>
            </w:r>
          </w:p>
        </w:tc>
        <w:tc>
          <w:tcPr>
            <w:tcW/>
          </w:tcPr>
          <w:p>
            <w:pPr>
              <w:spacing w:line="240" w:lineRule="auto"/>
              <w:jc w:val="right"/>
            </w:pPr>
            <w:r>
              <w:rPr>
                <w:rFonts w:ascii="宋体" w:hAnsi="宋体" w:cs="宋体" w:eastAsia="宋体"/>
                <w:b w:val="false"/>
              </w:rPr>
              <w:t>15,961,008.00</w:t>
            </w:r>
          </w:p>
        </w:tc>
        <w:tc>
          <w:tcPr>
            <w:tcW/>
          </w:tcPr>
          <w:p>
            <w:pPr>
              <w:spacing w:line="240" w:lineRule="auto"/>
              <w:jc w:val="right"/>
            </w:pPr>
            <w:r>
              <w:rPr>
                <w:rFonts w:ascii="宋体" w:hAnsi="宋体" w:cs="宋体" w:eastAsia="宋体"/>
                <w:b w:val="false"/>
              </w:rPr>
              <w:t>9.26</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002223</w:t>
            </w:r>
          </w:p>
        </w:tc>
        <w:tc>
          <w:tcPr>
            <w:tcW/>
          </w:tcPr>
          <w:p>
            <w:pPr>
              <w:spacing w:line="240" w:lineRule="auto"/>
              <w:jc w:val="left"/>
            </w:pPr>
            <w:r>
              <w:rPr>
                <w:rFonts w:ascii="宋体" w:hAnsi="宋体" w:cs="宋体" w:eastAsia="宋体"/>
                <w:b w:val="false"/>
              </w:rPr>
              <w:t>鱼跃医疗</w:t>
            </w:r>
          </w:p>
        </w:tc>
        <w:tc>
          <w:tcPr>
            <w:tcW/>
          </w:tcPr>
          <w:p>
            <w:pPr>
              <w:spacing w:line="240" w:lineRule="auto"/>
              <w:jc w:val="right"/>
            </w:pPr>
            <w:r>
              <w:rPr>
                <w:rFonts w:ascii="宋体" w:hAnsi="宋体" w:cs="宋体" w:eastAsia="宋体"/>
                <w:b w:val="false"/>
              </w:rPr>
              <w:t>430,000</w:t>
            </w:r>
          </w:p>
        </w:tc>
        <w:tc>
          <w:tcPr>
            <w:tcW/>
          </w:tcPr>
          <w:p>
            <w:pPr>
              <w:spacing w:line="240" w:lineRule="auto"/>
              <w:jc w:val="right"/>
            </w:pPr>
            <w:r>
              <w:rPr>
                <w:rFonts w:ascii="宋体" w:hAnsi="宋体" w:cs="宋体" w:eastAsia="宋体"/>
                <w:b w:val="false"/>
              </w:rPr>
              <w:t>14,998,400.00</w:t>
            </w:r>
          </w:p>
        </w:tc>
        <w:tc>
          <w:tcPr>
            <w:tcW/>
          </w:tcPr>
          <w:p>
            <w:pPr>
              <w:spacing w:line="240" w:lineRule="auto"/>
              <w:jc w:val="right"/>
            </w:pPr>
            <w:r>
              <w:rPr>
                <w:rFonts w:ascii="宋体" w:hAnsi="宋体" w:cs="宋体" w:eastAsia="宋体"/>
                <w:b w:val="false"/>
              </w:rPr>
              <w:t>8.70</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603605</w:t>
            </w:r>
          </w:p>
        </w:tc>
        <w:tc>
          <w:tcPr>
            <w:tcW/>
          </w:tcPr>
          <w:p>
            <w:pPr>
              <w:spacing w:line="240" w:lineRule="auto"/>
              <w:jc w:val="left"/>
            </w:pPr>
            <w:r>
              <w:rPr>
                <w:rFonts w:ascii="宋体" w:hAnsi="宋体" w:cs="宋体" w:eastAsia="宋体"/>
                <w:b w:val="false"/>
              </w:rPr>
              <w:t>珀莱雅</w:t>
            </w:r>
          </w:p>
        </w:tc>
        <w:tc>
          <w:tcPr>
            <w:tcW/>
          </w:tcPr>
          <w:p>
            <w:pPr>
              <w:spacing w:line="240" w:lineRule="auto"/>
              <w:jc w:val="right"/>
            </w:pPr>
            <w:r>
              <w:rPr>
                <w:rFonts w:ascii="宋体" w:hAnsi="宋体" w:cs="宋体" w:eastAsia="宋体"/>
                <w:b w:val="false"/>
              </w:rPr>
              <w:t>170,000</w:t>
            </w:r>
          </w:p>
        </w:tc>
        <w:tc>
          <w:tcPr>
            <w:tcW/>
          </w:tcPr>
          <w:p>
            <w:pPr>
              <w:spacing w:line="240" w:lineRule="auto"/>
              <w:jc w:val="right"/>
            </w:pPr>
            <w:r>
              <w:rPr>
                <w:rFonts w:ascii="宋体" w:hAnsi="宋体" w:cs="宋体" w:eastAsia="宋体"/>
                <w:b w:val="false"/>
              </w:rPr>
              <w:t>14,059,000.00</w:t>
            </w:r>
          </w:p>
        </w:tc>
        <w:tc>
          <w:tcPr>
            <w:tcW/>
          </w:tcPr>
          <w:p>
            <w:pPr>
              <w:spacing w:line="240" w:lineRule="auto"/>
              <w:jc w:val="right"/>
            </w:pPr>
            <w:r>
              <w:rPr>
                <w:rFonts w:ascii="宋体" w:hAnsi="宋体" w:cs="宋体" w:eastAsia="宋体"/>
                <w:b w:val="false"/>
              </w:rPr>
              <w:t>8.15</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002594</w:t>
            </w:r>
          </w:p>
        </w:tc>
        <w:tc>
          <w:tcPr>
            <w:tcW/>
          </w:tcPr>
          <w:p>
            <w:pPr>
              <w:spacing w:line="240" w:lineRule="auto"/>
              <w:jc w:val="left"/>
            </w:pPr>
            <w:r>
              <w:rPr>
                <w:rFonts w:ascii="宋体" w:hAnsi="宋体" w:cs="宋体" w:eastAsia="宋体"/>
                <w:b w:val="false"/>
              </w:rPr>
              <w:t>比亚迪</w:t>
            </w:r>
          </w:p>
        </w:tc>
        <w:tc>
          <w:tcPr>
            <w:tcW/>
          </w:tcPr>
          <w:p>
            <w:pPr>
              <w:spacing w:line="240" w:lineRule="auto"/>
              <w:jc w:val="right"/>
            </w:pPr>
            <w:r>
              <w:rPr>
                <w:rFonts w:ascii="宋体" w:hAnsi="宋体" w:cs="宋体" w:eastAsia="宋体"/>
                <w:b w:val="false"/>
              </w:rPr>
              <w:t>37,500</w:t>
            </w:r>
          </w:p>
        </w:tc>
        <w:tc>
          <w:tcPr>
            <w:tcW/>
          </w:tcPr>
          <w:p>
            <w:pPr>
              <w:spacing w:line="240" w:lineRule="auto"/>
              <w:jc w:val="right"/>
            </w:pPr>
            <w:r>
              <w:rPr>
                <w:rFonts w:ascii="宋体" w:hAnsi="宋体" w:cs="宋体" w:eastAsia="宋体"/>
                <w:b w:val="false"/>
              </w:rPr>
              <w:t>14,058,750.00</w:t>
            </w:r>
          </w:p>
        </w:tc>
        <w:tc>
          <w:tcPr>
            <w:tcW/>
          </w:tcPr>
          <w:p>
            <w:pPr>
              <w:spacing w:line="240" w:lineRule="auto"/>
              <w:jc w:val="right"/>
            </w:pPr>
            <w:r>
              <w:rPr>
                <w:rFonts w:ascii="宋体" w:hAnsi="宋体" w:cs="宋体" w:eastAsia="宋体"/>
                <w:b w:val="false"/>
              </w:rPr>
              <w:t>8.15</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002043</w:t>
            </w:r>
          </w:p>
        </w:tc>
        <w:tc>
          <w:tcPr>
            <w:tcW/>
          </w:tcPr>
          <w:p>
            <w:pPr>
              <w:spacing w:line="240" w:lineRule="auto"/>
              <w:jc w:val="left"/>
            </w:pPr>
            <w:r>
              <w:rPr>
                <w:rFonts w:ascii="宋体" w:hAnsi="宋体" w:cs="宋体" w:eastAsia="宋体"/>
                <w:b w:val="false"/>
              </w:rPr>
              <w:t>兔 宝 宝</w:t>
            </w:r>
          </w:p>
        </w:tc>
        <w:tc>
          <w:tcPr>
            <w:tcW/>
          </w:tcPr>
          <w:p>
            <w:pPr>
              <w:spacing w:line="240" w:lineRule="auto"/>
              <w:jc w:val="right"/>
            </w:pPr>
            <w:r>
              <w:rPr>
                <w:rFonts w:ascii="宋体" w:hAnsi="宋体" w:cs="宋体" w:eastAsia="宋体"/>
                <w:b w:val="false"/>
              </w:rPr>
              <w:t>1,311,000</w:t>
            </w:r>
          </w:p>
        </w:tc>
        <w:tc>
          <w:tcPr>
            <w:tcW/>
          </w:tcPr>
          <w:p>
            <w:pPr>
              <w:spacing w:line="240" w:lineRule="auto"/>
              <w:jc w:val="right"/>
            </w:pPr>
            <w:r>
              <w:rPr>
                <w:rFonts w:ascii="宋体" w:hAnsi="宋体" w:cs="宋体" w:eastAsia="宋体"/>
                <w:b w:val="false"/>
              </w:rPr>
              <w:t>13,975,260.00</w:t>
            </w:r>
          </w:p>
        </w:tc>
        <w:tc>
          <w:tcPr>
            <w:tcW/>
          </w:tcPr>
          <w:p>
            <w:pPr>
              <w:spacing w:line="240" w:lineRule="auto"/>
              <w:jc w:val="right"/>
            </w:pPr>
            <w:r>
              <w:rPr>
                <w:rFonts w:ascii="宋体" w:hAnsi="宋体" w:cs="宋体" w:eastAsia="宋体"/>
                <w:b w:val="false"/>
              </w:rPr>
              <w:t>8.11</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600690</w:t>
            </w:r>
          </w:p>
        </w:tc>
        <w:tc>
          <w:tcPr>
            <w:tcW/>
          </w:tcPr>
          <w:p>
            <w:pPr>
              <w:spacing w:line="240" w:lineRule="auto"/>
              <w:jc w:val="left"/>
            </w:pPr>
            <w:r>
              <w:rPr>
                <w:rFonts w:ascii="宋体" w:hAnsi="宋体" w:cs="宋体" w:eastAsia="宋体"/>
                <w:b w:val="false"/>
              </w:rPr>
              <w:t>海尔智家</w:t>
            </w:r>
          </w:p>
        </w:tc>
        <w:tc>
          <w:tcPr>
            <w:tcW/>
          </w:tcPr>
          <w:p>
            <w:pPr>
              <w:spacing w:line="240" w:lineRule="auto"/>
              <w:jc w:val="right"/>
            </w:pPr>
            <w:r>
              <w:rPr>
                <w:rFonts w:ascii="宋体" w:hAnsi="宋体" w:cs="宋体" w:eastAsia="宋体"/>
                <w:b w:val="false"/>
              </w:rPr>
              <w:t>511,000</w:t>
            </w:r>
          </w:p>
        </w:tc>
        <w:tc>
          <w:tcPr>
            <w:tcW/>
          </w:tcPr>
          <w:p>
            <w:pPr>
              <w:spacing w:line="240" w:lineRule="auto"/>
              <w:jc w:val="right"/>
            </w:pPr>
            <w:r>
              <w:rPr>
                <w:rFonts w:ascii="宋体" w:hAnsi="宋体" w:cs="宋体" w:eastAsia="宋体"/>
                <w:b w:val="false"/>
              </w:rPr>
              <w:t>13,970,740.00</w:t>
            </w:r>
          </w:p>
        </w:tc>
        <w:tc>
          <w:tcPr>
            <w:tcW/>
          </w:tcPr>
          <w:p>
            <w:pPr>
              <w:spacing w:line="240" w:lineRule="auto"/>
              <w:jc w:val="right"/>
            </w:pPr>
            <w:r>
              <w:rPr>
                <w:rFonts w:ascii="宋体" w:hAnsi="宋体" w:cs="宋体" w:eastAsia="宋体"/>
                <w:b w:val="false"/>
              </w:rPr>
              <w:t>8.10</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09896</w:t>
            </w:r>
          </w:p>
        </w:tc>
        <w:tc>
          <w:tcPr>
            <w:tcW/>
          </w:tcPr>
          <w:p>
            <w:pPr>
              <w:spacing w:line="240" w:lineRule="auto"/>
              <w:jc w:val="left"/>
            </w:pPr>
            <w:r>
              <w:rPr>
                <w:rFonts w:ascii="宋体" w:hAnsi="宋体" w:cs="宋体" w:eastAsia="宋体"/>
                <w:b w:val="false"/>
              </w:rPr>
              <w:t>名创优品</w:t>
            </w:r>
          </w:p>
        </w:tc>
        <w:tc>
          <w:tcPr>
            <w:tcW/>
          </w:tcPr>
          <w:p>
            <w:pPr>
              <w:spacing w:line="240" w:lineRule="auto"/>
              <w:jc w:val="right"/>
            </w:pPr>
            <w:r>
              <w:rPr>
                <w:rFonts w:ascii="宋体" w:hAnsi="宋体" w:cs="宋体" w:eastAsia="宋体"/>
                <w:b w:val="false"/>
              </w:rPr>
              <w:t>420,200</w:t>
            </w:r>
          </w:p>
        </w:tc>
        <w:tc>
          <w:tcPr>
            <w:tcW/>
          </w:tcPr>
          <w:p>
            <w:pPr>
              <w:spacing w:line="240" w:lineRule="auto"/>
              <w:jc w:val="right"/>
            </w:pPr>
            <w:r>
              <w:rPr>
                <w:rFonts w:ascii="宋体" w:hAnsi="宋体" w:cs="宋体" w:eastAsia="宋体"/>
                <w:b w:val="false"/>
              </w:rPr>
              <w:t>13,940,445.32</w:t>
            </w:r>
          </w:p>
        </w:tc>
        <w:tc>
          <w:tcPr>
            <w:tcW/>
          </w:tcPr>
          <w:p>
            <w:pPr>
              <w:spacing w:line="240" w:lineRule="auto"/>
              <w:jc w:val="right"/>
            </w:pPr>
            <w:r>
              <w:rPr>
                <w:rFonts w:ascii="宋体" w:hAnsi="宋体" w:cs="宋体" w:eastAsia="宋体"/>
                <w:b w:val="false"/>
              </w:rPr>
              <w:t>8.09</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00038</w:t>
            </w:r>
          </w:p>
        </w:tc>
        <w:tc>
          <w:tcPr>
            <w:tcW/>
          </w:tcPr>
          <w:p>
            <w:pPr>
              <w:spacing w:line="240" w:lineRule="auto"/>
              <w:jc w:val="left"/>
            </w:pPr>
            <w:r>
              <w:rPr>
                <w:rFonts w:ascii="宋体" w:hAnsi="宋体" w:cs="宋体" w:eastAsia="宋体"/>
                <w:b w:val="false"/>
              </w:rPr>
              <w:t>第一拖拉机股份</w:t>
            </w:r>
          </w:p>
        </w:tc>
        <w:tc>
          <w:tcPr>
            <w:tcW/>
          </w:tcPr>
          <w:p>
            <w:pPr>
              <w:spacing w:line="240" w:lineRule="auto"/>
              <w:jc w:val="right"/>
            </w:pPr>
            <w:r>
              <w:rPr>
                <w:rFonts w:ascii="宋体" w:hAnsi="宋体" w:cs="宋体" w:eastAsia="宋体"/>
                <w:b w:val="false"/>
              </w:rPr>
              <w:t>2,422,000</w:t>
            </w:r>
          </w:p>
        </w:tc>
        <w:tc>
          <w:tcPr>
            <w:tcW/>
          </w:tcPr>
          <w:p>
            <w:pPr>
              <w:spacing w:line="240" w:lineRule="auto"/>
              <w:jc w:val="right"/>
            </w:pPr>
            <w:r>
              <w:rPr>
                <w:rFonts w:ascii="宋体" w:hAnsi="宋体" w:cs="宋体" w:eastAsia="宋体"/>
                <w:b w:val="false"/>
              </w:rPr>
              <w:t>13,701,127.81</w:t>
            </w:r>
          </w:p>
        </w:tc>
        <w:tc>
          <w:tcPr>
            <w:tcW/>
          </w:tcPr>
          <w:p>
            <w:pPr>
              <w:spacing w:line="240" w:lineRule="auto"/>
              <w:jc w:val="right"/>
            </w:pPr>
            <w:r>
              <w:rPr>
                <w:rFonts w:ascii="宋体" w:hAnsi="宋体" w:cs="宋体" w:eastAsia="宋体"/>
                <w:b w:val="false"/>
              </w:rPr>
              <w:t>7.95</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9,520,914.14</w:t>
            </w:r>
          </w:p>
        </w:tc>
        <w:tc>
          <w:tcPr>
            <w:tcW/>
          </w:tcPr>
          <w:p>
            <w:pPr>
              <w:spacing w:line="240" w:lineRule="auto"/>
              <w:jc w:val="right"/>
            </w:pPr>
            <w:r>
              <w:rPr>
                <w:rFonts w:ascii="宋体" w:hAnsi="宋体" w:cs="宋体" w:eastAsia="宋体"/>
                <w:b w:val="false"/>
              </w:rPr>
              <w:t>5.52</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9,520,914.14</w:t>
            </w:r>
          </w:p>
        </w:tc>
        <w:tc>
          <w:tcPr>
            <w:tcW/>
          </w:tcPr>
          <w:p>
            <w:pPr>
              <w:spacing w:line="240" w:lineRule="auto"/>
              <w:jc w:val="right"/>
            </w:pPr>
            <w:r>
              <w:rPr>
                <w:rFonts w:ascii="宋体" w:hAnsi="宋体" w:cs="宋体" w:eastAsia="宋体"/>
                <w:b w:val="false"/>
              </w:rPr>
              <w:t>5.52</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019740</w:t>
            </w:r>
          </w:p>
        </w:tc>
        <w:tc>
          <w:tcPr>
            <w:tcW/>
          </w:tcPr>
          <w:p>
            <w:pPr>
              <w:spacing w:line="240" w:lineRule="auto"/>
              <w:jc w:val="left"/>
            </w:pPr>
            <w:r>
              <w:rPr>
                <w:rFonts w:ascii="宋体" w:hAnsi="宋体" w:cs="宋体" w:eastAsia="宋体"/>
                <w:b w:val="false"/>
              </w:rPr>
              <w:t>24国债09</w:t>
            </w:r>
          </w:p>
        </w:tc>
        <w:tc>
          <w:tcPr>
            <w:tcW/>
          </w:tcPr>
          <w:p>
            <w:pPr>
              <w:spacing w:line="240" w:lineRule="auto"/>
              <w:jc w:val="right"/>
            </w:pPr>
            <w:r>
              <w:rPr>
                <w:rFonts w:ascii="宋体" w:hAnsi="宋体" w:cs="宋体" w:eastAsia="宋体"/>
                <w:b w:val="false"/>
              </w:rPr>
              <w:t>64,000</w:t>
            </w:r>
          </w:p>
        </w:tc>
        <w:tc>
          <w:tcPr>
            <w:tcW/>
          </w:tcPr>
          <w:p>
            <w:pPr>
              <w:spacing w:line="240" w:lineRule="auto"/>
              <w:jc w:val="right"/>
            </w:pPr>
            <w:r>
              <w:rPr>
                <w:rFonts w:ascii="宋体" w:hAnsi="宋体" w:cs="宋体" w:eastAsia="宋体"/>
                <w:b w:val="false"/>
              </w:rPr>
              <w:t>6,495,068.93</w:t>
            </w:r>
          </w:p>
        </w:tc>
        <w:tc>
          <w:tcPr>
            <w:tcW/>
          </w:tcPr>
          <w:p>
            <w:pPr>
              <w:spacing w:line="240" w:lineRule="auto"/>
              <w:jc w:val="right"/>
            </w:pPr>
            <w:r>
              <w:rPr>
                <w:rFonts w:ascii="宋体" w:hAnsi="宋体" w:cs="宋体" w:eastAsia="宋体"/>
                <w:b w:val="false"/>
              </w:rPr>
              <w:t>3.77</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30,000</w:t>
            </w:r>
          </w:p>
        </w:tc>
        <w:tc>
          <w:tcPr>
            <w:tcW/>
          </w:tcPr>
          <w:p>
            <w:pPr>
              <w:spacing w:line="240" w:lineRule="auto"/>
              <w:jc w:val="right"/>
            </w:pPr>
            <w:r>
              <w:rPr>
                <w:rFonts w:ascii="宋体" w:hAnsi="宋体" w:cs="宋体" w:eastAsia="宋体"/>
                <w:b w:val="false"/>
              </w:rPr>
              <w:t>3,025,845.21</w:t>
            </w:r>
          </w:p>
        </w:tc>
        <w:tc>
          <w:tcPr>
            <w:tcW/>
          </w:tcPr>
          <w:p>
            <w:pPr>
              <w:spacing w:line="240" w:lineRule="auto"/>
              <w:jc w:val="right"/>
            </w:pPr>
            <w:r>
              <w:rPr>
                <w:rFonts w:ascii="宋体" w:hAnsi="宋体" w:cs="宋体" w:eastAsia="宋体"/>
                <w:b w:val="false"/>
              </w:rPr>
              <w:t>1.76</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307.54</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307.54</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tcPr>
          <w:p>
            <w:pPr>
              <w:spacing w:line="240" w:lineRule="auto"/>
              <w:jc w:val="center"/>
            </w:pPr>
          </w:p>
        </w:tc>
        <w:tc>
          <w:tcPr>
            <w:tcW w:type="pct" w:w="1300"/>
          </w:tcPr>
          <w:p>
            <w:pPr>
              <w:spacing w:line="240" w:lineRule="auto"/>
              <w:jc w:val="center"/>
            </w:pPr>
            <w:r>
              <w:rPr>
                <w:rFonts w:ascii="宋体" w:hAnsi="宋体" w:cs="宋体" w:eastAsia="宋体"/>
                <w:b w:val="false"/>
              </w:rPr>
              <w:t>东方阿尔法兴科一年持有混合A</w:t>
            </w:r>
          </w:p>
        </w:tc>
        <w:tc>
          <w:tcPr>
            <w:tcW w:type="pct" w:w="1300"/>
          </w:tcPr>
          <w:p>
            <w:pPr>
              <w:spacing w:line="240" w:lineRule="auto"/>
              <w:jc w:val="center"/>
            </w:pPr>
            <w:r>
              <w:rPr>
                <w:rFonts w:ascii="宋体" w:hAnsi="宋体" w:cs="宋体" w:eastAsia="宋体"/>
                <w:b w:val="false"/>
              </w:rPr>
              <w:t>东方阿尔法兴科一年持有混合C</w:t>
            </w:r>
          </w:p>
        </w:tc>
      </w:tr>
      <w:tr>
        <w:tc>
          <w:tcPr>
            <w:tcW/>
          </w:tcPr>
          <w:p>
            <w:pPr>
              <w:spacing w:line="240" w:lineRule="auto"/>
              <w:jc w:val="left"/>
            </w:pPr>
            <w:r>
              <w:rPr>
                <w:rFonts w:ascii="宋体" w:hAnsi="宋体" w:cs="宋体" w:eastAsia="宋体"/>
                <w:b w:val="false"/>
              </w:rPr>
              <w:t>报告期期初基金份额总额</w:t>
            </w:r>
          </w:p>
        </w:tc>
        <w:tc>
          <w:tcPr>
            <w:tcW w:type="pct" w:w="1300"/>
          </w:tcPr>
          <w:p>
            <w:pPr>
              <w:spacing w:line="240" w:lineRule="auto"/>
              <w:jc w:val="right"/>
            </w:pPr>
            <w:r>
              <w:rPr>
                <w:rFonts w:ascii="宋体" w:hAnsi="宋体" w:cs="宋体" w:eastAsia="宋体"/>
                <w:b w:val="false"/>
              </w:rPr>
              <w:t>165,792,436.02</w:t>
            </w:r>
          </w:p>
        </w:tc>
        <w:tc>
          <w:tcPr>
            <w:tcW w:type="pct" w:w="1300"/>
          </w:tcPr>
          <w:p>
            <w:pPr>
              <w:spacing w:line="240" w:lineRule="auto"/>
              <w:jc w:val="right"/>
            </w:pPr>
            <w:r>
              <w:rPr>
                <w:rFonts w:ascii="宋体" w:hAnsi="宋体" w:cs="宋体" w:eastAsia="宋体"/>
                <w:b w:val="false"/>
              </w:rPr>
              <w:t>34,768,237.21</w:t>
            </w:r>
          </w:p>
        </w:tc>
      </w:tr>
      <w:tr>
        <w:tc>
          <w:tcPr>
            <w:tcW/>
          </w:tcPr>
          <w:p>
            <w:pPr>
              <w:spacing w:line="240" w:lineRule="auto"/>
              <w:jc w:val="left"/>
            </w:pPr>
            <w:r>
              <w:rPr>
                <w:rFonts w:ascii="宋体" w:hAnsi="宋体" w:cs="宋体" w:eastAsia="宋体"/>
                <w:b w:val="false"/>
              </w:rPr>
              <w:t>报告期期间基金总申购份额</w:t>
            </w:r>
          </w:p>
        </w:tc>
        <w:tc>
          <w:tcPr>
            <w:tcW w:type="pct" w:w="1300"/>
          </w:tcPr>
          <w:p>
            <w:pPr>
              <w:spacing w:line="240" w:lineRule="auto"/>
              <w:jc w:val="right"/>
            </w:pPr>
            <w:r>
              <w:rPr>
                <w:rFonts w:ascii="宋体" w:hAnsi="宋体" w:cs="宋体" w:eastAsia="宋体"/>
                <w:b w:val="false"/>
              </w:rPr>
              <w:t>76,329.38</w:t>
            </w:r>
          </w:p>
        </w:tc>
        <w:tc>
          <w:tcPr>
            <w:tcW w:type="pct" w:w="1300"/>
          </w:tcPr>
          <w:p>
            <w:pPr>
              <w:spacing w:line="240" w:lineRule="auto"/>
              <w:jc w:val="right"/>
            </w:pPr>
            <w:r>
              <w:rPr>
                <w:rFonts w:ascii="宋体" w:hAnsi="宋体" w:cs="宋体" w:eastAsia="宋体"/>
                <w:b w:val="false"/>
              </w:rPr>
              <w:t>385,208.19</w:t>
            </w:r>
          </w:p>
        </w:tc>
      </w:tr>
      <w:tr>
        <w:tc>
          <w:tcPr>
            <w:tcW/>
          </w:tcPr>
          <w:p>
            <w:pPr>
              <w:spacing w:line="240" w:lineRule="auto"/>
              <w:jc w:val="left"/>
            </w:pPr>
            <w:r>
              <w:rPr>
                <w:rFonts w:ascii="宋体" w:hAnsi="宋体" w:cs="宋体" w:eastAsia="宋体"/>
                <w:b w:val="false"/>
              </w:rPr>
              <w:t>减：报告期期间基金总赎回份额</w:t>
            </w:r>
          </w:p>
        </w:tc>
        <w:tc>
          <w:tcPr>
            <w:tcW w:type="pct" w:w="1300"/>
          </w:tcPr>
          <w:p>
            <w:pPr>
              <w:spacing w:line="240" w:lineRule="auto"/>
              <w:jc w:val="right"/>
            </w:pPr>
            <w:r>
              <w:rPr>
                <w:rFonts w:ascii="宋体" w:hAnsi="宋体" w:cs="宋体" w:eastAsia="宋体"/>
                <w:b w:val="false"/>
              </w:rPr>
              <w:t>4,599,281.59</w:t>
            </w:r>
          </w:p>
        </w:tc>
        <w:tc>
          <w:tcPr>
            <w:tcW w:type="pct" w:w="1300"/>
          </w:tcPr>
          <w:p>
            <w:pPr>
              <w:spacing w:line="240" w:lineRule="auto"/>
              <w:jc w:val="right"/>
            </w:pPr>
            <w:r>
              <w:rPr>
                <w:rFonts w:ascii="宋体" w:hAnsi="宋体" w:cs="宋体" w:eastAsia="宋体"/>
                <w:b w:val="false"/>
              </w:rPr>
              <w:t>2,752,392.54</w:t>
            </w:r>
          </w:p>
        </w:tc>
      </w:tr>
      <w:tr>
        <w:tc>
          <w:tcPr>
            <w:tcW/>
          </w:tcPr>
          <w:p>
            <w:pPr>
              <w:spacing w:line="240" w:lineRule="auto"/>
              <w:jc w:val="left"/>
            </w:pPr>
            <w:r>
              <w:rPr>
                <w:rFonts w:ascii="宋体" w:hAnsi="宋体" w:cs="宋体" w:eastAsia="宋体"/>
                <w:b w:val="false"/>
              </w:rPr>
              <w:t>报告期期间基金拆分变动份额（份额减少以“-”填列）</w:t>
            </w:r>
          </w:p>
        </w:tc>
        <w:tc>
          <w:tcPr>
            <w:tcW w:type="pct" w:w="1300"/>
          </w:tcPr>
          <w:p>
            <w:pPr>
              <w:spacing w:line="240" w:lineRule="auto"/>
              <w:jc w:val="right"/>
            </w:pPr>
            <w:r>
              <w:rPr>
                <w:rFonts w:ascii="宋体" w:hAnsi="宋体" w:cs="宋体" w:eastAsia="宋体"/>
                <w:b w:val="false"/>
              </w:rPr>
              <w:t>-</w:t>
            </w:r>
          </w:p>
        </w:tc>
        <w:tc>
          <w:tcPr>
            <w:tcW w:type="pct" w:w="130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报告期期末基金份额总额</w:t>
            </w:r>
          </w:p>
        </w:tc>
        <w:tc>
          <w:tcPr>
            <w:tcW w:type="pct" w:w="1300"/>
          </w:tcPr>
          <w:p>
            <w:pPr>
              <w:spacing w:line="240" w:lineRule="auto"/>
              <w:jc w:val="right"/>
            </w:pPr>
            <w:r>
              <w:rPr>
                <w:rFonts w:ascii="宋体" w:hAnsi="宋体" w:cs="宋体" w:eastAsia="宋体"/>
                <w:b w:val="false"/>
              </w:rPr>
              <w:t>161,269,483.81</w:t>
            </w:r>
          </w:p>
        </w:tc>
        <w:tc>
          <w:tcPr>
            <w:tcW w:type="pct" w:w="1300"/>
          </w:tcPr>
          <w:p>
            <w:pPr>
              <w:spacing w:line="240" w:lineRule="auto"/>
              <w:jc w:val="right"/>
            </w:pPr>
            <w:r>
              <w:rPr>
                <w:rFonts w:ascii="宋体" w:hAnsi="宋体" w:cs="宋体" w:eastAsia="宋体"/>
                <w:b w:val="false"/>
              </w:rPr>
              <w:t>32,401,052.86</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3077"/>
          </w:tcPr>
          <w:p>
            <w:pPr>
              <w:spacing w:line="240" w:lineRule="auto"/>
              <w:jc w:val="center"/>
            </w:pPr>
          </w:p>
        </w:tc>
        <w:tc>
          <w:tcPr>
            <w:tcW w:type="pct" w:w="950"/>
          </w:tcPr>
          <w:p>
            <w:pPr>
              <w:spacing w:line="240" w:lineRule="auto"/>
              <w:jc w:val="center"/>
            </w:pPr>
            <w:r>
              <w:rPr>
                <w:rFonts w:ascii="宋体" w:hAnsi="宋体" w:cs="宋体" w:eastAsia="宋体"/>
                <w:b w:val="false"/>
              </w:rPr>
              <w:t>东方阿尔法兴科一年持有混合A</w:t>
            </w:r>
          </w:p>
        </w:tc>
        <w:tc>
          <w:tcPr>
            <w:tcW w:type="pct" w:w="950"/>
          </w:tcPr>
          <w:p>
            <w:pPr>
              <w:spacing w:line="240" w:lineRule="auto"/>
              <w:jc w:val="center"/>
            </w:pPr>
            <w:r>
              <w:rPr>
                <w:rFonts w:ascii="宋体" w:hAnsi="宋体" w:cs="宋体" w:eastAsia="宋体"/>
                <w:b w:val="false"/>
              </w:rPr>
              <w:t>东方阿尔法兴科一年持有混合C</w:t>
            </w:r>
          </w:p>
        </w:tc>
      </w:tr>
      <w:tr>
        <w:tc>
          <w:tcPr>
            <w:tcW w:type="pct" w:w="3077"/>
          </w:tcPr>
          <w:p>
            <w:pPr>
              <w:spacing w:line="240" w:lineRule="auto"/>
              <w:jc w:val="left"/>
            </w:pPr>
            <w:r>
              <w:rPr>
                <w:rFonts w:ascii="宋体" w:hAnsi="宋体" w:cs="宋体" w:eastAsia="宋体"/>
                <w:b w:val="false"/>
              </w:rPr>
              <w:t>报告期期初管理人持有的本基金份额</w:t>
            </w:r>
          </w:p>
        </w:tc>
        <w:tc>
          <w:tcPr>
            <w:tcW w:type="pct" w:w="950"/>
          </w:tcPr>
          <w:p>
            <w:pPr>
              <w:spacing w:line="240" w:lineRule="auto"/>
              <w:jc w:val="right"/>
            </w:pPr>
            <w:r>
              <w:rPr>
                <w:rFonts w:ascii="宋体" w:hAnsi="宋体" w:cs="宋体" w:eastAsia="宋体"/>
                <w:b w:val="false"/>
              </w:rPr>
              <w:t>5,024,641.70</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报告期期间买入/申购总份额</w:t>
            </w:r>
          </w:p>
        </w:tc>
        <w:tc>
          <w:tcPr>
            <w:tcW w:type="pct" w:w="950"/>
          </w:tcPr>
          <w:p>
            <w:pPr>
              <w:spacing w:line="240" w:lineRule="auto"/>
              <w:jc w:val="right"/>
            </w:pPr>
            <w:r>
              <w:rPr>
                <w:rFonts w:ascii="宋体" w:hAnsi="宋体" w:cs="宋体" w:eastAsia="宋体"/>
                <w:b w:val="false"/>
              </w:rPr>
              <w:t>-</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报告期期间卖出/赎回总份额</w:t>
            </w:r>
          </w:p>
        </w:tc>
        <w:tc>
          <w:tcPr>
            <w:tcW w:type="pct" w:w="950"/>
          </w:tcPr>
          <w:p>
            <w:pPr>
              <w:spacing w:line="240" w:lineRule="auto"/>
              <w:jc w:val="right"/>
            </w:pPr>
            <w:r>
              <w:rPr>
                <w:rFonts w:ascii="宋体" w:hAnsi="宋体" w:cs="宋体" w:eastAsia="宋体"/>
                <w:b w:val="false"/>
              </w:rPr>
              <w:t>-</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报告期期末管理人持有的本基金份额</w:t>
            </w:r>
          </w:p>
        </w:tc>
        <w:tc>
          <w:tcPr>
            <w:tcW w:type="pct" w:w="950"/>
          </w:tcPr>
          <w:p>
            <w:pPr>
              <w:spacing w:line="240" w:lineRule="auto"/>
              <w:jc w:val="right"/>
            </w:pPr>
            <w:r>
              <w:rPr>
                <w:rFonts w:ascii="宋体" w:hAnsi="宋体" w:cs="宋体" w:eastAsia="宋体"/>
                <w:b w:val="false"/>
              </w:rPr>
              <w:t>5,024,641.70</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报告期期末持有的本基金份额占基金总份额比例（%）</w:t>
            </w:r>
          </w:p>
        </w:tc>
        <w:tc>
          <w:tcPr>
            <w:tcW w:type="pct" w:w="950"/>
          </w:tcPr>
          <w:p>
            <w:pPr>
              <w:spacing w:line="240" w:lineRule="auto"/>
              <w:jc w:val="right"/>
            </w:pPr>
            <w:r>
              <w:rPr>
                <w:rFonts w:ascii="宋体" w:hAnsi="宋体" w:cs="宋体" w:eastAsia="宋体"/>
                <w:b w:val="false"/>
              </w:rPr>
              <w:t>2.59</w:t>
            </w:r>
          </w:p>
        </w:tc>
        <w:tc>
          <w:tcPr>
            <w:tcW w:type="pct" w:w="950"/>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本报告期内，基金管理人不存在申购、赎回或转换本基金的情况。</w:t>
      </w:r>
    </w:p>
    <w:p>
      <w:pPr>
        <w:pStyle w:val="1"/>
        <w:jc w:val="center"/>
      </w:pPr>
      <w:r>
        <w:rPr>
          <w:rFonts w:ascii="宋体" w:hAnsi="宋体" w:cs="宋体" w:eastAsia="宋体"/>
        </w:rPr>
        <w:t>§8 影响投资者决策的其他重要信息</w:t>
      </w:r>
    </w:p>
    <w:p>
      <w:pPr>
        <w:pStyle w:val="2"/>
        <w:jc w:val="left"/>
      </w:pPr>
      <w:r>
        <w:rPr>
          <w:rFonts w:ascii="宋体" w:hAnsi="宋体" w:cs="宋体" w:eastAsia="宋体"/>
        </w:rPr>
        <w:t>8.1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20250101-20250331</w:t>
            </w:r>
          </w:p>
        </w:tc>
        <w:tc>
          <w:tcPr>
            <w:tcW/>
            <w:vAlign w:val="center"/>
          </w:tcPr>
          <w:p>
            <w:pPr>
              <w:spacing w:line="240" w:lineRule="auto"/>
              <w:jc w:val="right"/>
            </w:pPr>
            <w:r>
              <w:rPr>
                <w:rFonts w:ascii="宋体" w:hAnsi="宋体" w:cs="宋体" w:eastAsia="宋体"/>
                <w:b w:val="false"/>
              </w:rPr>
              <w:t>49,201,250.00</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49,201,250.00</w:t>
            </w:r>
          </w:p>
        </w:tc>
        <w:tc>
          <w:tcPr>
            <w:tcW/>
            <w:vAlign w:val="center"/>
          </w:tcPr>
          <w:p>
            <w:pPr>
              <w:spacing w:line="240" w:lineRule="auto"/>
              <w:jc w:val="right"/>
            </w:pPr>
            <w:r>
              <w:rPr>
                <w:rFonts w:ascii="宋体" w:hAnsi="宋体" w:cs="宋体" w:eastAsia="宋体"/>
                <w:b w:val="false"/>
              </w:rPr>
              <w:t>25.4%</w:t>
            </w:r>
          </w:p>
        </w:tc>
      </w:tr>
      <w:tr>
        <w:tc>
          <w:tcPr>
            <w:tcW/>
            <w:hMerge w:val="restart"/>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8.2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§9 备查文件目录</w:t>
      </w:r>
    </w:p>
    <w:p>
      <w:pPr>
        <w:pStyle w:val="2"/>
        <w:jc w:val="left"/>
      </w:pPr>
      <w:r>
        <w:rPr>
          <w:rFonts w:ascii="宋体" w:hAnsi="宋体" w:cs="宋体" w:eastAsia="宋体"/>
        </w:rPr>
        <w:t>9.1 备查文件目录</w:t>
      </w:r>
    </w:p>
    <w:p>
      <w:r>
        <w:rPr>
          <w:rFonts w:ascii="宋体" w:hAnsi="宋体" w:cs="宋体" w:eastAsia="宋体"/>
          <w:b w:val="false"/>
        </w:rPr>
        <w:t xml:space="preserve">    1、中国证券监督管理委员会批准的东方阿尔法兴科一年持有期混合型证券投资基金设立的文件；</w:t>
        <w:cr/>
      </w:r>
      <w:r>
        <w:rPr>
          <w:rFonts w:ascii="宋体" w:hAnsi="宋体" w:cs="宋体" w:eastAsia="宋体"/>
          <w:b w:val="false"/>
        </w:rPr>
        <w:t xml:space="preserve">    2、《东方阿尔法兴科一年持有期混合型证券投资基金基金合同》；</w:t>
        <w:cr/>
      </w:r>
      <w:r>
        <w:rPr>
          <w:rFonts w:ascii="宋体" w:hAnsi="宋体" w:cs="宋体" w:eastAsia="宋体"/>
          <w:b w:val="false"/>
        </w:rPr>
        <w:t xml:space="preserve">    3、《东方阿尔法兴科一年持有期混合型证券投资基金托管协议》；</w:t>
        <w:cr/>
      </w:r>
      <w:r>
        <w:rPr>
          <w:rFonts w:ascii="宋体" w:hAnsi="宋体" w:cs="宋体" w:eastAsia="宋体"/>
          <w:b w:val="false"/>
        </w:rPr>
        <w:t xml:space="preserve">    4、《东方阿尔法兴科一年持有期混合型证券投资基金招募说明书》（含更新）；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9.2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9.3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二〇二五年四月十八日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东方阿尔法兴科一年持有期混合型证券投资基金2025年第1季度报告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