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东方阿尔法优势产业混合型发起式证券投资基金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2025年04月18日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基金托管人招商银行股份有限公司根据本基金合同规定，于2025年04月17日复核了本报告中的财务指标、净值表现和投资组合报告等内容，保证复核内容不存在虚假记载、误导性陈述或者重大遗漏。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本报告期自2025年01月01日起至2025年03月31日止。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东方阿尔法优势产业混合</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009644</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2020年06月28日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2,310,509,634.87份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本基金采用自上而下的方法进行大类资产配置，通过对宏观经济、政策环境、证券市场走势的跟踪和综合分析，进行前瞻性的战略判断，合理确定基金在股票、债券、现金等各类别资产中的投资比例，并适时进行动态调整。</w:t>
              <w:br/>
            </w:r>
            <w:r>
              <w:rPr>
                <w:rFonts w:ascii="宋体" w:hAnsi="宋体" w:cs="宋体" w:eastAsia="宋体"/>
                <w:b w:val="false"/>
              </w:rPr>
              <w:t>2、股票投资策略</w:t>
              <w:br/>
            </w:r>
            <w:r>
              <w:rPr>
                <w:rFonts w:ascii="宋体" w:hAnsi="宋体" w:cs="宋体" w:eastAsia="宋体"/>
                <w:b w:val="false"/>
              </w:rPr>
              <w:t>本基金采用自上而下行业配置和自下而上个股精选相结合的股票投资策略，精选行业和公司。并通过深入研究宏观经济转型、产业结构转型背景下的产业升级与变革，对受益于国家经济转型和政策环境改变的相关产业中的上市公司进行系统分析，从定性和定量结合的角度综合分析其成长性和投资价值。</w:t>
              <w:br/>
            </w:r>
            <w:r>
              <w:rPr>
                <w:rFonts w:ascii="宋体" w:hAnsi="宋体" w:cs="宋体" w:eastAsia="宋体"/>
                <w:b w:val="false"/>
              </w:rPr>
              <w:t>3、存托凭证投资策略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6、融资业务的投资策略</w:t>
              <w:br/>
            </w:r>
            <w:r>
              <w:rPr>
                <w:rFonts w:ascii="宋体" w:hAnsi="宋体" w:cs="宋体" w:eastAsia="宋体"/>
                <w:b w:val="false"/>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7、国债期货的投资策略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8、资产支持证券投资策略</w:t>
              <w:br/>
            </w:r>
            <w:r>
              <w:rPr>
                <w:rFonts w:ascii="宋体" w:hAnsi="宋体" w:cs="宋体" w:eastAsia="宋体"/>
                <w:b w:val="false"/>
              </w:rPr>
              <w:t>本基金可以投资包括资产抵押贷款支持证券(ABS)、住房抵押贷款支持证券(MBS)等在内的资产支持证券。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中证800指数收益率×70%+中证综合债券指数收益率×30%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招商银行股份有限公司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东方阿尔法优势产业混合A</w:t>
            </w:r>
          </w:p>
        </w:tc>
        <w:tc>
          <w:tcPr>
            <w:tcW w:type="pct" w:w="1500"/>
          </w:tcPr>
          <w:p>
            <w:pPr>
              <w:spacing w:line="240" w:lineRule="auto"/>
              <w:jc w:val="left"/>
            </w:pPr>
            <w:r>
              <w:rPr>
                <w:rFonts w:ascii="宋体" w:hAnsi="宋体" w:cs="宋体" w:eastAsia="宋体"/>
                <w:b w:val="false"/>
              </w:rPr>
              <w:t>东方阿尔法优势产业混合C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009644</w:t>
            </w:r>
          </w:p>
        </w:tc>
        <w:tc>
          <w:tcPr>
            <w:tcW w:type="pct" w:w="1500"/>
          </w:tcPr>
          <w:p>
            <w:pPr>
              <w:spacing w:line="240" w:lineRule="auto"/>
              <w:jc w:val="left"/>
            </w:pPr>
            <w:r>
              <w:rPr>
                <w:rFonts w:ascii="宋体" w:hAnsi="宋体" w:cs="宋体" w:eastAsia="宋体"/>
                <w:b w:val="false"/>
              </w:rPr>
              <w:t>009645</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1,220,705,229.64份</w:t>
            </w:r>
          </w:p>
        </w:tc>
        <w:tc>
          <w:tcPr>
            <w:tcW w:type="pct" w:w="1500"/>
          </w:tcPr>
          <w:p>
            <w:pPr>
              <w:spacing w:line="240" w:lineRule="auto"/>
              <w:jc w:val="left"/>
            </w:pPr>
            <w:r>
              <w:rPr>
                <w:rFonts w:ascii="宋体" w:hAnsi="宋体" w:cs="宋体" w:eastAsia="宋体"/>
                <w:b w:val="false"/>
              </w:rPr>
              <w:t>1,089,804,405.23份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报告期（2025年01月01日-2025年03月31日）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东方阿尔法优势产业混合A</w:t>
            </w:r>
          </w:p>
        </w:tc>
        <w:tc>
          <w:tcPr>
            <w:tcW w:type="pct" w:w="1500"/>
          </w:tcPr>
          <w:tcPr>
            <w:shd w:fill="d9d9d9"/>
          </w:tcPr>
          <w:p>
            <w:pPr>
              <w:spacing w:line="240" w:lineRule="auto"/>
              <w:jc w:val="center"/>
            </w:pPr>
            <w:r>
              <w:rPr>
                <w:rFonts w:ascii="宋体" w:hAnsi="宋体" w:cs="宋体" w:eastAsia="宋体"/>
                <w:b w:val="false"/>
              </w:rPr>
              <w:t>东方阿尔法优势产业混合C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-1,688,147.45</w:t>
            </w:r>
          </w:p>
        </w:tc>
        <w:tc>
          <w:tcPr>
            <w:tcW w:type="pct" w:w="1500"/>
          </w:tcPr>
          <w:p>
            <w:pPr>
              <w:spacing w:line="240" w:lineRule="auto"/>
              <w:jc w:val="right"/>
            </w:pPr>
            <w:r>
              <w:rPr>
                <w:rFonts w:ascii="宋体" w:hAnsi="宋体" w:cs="宋体" w:eastAsia="宋体"/>
                <w:b w:val="false"/>
              </w:rPr>
              <w:t>-3,763,711.35</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127,325,581.19</w:t>
            </w:r>
          </w:p>
        </w:tc>
        <w:tc>
          <w:tcPr>
            <w:tcW w:type="pct" w:w="1500"/>
          </w:tcPr>
          <w:p>
            <w:pPr>
              <w:spacing w:line="240" w:lineRule="auto"/>
              <w:jc w:val="right"/>
            </w:pPr>
            <w:r>
              <w:rPr>
                <w:rFonts w:ascii="宋体" w:hAnsi="宋体" w:cs="宋体" w:eastAsia="宋体"/>
                <w:b w:val="false"/>
              </w:rPr>
              <w:t>114,180,366.72</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0.1008</w:t>
            </w:r>
          </w:p>
        </w:tc>
        <w:tc>
          <w:tcPr>
            <w:tcW w:type="pct" w:w="1500"/>
          </w:tcPr>
          <w:p>
            <w:pPr>
              <w:spacing w:line="240" w:lineRule="auto"/>
              <w:jc w:val="right"/>
            </w:pPr>
            <w:r>
              <w:rPr>
                <w:rFonts w:ascii="宋体" w:hAnsi="宋体" w:cs="宋体" w:eastAsia="宋体"/>
                <w:b w:val="false"/>
              </w:rPr>
              <w:t>0.1007</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1,550,084,957.10</w:t>
            </w:r>
          </w:p>
        </w:tc>
        <w:tc>
          <w:tcPr>
            <w:tcW w:type="pct" w:w="1500"/>
          </w:tcPr>
          <w:p>
            <w:pPr>
              <w:spacing w:line="240" w:lineRule="auto"/>
              <w:jc w:val="right"/>
            </w:pPr>
            <w:r>
              <w:rPr>
                <w:rFonts w:ascii="宋体" w:hAnsi="宋体" w:cs="宋体" w:eastAsia="宋体"/>
                <w:b w:val="false"/>
              </w:rPr>
              <w:t>1,351,426,182.76</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1.2698</w:t>
            </w:r>
          </w:p>
        </w:tc>
        <w:tc>
          <w:tcPr>
            <w:tcW w:type="pct" w:w="1500"/>
          </w:tcPr>
          <w:p>
            <w:pPr>
              <w:spacing w:line="240" w:lineRule="auto"/>
              <w:jc w:val="right"/>
            </w:pPr>
            <w:r>
              <w:rPr>
                <w:rFonts w:ascii="宋体" w:hAnsi="宋体" w:cs="宋体" w:eastAsia="宋体"/>
                <w:b w:val="false"/>
              </w:rPr>
              <w:t>1.2401</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东方阿尔法优势产业混合A净值表现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8.08%</w:t>
            </w:r>
          </w:p>
        </w:tc>
        <w:tc>
          <w:tcPr>
            <w:tcW/>
          </w:tcPr>
          <w:p>
            <w:pPr>
              <w:spacing w:line="240" w:lineRule="auto"/>
              <w:jc w:val="right"/>
            </w:pPr>
            <w:r>
              <w:rPr>
                <w:rFonts w:ascii="宋体" w:hAnsi="宋体" w:cs="宋体" w:eastAsia="宋体"/>
                <w:b w:val="false"/>
              </w:rPr>
              <w:t>2.40%</w:t>
            </w:r>
          </w:p>
        </w:tc>
        <w:tc>
          <w:tcPr>
            <w:tcW/>
          </w:tcPr>
          <w:p>
            <w:pPr>
              <w:spacing w:line="240" w:lineRule="auto"/>
              <w:jc w:val="right"/>
            </w:pPr>
            <w:r>
              <w:rPr>
                <w:rFonts w:ascii="宋体" w:hAnsi="宋体" w:cs="宋体" w:eastAsia="宋体"/>
                <w:b w:val="false"/>
              </w:rPr>
              <w:t>-0.36%</w:t>
            </w:r>
          </w:p>
        </w:tc>
        <w:tc>
          <w:tcPr>
            <w:tcW/>
          </w:tcPr>
          <w:p>
            <w:pPr>
              <w:spacing w:line="240" w:lineRule="auto"/>
              <w:jc w:val="right"/>
            </w:pPr>
            <w:r>
              <w:rPr>
                <w:rFonts w:ascii="宋体" w:hAnsi="宋体" w:cs="宋体" w:eastAsia="宋体"/>
                <w:b w:val="false"/>
              </w:rPr>
              <w:t>0.68%</w:t>
            </w:r>
          </w:p>
        </w:tc>
        <w:tc>
          <w:tcPr>
            <w:tcW/>
          </w:tcPr>
          <w:p>
            <w:pPr>
              <w:spacing w:line="240" w:lineRule="auto"/>
              <w:jc w:val="right"/>
            </w:pPr>
            <w:r>
              <w:rPr>
                <w:rFonts w:ascii="宋体" w:hAnsi="宋体" w:cs="宋体" w:eastAsia="宋体"/>
                <w:b w:val="false"/>
              </w:rPr>
              <w:t>8.44%</w:t>
            </w:r>
          </w:p>
        </w:tc>
        <w:tc>
          <w:tcPr>
            <w:tcW/>
          </w:tcPr>
          <w:p>
            <w:pPr>
              <w:spacing w:line="240" w:lineRule="auto"/>
              <w:jc w:val="right"/>
            </w:pPr>
            <w:r>
              <w:rPr>
                <w:rFonts w:ascii="宋体" w:hAnsi="宋体" w:cs="宋体" w:eastAsia="宋体"/>
                <w:b w:val="false"/>
              </w:rPr>
              <w:t>1.72%</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3.16%</w:t>
            </w:r>
          </w:p>
        </w:tc>
        <w:tc>
          <w:tcPr>
            <w:tcW/>
          </w:tcPr>
          <w:p>
            <w:pPr>
              <w:spacing w:line="240" w:lineRule="auto"/>
              <w:jc w:val="right"/>
            </w:pPr>
            <w:r>
              <w:rPr>
                <w:rFonts w:ascii="宋体" w:hAnsi="宋体" w:cs="宋体" w:eastAsia="宋体"/>
                <w:b w:val="false"/>
              </w:rPr>
              <w:t>2.66%</w:t>
            </w:r>
          </w:p>
        </w:tc>
        <w:tc>
          <w:tcPr>
            <w:tcW/>
          </w:tcPr>
          <w:p>
            <w:pPr>
              <w:spacing w:line="240" w:lineRule="auto"/>
              <w:jc w:val="right"/>
            </w:pPr>
            <w:r>
              <w:rPr>
                <w:rFonts w:ascii="宋体" w:hAnsi="宋体" w:cs="宋体" w:eastAsia="宋体"/>
                <w:b w:val="false"/>
              </w:rPr>
              <w:t>-0.49%</w:t>
            </w:r>
          </w:p>
        </w:tc>
        <w:tc>
          <w:tcPr>
            <w:tcW/>
          </w:tcPr>
          <w:p>
            <w:pPr>
              <w:spacing w:line="240" w:lineRule="auto"/>
              <w:jc w:val="right"/>
            </w:pPr>
            <w:r>
              <w:rPr>
                <w:rFonts w:ascii="宋体" w:hAnsi="宋体" w:cs="宋体" w:eastAsia="宋体"/>
                <w:b w:val="false"/>
              </w:rPr>
              <w:t>1.01%</w:t>
            </w:r>
          </w:p>
        </w:tc>
        <w:tc>
          <w:tcPr>
            <w:tcW/>
          </w:tcPr>
          <w:p>
            <w:pPr>
              <w:spacing w:line="240" w:lineRule="auto"/>
              <w:jc w:val="right"/>
            </w:pPr>
            <w:r>
              <w:rPr>
                <w:rFonts w:ascii="宋体" w:hAnsi="宋体" w:cs="宋体" w:eastAsia="宋体"/>
                <w:b w:val="false"/>
              </w:rPr>
              <w:t>3.65%</w:t>
            </w:r>
          </w:p>
        </w:tc>
        <w:tc>
          <w:tcPr>
            <w:tcW/>
          </w:tcPr>
          <w:p>
            <w:pPr>
              <w:spacing w:line="240" w:lineRule="auto"/>
              <w:jc w:val="right"/>
            </w:pPr>
            <w:r>
              <w:rPr>
                <w:rFonts w:ascii="宋体" w:hAnsi="宋体" w:cs="宋体" w:eastAsia="宋体"/>
                <w:b w:val="false"/>
              </w:rPr>
              <w:t>1.65%</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18.81%</w:t>
            </w:r>
          </w:p>
        </w:tc>
        <w:tc>
          <w:tcPr>
            <w:tcW/>
          </w:tcPr>
          <w:p>
            <w:pPr>
              <w:spacing w:line="240" w:lineRule="auto"/>
              <w:jc w:val="right"/>
            </w:pPr>
            <w:r>
              <w:rPr>
                <w:rFonts w:ascii="宋体" w:hAnsi="宋体" w:cs="宋体" w:eastAsia="宋体"/>
                <w:b w:val="false"/>
              </w:rPr>
              <w:t>2.63%</w:t>
            </w:r>
          </w:p>
        </w:tc>
        <w:tc>
          <w:tcPr>
            <w:tcW/>
          </w:tcPr>
          <w:p>
            <w:pPr>
              <w:spacing w:line="240" w:lineRule="auto"/>
              <w:jc w:val="right"/>
            </w:pPr>
            <w:r>
              <w:rPr>
                <w:rFonts w:ascii="宋体" w:hAnsi="宋体" w:cs="宋体" w:eastAsia="宋体"/>
                <w:b w:val="false"/>
              </w:rPr>
              <w:t>9.11%</w:t>
            </w:r>
          </w:p>
        </w:tc>
        <w:tc>
          <w:tcPr>
            <w:tcW/>
          </w:tcPr>
          <w:p>
            <w:pPr>
              <w:spacing w:line="240" w:lineRule="auto"/>
              <w:jc w:val="right"/>
            </w:pPr>
            <w:r>
              <w:rPr>
                <w:rFonts w:ascii="宋体" w:hAnsi="宋体" w:cs="宋体" w:eastAsia="宋体"/>
                <w:b w:val="false"/>
              </w:rPr>
              <w:t>0.96%</w:t>
            </w:r>
          </w:p>
        </w:tc>
        <w:tc>
          <w:tcPr>
            <w:tcW/>
          </w:tcPr>
          <w:p>
            <w:pPr>
              <w:spacing w:line="240" w:lineRule="auto"/>
              <w:jc w:val="right"/>
            </w:pPr>
            <w:r>
              <w:rPr>
                <w:rFonts w:ascii="宋体" w:hAnsi="宋体" w:cs="宋体" w:eastAsia="宋体"/>
                <w:b w:val="false"/>
              </w:rPr>
              <w:t>9.70%</w:t>
            </w:r>
          </w:p>
        </w:tc>
        <w:tc>
          <w:tcPr>
            <w:tcW/>
          </w:tcPr>
          <w:p>
            <w:pPr>
              <w:spacing w:line="240" w:lineRule="auto"/>
              <w:jc w:val="right"/>
            </w:pPr>
            <w:r>
              <w:rPr>
                <w:rFonts w:ascii="宋体" w:hAnsi="宋体" w:cs="宋体" w:eastAsia="宋体"/>
                <w:b w:val="false"/>
              </w:rPr>
              <w:t>1.67%</w:t>
            </w:r>
          </w:p>
        </w:tc>
      </w:tr>
      <w:tr>
        <w:tc>
          <w:tcPr>
            <w:tcW/>
          </w:tcPr>
          <w:p>
            <w:pPr>
              <w:spacing w:line="240" w:lineRule="auto"/>
              <w:jc w:val="left"/>
            </w:pPr>
            <w:r>
              <w:rPr>
                <w:rFonts w:ascii="宋体" w:hAnsi="宋体" w:cs="宋体" w:eastAsia="宋体"/>
                <w:b w:val="false"/>
              </w:rPr>
              <w:t>过去三年</w:t>
            </w:r>
          </w:p>
        </w:tc>
        <w:tc>
          <w:tcPr>
            <w:tcW/>
          </w:tcPr>
          <w:p>
            <w:pPr>
              <w:spacing w:line="240" w:lineRule="auto"/>
              <w:jc w:val="right"/>
            </w:pPr>
            <w:r>
              <w:rPr>
                <w:rFonts w:ascii="宋体" w:hAnsi="宋体" w:cs="宋体" w:eastAsia="宋体"/>
                <w:b w:val="false"/>
              </w:rPr>
              <w:t>-24.20%</w:t>
            </w:r>
          </w:p>
        </w:tc>
        <w:tc>
          <w:tcPr>
            <w:tcW/>
          </w:tcPr>
          <w:p>
            <w:pPr>
              <w:spacing w:line="240" w:lineRule="auto"/>
              <w:jc w:val="right"/>
            </w:pPr>
            <w:r>
              <w:rPr>
                <w:rFonts w:ascii="宋体" w:hAnsi="宋体" w:cs="宋体" w:eastAsia="宋体"/>
                <w:b w:val="false"/>
              </w:rPr>
              <w:t>2.31%</w:t>
            </w:r>
          </w:p>
        </w:tc>
        <w:tc>
          <w:tcPr>
            <w:tcW/>
          </w:tcPr>
          <w:p>
            <w:pPr>
              <w:spacing w:line="240" w:lineRule="auto"/>
              <w:jc w:val="right"/>
            </w:pPr>
            <w:r>
              <w:rPr>
                <w:rFonts w:ascii="宋体" w:hAnsi="宋体" w:cs="宋体" w:eastAsia="宋体"/>
                <w:b w:val="false"/>
              </w:rPr>
              <w:t>-0.41%</w:t>
            </w:r>
          </w:p>
        </w:tc>
        <w:tc>
          <w:tcPr>
            <w:tcW/>
          </w:tcPr>
          <w:p>
            <w:pPr>
              <w:spacing w:line="240" w:lineRule="auto"/>
              <w:jc w:val="right"/>
            </w:pPr>
            <w:r>
              <w:rPr>
                <w:rFonts w:ascii="宋体" w:hAnsi="宋体" w:cs="宋体" w:eastAsia="宋体"/>
                <w:b w:val="false"/>
              </w:rPr>
              <w:t>0.81%</w:t>
            </w:r>
          </w:p>
        </w:tc>
        <w:tc>
          <w:tcPr>
            <w:tcW/>
          </w:tcPr>
          <w:p>
            <w:pPr>
              <w:spacing w:line="240" w:lineRule="auto"/>
              <w:jc w:val="right"/>
            </w:pPr>
            <w:r>
              <w:rPr>
                <w:rFonts w:ascii="宋体" w:hAnsi="宋体" w:cs="宋体" w:eastAsia="宋体"/>
                <w:b w:val="false"/>
              </w:rPr>
              <w:t>-23.79%</w:t>
            </w:r>
          </w:p>
        </w:tc>
        <w:tc>
          <w:tcPr>
            <w:tcW/>
          </w:tcPr>
          <w:p>
            <w:pPr>
              <w:spacing w:line="240" w:lineRule="auto"/>
              <w:jc w:val="right"/>
            </w:pPr>
            <w:r>
              <w:rPr>
                <w:rFonts w:ascii="宋体" w:hAnsi="宋体" w:cs="宋体" w:eastAsia="宋体"/>
                <w:b w:val="false"/>
              </w:rPr>
              <w:t>1.50%</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26.98%</w:t>
            </w:r>
          </w:p>
        </w:tc>
        <w:tc>
          <w:tcPr>
            <w:tcW/>
          </w:tcPr>
          <w:p>
            <w:pPr>
              <w:spacing w:line="240" w:lineRule="auto"/>
              <w:jc w:val="right"/>
            </w:pPr>
            <w:r>
              <w:rPr>
                <w:rFonts w:ascii="宋体" w:hAnsi="宋体" w:cs="宋体" w:eastAsia="宋体"/>
                <w:b w:val="false"/>
              </w:rPr>
              <w:t>2.41%</w:t>
            </w:r>
          </w:p>
        </w:tc>
        <w:tc>
          <w:tcPr>
            <w:tcW/>
          </w:tcPr>
          <w:p>
            <w:pPr>
              <w:spacing w:line="240" w:lineRule="auto"/>
              <w:jc w:val="right"/>
            </w:pPr>
            <w:r>
              <w:rPr>
                <w:rFonts w:ascii="宋体" w:hAnsi="宋体" w:cs="宋体" w:eastAsia="宋体"/>
                <w:b w:val="false"/>
              </w:rPr>
              <w:t>4.85%</w:t>
            </w:r>
          </w:p>
        </w:tc>
        <w:tc>
          <w:tcPr>
            <w:tcW/>
          </w:tcPr>
          <w:p>
            <w:pPr>
              <w:spacing w:line="240" w:lineRule="auto"/>
              <w:jc w:val="right"/>
            </w:pPr>
            <w:r>
              <w:rPr>
                <w:rFonts w:ascii="宋体" w:hAnsi="宋体" w:cs="宋体" w:eastAsia="宋体"/>
                <w:b w:val="false"/>
              </w:rPr>
              <w:t>0.82%</w:t>
            </w:r>
          </w:p>
        </w:tc>
        <w:tc>
          <w:tcPr>
            <w:tcW/>
          </w:tcPr>
          <w:p>
            <w:pPr>
              <w:spacing w:line="240" w:lineRule="auto"/>
              <w:jc w:val="right"/>
            </w:pPr>
            <w:r>
              <w:rPr>
                <w:rFonts w:ascii="宋体" w:hAnsi="宋体" w:cs="宋体" w:eastAsia="宋体"/>
                <w:b w:val="false"/>
              </w:rPr>
              <w:t>22.13%</w:t>
            </w:r>
          </w:p>
        </w:tc>
        <w:tc>
          <w:tcPr>
            <w:tcW/>
          </w:tcPr>
          <w:p>
            <w:pPr>
              <w:spacing w:line="240" w:lineRule="auto"/>
              <w:jc w:val="right"/>
            </w:pPr>
            <w:r>
              <w:rPr>
                <w:rFonts w:ascii="宋体" w:hAnsi="宋体" w:cs="宋体" w:eastAsia="宋体"/>
                <w:b w:val="false"/>
              </w:rPr>
              <w:t>1.59%</w:t>
            </w:r>
          </w:p>
        </w:tc>
      </w:tr>
    </w:tbl>
    <w:p>
      <w:pPr>
        <w:jc w:val="left"/>
      </w:pPr>
      <w:r>
        <w:rPr>
          <w:rFonts w:ascii="宋体" w:hAnsi="宋体" w:cs="宋体" w:eastAsia="宋体"/>
          <w:b w:val="true"/>
        </w:rPr>
        <w:t>东方阿尔法优势产业混合C净值表现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7.95%</w:t>
            </w:r>
          </w:p>
        </w:tc>
        <w:tc>
          <w:tcPr>
            <w:tcW/>
          </w:tcPr>
          <w:p>
            <w:pPr>
              <w:spacing w:line="240" w:lineRule="auto"/>
              <w:jc w:val="right"/>
            </w:pPr>
            <w:r>
              <w:rPr>
                <w:rFonts w:ascii="宋体" w:hAnsi="宋体" w:cs="宋体" w:eastAsia="宋体"/>
                <w:b w:val="false"/>
              </w:rPr>
              <w:t>2.40%</w:t>
            </w:r>
          </w:p>
        </w:tc>
        <w:tc>
          <w:tcPr>
            <w:tcW/>
          </w:tcPr>
          <w:p>
            <w:pPr>
              <w:spacing w:line="240" w:lineRule="auto"/>
              <w:jc w:val="right"/>
            </w:pPr>
            <w:r>
              <w:rPr>
                <w:rFonts w:ascii="宋体" w:hAnsi="宋体" w:cs="宋体" w:eastAsia="宋体"/>
                <w:b w:val="false"/>
              </w:rPr>
              <w:t>-0.36%</w:t>
            </w:r>
          </w:p>
        </w:tc>
        <w:tc>
          <w:tcPr>
            <w:tcW/>
          </w:tcPr>
          <w:p>
            <w:pPr>
              <w:spacing w:line="240" w:lineRule="auto"/>
              <w:jc w:val="right"/>
            </w:pPr>
            <w:r>
              <w:rPr>
                <w:rFonts w:ascii="宋体" w:hAnsi="宋体" w:cs="宋体" w:eastAsia="宋体"/>
                <w:b w:val="false"/>
              </w:rPr>
              <w:t>0.68%</w:t>
            </w:r>
          </w:p>
        </w:tc>
        <w:tc>
          <w:tcPr>
            <w:tcW/>
          </w:tcPr>
          <w:p>
            <w:pPr>
              <w:spacing w:line="240" w:lineRule="auto"/>
              <w:jc w:val="right"/>
            </w:pPr>
            <w:r>
              <w:rPr>
                <w:rFonts w:ascii="宋体" w:hAnsi="宋体" w:cs="宋体" w:eastAsia="宋体"/>
                <w:b w:val="false"/>
              </w:rPr>
              <w:t>8.31%</w:t>
            </w:r>
          </w:p>
        </w:tc>
        <w:tc>
          <w:tcPr>
            <w:tcW/>
          </w:tcPr>
          <w:p>
            <w:pPr>
              <w:spacing w:line="240" w:lineRule="auto"/>
              <w:jc w:val="right"/>
            </w:pPr>
            <w:r>
              <w:rPr>
                <w:rFonts w:ascii="宋体" w:hAnsi="宋体" w:cs="宋体" w:eastAsia="宋体"/>
                <w:b w:val="false"/>
              </w:rPr>
              <w:t>1.72%</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2.90%</w:t>
            </w:r>
          </w:p>
        </w:tc>
        <w:tc>
          <w:tcPr>
            <w:tcW/>
          </w:tcPr>
          <w:p>
            <w:pPr>
              <w:spacing w:line="240" w:lineRule="auto"/>
              <w:jc w:val="right"/>
            </w:pPr>
            <w:r>
              <w:rPr>
                <w:rFonts w:ascii="宋体" w:hAnsi="宋体" w:cs="宋体" w:eastAsia="宋体"/>
                <w:b w:val="false"/>
              </w:rPr>
              <w:t>2.66%</w:t>
            </w:r>
          </w:p>
        </w:tc>
        <w:tc>
          <w:tcPr>
            <w:tcW/>
          </w:tcPr>
          <w:p>
            <w:pPr>
              <w:spacing w:line="240" w:lineRule="auto"/>
              <w:jc w:val="right"/>
            </w:pPr>
            <w:r>
              <w:rPr>
                <w:rFonts w:ascii="宋体" w:hAnsi="宋体" w:cs="宋体" w:eastAsia="宋体"/>
                <w:b w:val="false"/>
              </w:rPr>
              <w:t>-0.49%</w:t>
            </w:r>
          </w:p>
        </w:tc>
        <w:tc>
          <w:tcPr>
            <w:tcW/>
          </w:tcPr>
          <w:p>
            <w:pPr>
              <w:spacing w:line="240" w:lineRule="auto"/>
              <w:jc w:val="right"/>
            </w:pPr>
            <w:r>
              <w:rPr>
                <w:rFonts w:ascii="宋体" w:hAnsi="宋体" w:cs="宋体" w:eastAsia="宋体"/>
                <w:b w:val="false"/>
              </w:rPr>
              <w:t>1.01%</w:t>
            </w:r>
          </w:p>
        </w:tc>
        <w:tc>
          <w:tcPr>
            <w:tcW/>
          </w:tcPr>
          <w:p>
            <w:pPr>
              <w:spacing w:line="240" w:lineRule="auto"/>
              <w:jc w:val="right"/>
            </w:pPr>
            <w:r>
              <w:rPr>
                <w:rFonts w:ascii="宋体" w:hAnsi="宋体" w:cs="宋体" w:eastAsia="宋体"/>
                <w:b w:val="false"/>
              </w:rPr>
              <w:t>3.39%</w:t>
            </w:r>
          </w:p>
        </w:tc>
        <w:tc>
          <w:tcPr>
            <w:tcW/>
          </w:tcPr>
          <w:p>
            <w:pPr>
              <w:spacing w:line="240" w:lineRule="auto"/>
              <w:jc w:val="right"/>
            </w:pPr>
            <w:r>
              <w:rPr>
                <w:rFonts w:ascii="宋体" w:hAnsi="宋体" w:cs="宋体" w:eastAsia="宋体"/>
                <w:b w:val="false"/>
              </w:rPr>
              <w:t>1.65%</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18.22%</w:t>
            </w:r>
          </w:p>
        </w:tc>
        <w:tc>
          <w:tcPr>
            <w:tcW/>
          </w:tcPr>
          <w:p>
            <w:pPr>
              <w:spacing w:line="240" w:lineRule="auto"/>
              <w:jc w:val="right"/>
            </w:pPr>
            <w:r>
              <w:rPr>
                <w:rFonts w:ascii="宋体" w:hAnsi="宋体" w:cs="宋体" w:eastAsia="宋体"/>
                <w:b w:val="false"/>
              </w:rPr>
              <w:t>2.63%</w:t>
            </w:r>
          </w:p>
        </w:tc>
        <w:tc>
          <w:tcPr>
            <w:tcW/>
          </w:tcPr>
          <w:p>
            <w:pPr>
              <w:spacing w:line="240" w:lineRule="auto"/>
              <w:jc w:val="right"/>
            </w:pPr>
            <w:r>
              <w:rPr>
                <w:rFonts w:ascii="宋体" w:hAnsi="宋体" w:cs="宋体" w:eastAsia="宋体"/>
                <w:b w:val="false"/>
              </w:rPr>
              <w:t>9.11%</w:t>
            </w:r>
          </w:p>
        </w:tc>
        <w:tc>
          <w:tcPr>
            <w:tcW/>
          </w:tcPr>
          <w:p>
            <w:pPr>
              <w:spacing w:line="240" w:lineRule="auto"/>
              <w:jc w:val="right"/>
            </w:pPr>
            <w:r>
              <w:rPr>
                <w:rFonts w:ascii="宋体" w:hAnsi="宋体" w:cs="宋体" w:eastAsia="宋体"/>
                <w:b w:val="false"/>
              </w:rPr>
              <w:t>0.96%</w:t>
            </w:r>
          </w:p>
        </w:tc>
        <w:tc>
          <w:tcPr>
            <w:tcW/>
          </w:tcPr>
          <w:p>
            <w:pPr>
              <w:spacing w:line="240" w:lineRule="auto"/>
              <w:jc w:val="right"/>
            </w:pPr>
            <w:r>
              <w:rPr>
                <w:rFonts w:ascii="宋体" w:hAnsi="宋体" w:cs="宋体" w:eastAsia="宋体"/>
                <w:b w:val="false"/>
              </w:rPr>
              <w:t>9.11%</w:t>
            </w:r>
          </w:p>
        </w:tc>
        <w:tc>
          <w:tcPr>
            <w:tcW/>
          </w:tcPr>
          <w:p>
            <w:pPr>
              <w:spacing w:line="240" w:lineRule="auto"/>
              <w:jc w:val="right"/>
            </w:pPr>
            <w:r>
              <w:rPr>
                <w:rFonts w:ascii="宋体" w:hAnsi="宋体" w:cs="宋体" w:eastAsia="宋体"/>
                <w:b w:val="false"/>
              </w:rPr>
              <w:t>1.67%</w:t>
            </w:r>
          </w:p>
        </w:tc>
      </w:tr>
      <w:tr>
        <w:tc>
          <w:tcPr>
            <w:tcW/>
          </w:tcPr>
          <w:p>
            <w:pPr>
              <w:spacing w:line="240" w:lineRule="auto"/>
              <w:jc w:val="left"/>
            </w:pPr>
            <w:r>
              <w:rPr>
                <w:rFonts w:ascii="宋体" w:hAnsi="宋体" w:cs="宋体" w:eastAsia="宋体"/>
                <w:b w:val="false"/>
              </w:rPr>
              <w:t>过去三年</w:t>
            </w:r>
          </w:p>
        </w:tc>
        <w:tc>
          <w:tcPr>
            <w:tcW/>
          </w:tcPr>
          <w:p>
            <w:pPr>
              <w:spacing w:line="240" w:lineRule="auto"/>
              <w:jc w:val="right"/>
            </w:pPr>
            <w:r>
              <w:rPr>
                <w:rFonts w:ascii="宋体" w:hAnsi="宋体" w:cs="宋体" w:eastAsia="宋体"/>
                <w:b w:val="false"/>
              </w:rPr>
              <w:t>-25.32%</w:t>
            </w:r>
          </w:p>
        </w:tc>
        <w:tc>
          <w:tcPr>
            <w:tcW/>
          </w:tcPr>
          <w:p>
            <w:pPr>
              <w:spacing w:line="240" w:lineRule="auto"/>
              <w:jc w:val="right"/>
            </w:pPr>
            <w:r>
              <w:rPr>
                <w:rFonts w:ascii="宋体" w:hAnsi="宋体" w:cs="宋体" w:eastAsia="宋体"/>
                <w:b w:val="false"/>
              </w:rPr>
              <w:t>2.31%</w:t>
            </w:r>
          </w:p>
        </w:tc>
        <w:tc>
          <w:tcPr>
            <w:tcW/>
          </w:tcPr>
          <w:p>
            <w:pPr>
              <w:spacing w:line="240" w:lineRule="auto"/>
              <w:jc w:val="right"/>
            </w:pPr>
            <w:r>
              <w:rPr>
                <w:rFonts w:ascii="宋体" w:hAnsi="宋体" w:cs="宋体" w:eastAsia="宋体"/>
                <w:b w:val="false"/>
              </w:rPr>
              <w:t>-0.41%</w:t>
            </w:r>
          </w:p>
        </w:tc>
        <w:tc>
          <w:tcPr>
            <w:tcW/>
          </w:tcPr>
          <w:p>
            <w:pPr>
              <w:spacing w:line="240" w:lineRule="auto"/>
              <w:jc w:val="right"/>
            </w:pPr>
            <w:r>
              <w:rPr>
                <w:rFonts w:ascii="宋体" w:hAnsi="宋体" w:cs="宋体" w:eastAsia="宋体"/>
                <w:b w:val="false"/>
              </w:rPr>
              <w:t>0.81%</w:t>
            </w:r>
          </w:p>
        </w:tc>
        <w:tc>
          <w:tcPr>
            <w:tcW/>
          </w:tcPr>
          <w:p>
            <w:pPr>
              <w:spacing w:line="240" w:lineRule="auto"/>
              <w:jc w:val="right"/>
            </w:pPr>
            <w:r>
              <w:rPr>
                <w:rFonts w:ascii="宋体" w:hAnsi="宋体" w:cs="宋体" w:eastAsia="宋体"/>
                <w:b w:val="false"/>
              </w:rPr>
              <w:t>-24.91%</w:t>
            </w:r>
          </w:p>
        </w:tc>
        <w:tc>
          <w:tcPr>
            <w:tcW/>
          </w:tcPr>
          <w:p>
            <w:pPr>
              <w:spacing w:line="240" w:lineRule="auto"/>
              <w:jc w:val="right"/>
            </w:pPr>
            <w:r>
              <w:rPr>
                <w:rFonts w:ascii="宋体" w:hAnsi="宋体" w:cs="宋体" w:eastAsia="宋体"/>
                <w:b w:val="false"/>
              </w:rPr>
              <w:t>1.50%</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24.01%</w:t>
            </w:r>
          </w:p>
        </w:tc>
        <w:tc>
          <w:tcPr>
            <w:tcW/>
          </w:tcPr>
          <w:p>
            <w:pPr>
              <w:spacing w:line="240" w:lineRule="auto"/>
              <w:jc w:val="right"/>
            </w:pPr>
            <w:r>
              <w:rPr>
                <w:rFonts w:ascii="宋体" w:hAnsi="宋体" w:cs="宋体" w:eastAsia="宋体"/>
                <w:b w:val="false"/>
              </w:rPr>
              <w:t>2.41%</w:t>
            </w:r>
          </w:p>
        </w:tc>
        <w:tc>
          <w:tcPr>
            <w:tcW/>
          </w:tcPr>
          <w:p>
            <w:pPr>
              <w:spacing w:line="240" w:lineRule="auto"/>
              <w:jc w:val="right"/>
            </w:pPr>
            <w:r>
              <w:rPr>
                <w:rFonts w:ascii="宋体" w:hAnsi="宋体" w:cs="宋体" w:eastAsia="宋体"/>
                <w:b w:val="false"/>
              </w:rPr>
              <w:t>4.85%</w:t>
            </w:r>
          </w:p>
        </w:tc>
        <w:tc>
          <w:tcPr>
            <w:tcW/>
          </w:tcPr>
          <w:p>
            <w:pPr>
              <w:spacing w:line="240" w:lineRule="auto"/>
              <w:jc w:val="right"/>
            </w:pPr>
            <w:r>
              <w:rPr>
                <w:rFonts w:ascii="宋体" w:hAnsi="宋体" w:cs="宋体" w:eastAsia="宋体"/>
                <w:b w:val="false"/>
              </w:rPr>
              <w:t>0.82%</w:t>
            </w:r>
          </w:p>
        </w:tc>
        <w:tc>
          <w:tcPr>
            <w:tcW/>
          </w:tcPr>
          <w:p>
            <w:pPr>
              <w:spacing w:line="240" w:lineRule="auto"/>
              <w:jc w:val="right"/>
            </w:pPr>
            <w:r>
              <w:rPr>
                <w:rFonts w:ascii="宋体" w:hAnsi="宋体" w:cs="宋体" w:eastAsia="宋体"/>
                <w:b w:val="false"/>
              </w:rPr>
              <w:t>19.16%</w:t>
            </w:r>
          </w:p>
        </w:tc>
        <w:tc>
          <w:tcPr>
            <w:tcW/>
          </w:tcPr>
          <w:p>
            <w:pPr>
              <w:spacing w:line="240" w:lineRule="auto"/>
              <w:jc w:val="right"/>
            </w:pPr>
            <w:r>
              <w:rPr>
                <w:rFonts w:ascii="宋体" w:hAnsi="宋体" w:cs="宋体" w:eastAsia="宋体"/>
                <w:b w:val="false"/>
              </w:rPr>
              <w:t>1.59%</w:t>
            </w:r>
          </w:p>
        </w:tc>
      </w:tr>
    </w:tbl>
    <w:p>
      <w:r>
        <w:rPr>
          <w:rFonts w:ascii="宋体" w:hAnsi="宋体" w:cs="宋体" w:eastAsia="宋体"/>
          <w:b w:val="false"/>
        </w:rPr>
        <w:t>注：1、本基金的业绩比较基准为：中证800指数收益率×70%+中证综合债券指数收益率×30%。</w:t>
        <w:cr/>
      </w:r>
      <w:r>
        <w:rPr>
          <w:rFonts w:ascii="宋体" w:hAnsi="宋体" w:cs="宋体" w:eastAsia="宋体"/>
          <w:b w:val="false"/>
        </w:rPr>
        <w:t>2、本基金自2020年6月28日成立至今尚未满五年，无过去五年的净值表现。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
      <w:pPr>
        <w:pStyle w:val="2"/>
        <w:jc w:val="left"/>
      </w:pPr>
      <w:r>
        <w:rPr>
          <w:rFonts w:ascii="宋体" w:hAnsi="宋体" w:cs="宋体" w:eastAsia="宋体"/>
        </w:rPr>
        <w:t>3.3 其他指标</w:t>
      </w:r>
    </w:p>
    <w:p>
      <w:r>
        <w:rPr>
          <w:rFonts w:ascii="宋体" w:hAnsi="宋体" w:cs="宋体" w:eastAsia="宋体"/>
          <w:b w:val="false"/>
        </w:rPr>
        <w:t>无。</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唐雷</w:t>
            </w:r>
          </w:p>
        </w:tc>
        <w:tc>
          <w:tcPr>
            <w:tcW/>
            <w:vAlign w:val="center"/>
          </w:tcPr>
          <w:p>
            <w:pPr>
              <w:spacing w:line="240" w:lineRule="auto"/>
              <w:jc w:val="left"/>
            </w:pPr>
            <w:r>
              <w:rPr>
                <w:rFonts w:ascii="宋体" w:hAnsi="宋体" w:cs="宋体" w:eastAsia="宋体"/>
                <w:b w:val="false"/>
              </w:rPr>
              <w:t>助理总经理、基金经理</w:t>
            </w:r>
          </w:p>
        </w:tc>
        <w:tc>
          <w:tcPr>
            <w:tcW/>
            <w:vAlign w:val="center"/>
          </w:tcPr>
          <w:p>
            <w:pPr>
              <w:spacing w:line="240" w:lineRule="auto"/>
              <w:jc w:val="center"/>
            </w:pPr>
            <w:r>
              <w:rPr>
                <w:rFonts w:ascii="宋体" w:hAnsi="宋体" w:cs="宋体" w:eastAsia="宋体"/>
                <w:b w:val="false"/>
              </w:rPr>
              <w:t>2020-06-28</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唐雷先生，武汉大学物理学理学学士，北京大学光华管理学院工商管理硕士。曾先后任职于民生加银基金、安信证券资产管理部、金信基金。现任东方阿尔法基金助理总经理、基金经理。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2024年四季度以来，我们一直看好中国资产的重估，判断A股进入了两年左右的上行趋势，主要基于科技产业的进步和宏观经济的复苏两大因素。2025年一季度，在这两个方面都出现了比较重要的变化，分别是Deepseek的出现和贸易战。</w:t>
        <w:cr/>
      </w:r>
      <w:r>
        <w:rPr>
          <w:rFonts w:ascii="宋体" w:hAnsi="宋体" w:cs="宋体" w:eastAsia="宋体"/>
          <w:b w:val="false"/>
        </w:rPr>
        <w:t xml:space="preserve">    Deepseek的出现，快速缩小了国内AI产业与北美领先水平的差距。在Deepseek出现之前，市场普遍认为国内AI产业与北美领先水平大概有半年到一年时间的差距。而且考虑到先进算力芯片持续受限、人才相对缺乏等因素，产业和资本市场普遍觉得国内的落后局面很难改善。春节前，Deepseek-V3和R1大模型横空出世，其性能接近OpenAI最先进的o3模型，但是以开源和超低成本震惊全球。Deepseek-R1大模型性能优异，能够跟OpenAI o3模型媲美。更重要的是，深度求索公司采用各种方式降低了模型训练和推理90%的算力成本，同时Deepseek模型全部开源，开源和极低成本都将极大促进国内AI应用的快速发展。当然不只是Deepseek，最近我们看到阿里、字节等公司的AI大模型进展迅速，大有与Deepseek齐头并进的势头。整体看，即使在先进算力芯片受限的情况下，国内AI产业已经快速缩小了与北美领先水平的差距，未来在基础大模型和AI应用两个维度都可能反超领先。</w:t>
        <w:cr/>
      </w:r>
      <w:r>
        <w:rPr>
          <w:rFonts w:ascii="宋体" w:hAnsi="宋体" w:cs="宋体" w:eastAsia="宋体"/>
          <w:b w:val="false"/>
        </w:rPr>
        <w:t xml:space="preserve">    Deepseek的出现另外一个作用是大幅度提升了国内普通民众对于中国科技产业强大竞争力的认知。在过去2～3年的经济下行周期中，市场和社会中弥漫着比较悲观的情绪，这种悲观情绪导致大多数人对中国科技产业的快速进步视而不见。Deepseek出圈之后，很多人突然意识到中国科技产业居然如此强大。即使在北美最具有优势且最前沿的AI产业，我们受限于芯片、人才、数据等要素，也能够后发先至，不落下风。环顾其他前沿科技产业，大家发现在AI之外，固态电池、智能驾驶、人形机器人、五代战斗机等很多领域我们都处在领先地位，而之前我们的卡脖子环节半导体，则已经在设备、材料、先进制程制造等方面都取得了突破性的进步。</w:t>
        <w:cr/>
      </w:r>
      <w:r>
        <w:rPr>
          <w:rFonts w:ascii="宋体" w:hAnsi="宋体" w:cs="宋体" w:eastAsia="宋体"/>
          <w:b w:val="false"/>
        </w:rPr>
        <w:t xml:space="preserve">    另一个重大变化是贸易战。贸易战和中美关系的日趋紧张，边际一定会加大宏观经济的压力。但是我们认为国内财政、货币等内需政策和海外非美市场出口能够消化贸易战大部分负面冲击，同时考虑到国内经济周期已经开始触底反弹，宏观经济有压力但是复苏态势不改。</w:t>
        <w:cr/>
      </w:r>
      <w:r>
        <w:rPr>
          <w:rFonts w:ascii="宋体" w:hAnsi="宋体" w:cs="宋体" w:eastAsia="宋体"/>
          <w:b w:val="false"/>
        </w:rPr>
        <w:t xml:space="preserve">    在百年未有之大变局中，我们很难判断这一轮贸易战具体将如何演进，但是比较确定的是中美贸易关系在加速分离，地缘政治风险也在加大。这一变化对贸易、产业发展的结构性影响巨大。未来，对美出口产业不可避免会受到冲击，非美出口产业链和产业链出海将更有发展动能。出口压力会倒逼我们的经济转型加速，更加注重消费和科技创新，让我们更快转型为消费和服务业、科技创新、高端制造等为主要增长引擎的经济体。</w:t>
        <w:cr/>
      </w:r>
      <w:r>
        <w:rPr>
          <w:rFonts w:ascii="宋体" w:hAnsi="宋体" w:cs="宋体" w:eastAsia="宋体"/>
          <w:b w:val="false"/>
        </w:rPr>
        <w:t xml:space="preserve">    Deepseek的出现，快速缩小了国内AI产业与北美领先水平的差距，大幅度提升了国内普通民众对于中国科技产业强大竞争力的认知。贸易战会对宏观经济产生压力但是整体经济复苏态势不改。我们依旧判断中国资产重估趋势未改，继续看好未来两年A股市场的表现。结构上，我们更加聚焦国内科技产业发展，看好国产算力、AI在C端和B端的应用、端侧AI、智能驾驶、半导体国产替代等细分领域的投资机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势产业混合A基金份额净值为1.2698元，本报告期内，该类基金份额净值增长率为8.08%，同期业绩比较基准收益率为-0.36%；截至报告期末东方阿尔法优势产业混合C基金份额净值为1.2401元，本报告期内，该类基金份额净值增长率为7.95%，同期业绩比较基准收益率为-0.36%。</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2,754,053,316.41</w:t>
            </w:r>
          </w:p>
        </w:tc>
        <w:tc>
          <w:tcPr>
            <w:tcW/>
            <w:vAlign w:val="center"/>
          </w:tcPr>
          <w:p>
            <w:pPr>
              <w:spacing w:line="240" w:lineRule="auto"/>
              <w:jc w:val="right"/>
            </w:pPr>
            <w:r>
              <w:rPr>
                <w:rFonts w:ascii="宋体" w:hAnsi="宋体" w:cs="宋体" w:eastAsia="宋体"/>
                <w:b w:val="false"/>
              </w:rPr>
              <w:t>92.42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2,754,053,316.41</w:t>
            </w:r>
          </w:p>
        </w:tc>
        <w:tc>
          <w:tcPr>
            <w:tcW/>
            <w:vAlign w:val="center"/>
          </w:tcPr>
          <w:p>
            <w:pPr>
              <w:spacing w:line="240" w:lineRule="auto"/>
              <w:jc w:val="right"/>
            </w:pPr>
            <w:r>
              <w:rPr>
                <w:rFonts w:ascii="宋体" w:hAnsi="宋体" w:cs="宋体" w:eastAsia="宋体"/>
                <w:b w:val="false"/>
              </w:rPr>
              <w:t>92.42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175,673,973.09</w:t>
            </w:r>
          </w:p>
        </w:tc>
        <w:tc>
          <w:tcPr>
            <w:tcW/>
            <w:vAlign w:val="center"/>
          </w:tcPr>
          <w:p>
            <w:pPr>
              <w:spacing w:line="240" w:lineRule="auto"/>
              <w:jc w:val="right"/>
            </w:pPr>
            <w:r>
              <w:rPr>
                <w:rFonts w:ascii="宋体" w:hAnsi="宋体" w:cs="宋体" w:eastAsia="宋体"/>
                <w:b w:val="false"/>
              </w:rPr>
              <w:t>5.89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175,673,973.09</w:t>
            </w:r>
          </w:p>
        </w:tc>
        <w:tc>
          <w:tcPr>
            <w:tcW/>
            <w:vAlign w:val="center"/>
          </w:tcPr>
          <w:p>
            <w:pPr>
              <w:spacing w:line="240" w:lineRule="auto"/>
              <w:jc w:val="right"/>
            </w:pPr>
            <w:r>
              <w:rPr>
                <w:rFonts w:ascii="宋体" w:hAnsi="宋体" w:cs="宋体" w:eastAsia="宋体"/>
                <w:b w:val="false"/>
              </w:rPr>
              <w:t>5.89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46,289,743.51</w:t>
            </w:r>
          </w:p>
        </w:tc>
        <w:tc>
          <w:tcPr>
            <w:tcW/>
            <w:vAlign w:val="center"/>
          </w:tcPr>
          <w:p>
            <w:pPr>
              <w:spacing w:line="240" w:lineRule="auto"/>
              <w:jc w:val="right"/>
            </w:pPr>
            <w:r>
              <w:rPr>
                <w:rFonts w:ascii="宋体" w:hAnsi="宋体" w:cs="宋体" w:eastAsia="宋体"/>
                <w:b w:val="false"/>
              </w:rPr>
              <w:t>1.55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4,066,541.42</w:t>
            </w:r>
          </w:p>
        </w:tc>
        <w:tc>
          <w:tcPr>
            <w:tcW/>
            <w:vAlign w:val="center"/>
          </w:tcPr>
          <w:p>
            <w:pPr>
              <w:spacing w:line="240" w:lineRule="auto"/>
              <w:jc w:val="right"/>
            </w:pPr>
            <w:r>
              <w:rPr>
                <w:rFonts w:ascii="宋体" w:hAnsi="宋体" w:cs="宋体" w:eastAsia="宋体"/>
                <w:b w:val="false"/>
              </w:rPr>
              <w:t>0.14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2,980,083,574.43</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1,952,165,208.12</w:t>
            </w:r>
          </w:p>
        </w:tc>
        <w:tc>
          <w:tcPr>
            <w:tcW/>
          </w:tcPr>
          <w:p>
            <w:pPr>
              <w:spacing w:line="240" w:lineRule="auto"/>
              <w:jc w:val="right"/>
            </w:pPr>
            <w:r>
              <w:rPr>
                <w:rFonts w:ascii="宋体" w:hAnsi="宋体" w:cs="宋体" w:eastAsia="宋体"/>
                <w:b w:val="false"/>
              </w:rPr>
              <w:t>67.28</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30,552.72</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801,832,647.71</w:t>
            </w:r>
          </w:p>
        </w:tc>
        <w:tc>
          <w:tcPr>
            <w:tcW/>
          </w:tcPr>
          <w:p>
            <w:pPr>
              <w:spacing w:line="240" w:lineRule="auto"/>
              <w:jc w:val="right"/>
            </w:pPr>
            <w:r>
              <w:rPr>
                <w:rFonts w:ascii="宋体" w:hAnsi="宋体" w:cs="宋体" w:eastAsia="宋体"/>
                <w:b w:val="false"/>
              </w:rPr>
              <w:t>27.64</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24,907.86</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2,754,053,316.41</w:t>
            </w:r>
          </w:p>
        </w:tc>
        <w:tc>
          <w:tcPr>
            <w:tcW/>
          </w:tcPr>
          <w:p>
            <w:pPr>
              <w:spacing w:line="240" w:lineRule="auto"/>
              <w:jc w:val="right"/>
            </w:pPr>
            <w:r>
              <w:rPr>
                <w:rFonts w:ascii="宋体" w:hAnsi="宋体" w:cs="宋体" w:eastAsia="宋体"/>
                <w:b w:val="false"/>
              </w:rPr>
              <w:t>94.92</w:t>
            </w:r>
          </w:p>
        </w:tc>
      </w:tr>
    </w:tbl>
    <w:p>
      <w:r>
        <w:rPr>
          <w:rStyle w:val="正文"/>
          <w:rFonts w:ascii="宋体" w:hAnsi="宋体" w:cs="宋体" w:eastAsia="宋体"/>
          <w:b w:val="true"/>
        </w:rPr>
        <w:t>5.2.2 报告期末按行业分类的港股通投资股票投资组合</w:t>
      </w:r>
    </w:p>
    <w:p>
      <w:r>
        <w:rPr>
          <w:rFonts w:ascii="宋体" w:hAnsi="宋体" w:cs="宋体" w:eastAsia="宋体"/>
          <w:b w:val="false"/>
        </w:rPr>
        <w:t>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300476</w:t>
            </w:r>
          </w:p>
        </w:tc>
        <w:tc>
          <w:tcPr>
            <w:tcW/>
          </w:tcPr>
          <w:p>
            <w:pPr>
              <w:spacing w:line="240" w:lineRule="auto"/>
              <w:jc w:val="left"/>
            </w:pPr>
            <w:r>
              <w:rPr>
                <w:rFonts w:ascii="宋体" w:hAnsi="宋体" w:cs="宋体" w:eastAsia="宋体"/>
                <w:b w:val="false"/>
              </w:rPr>
              <w:t>胜宏科技</w:t>
            </w:r>
          </w:p>
        </w:tc>
        <w:tc>
          <w:tcPr>
            <w:tcW/>
          </w:tcPr>
          <w:p>
            <w:pPr>
              <w:spacing w:line="240" w:lineRule="auto"/>
              <w:jc w:val="right"/>
            </w:pPr>
            <w:r>
              <w:rPr>
                <w:rFonts w:ascii="宋体" w:hAnsi="宋体" w:cs="宋体" w:eastAsia="宋体"/>
                <w:b w:val="false"/>
              </w:rPr>
              <w:t>3,185,300</w:t>
            </w:r>
          </w:p>
        </w:tc>
        <w:tc>
          <w:tcPr>
            <w:tcW/>
          </w:tcPr>
          <w:p>
            <w:pPr>
              <w:spacing w:line="240" w:lineRule="auto"/>
              <w:jc w:val="right"/>
            </w:pPr>
            <w:r>
              <w:rPr>
                <w:rFonts w:ascii="宋体" w:hAnsi="宋体" w:cs="宋体" w:eastAsia="宋体"/>
                <w:b w:val="false"/>
              </w:rPr>
              <w:t>258,041,153.00</w:t>
            </w:r>
          </w:p>
        </w:tc>
        <w:tc>
          <w:tcPr>
            <w:tcW/>
          </w:tcPr>
          <w:p>
            <w:pPr>
              <w:spacing w:line="240" w:lineRule="auto"/>
              <w:jc w:val="right"/>
            </w:pPr>
            <w:r>
              <w:rPr>
                <w:rFonts w:ascii="宋体" w:hAnsi="宋体" w:cs="宋体" w:eastAsia="宋体"/>
                <w:b w:val="false"/>
              </w:rPr>
              <w:t>8.89</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688608</w:t>
            </w:r>
          </w:p>
        </w:tc>
        <w:tc>
          <w:tcPr>
            <w:tcW/>
          </w:tcPr>
          <w:p>
            <w:pPr>
              <w:spacing w:line="240" w:lineRule="auto"/>
              <w:jc w:val="left"/>
            </w:pPr>
            <w:r>
              <w:rPr>
                <w:rFonts w:ascii="宋体" w:hAnsi="宋体" w:cs="宋体" w:eastAsia="宋体"/>
                <w:b w:val="false"/>
              </w:rPr>
              <w:t>恒玄科技</w:t>
            </w:r>
          </w:p>
        </w:tc>
        <w:tc>
          <w:tcPr>
            <w:tcW/>
          </w:tcPr>
          <w:p>
            <w:pPr>
              <w:spacing w:line="240" w:lineRule="auto"/>
              <w:jc w:val="right"/>
            </w:pPr>
            <w:r>
              <w:rPr>
                <w:rFonts w:ascii="宋体" w:hAnsi="宋体" w:cs="宋体" w:eastAsia="宋体"/>
                <w:b w:val="false"/>
              </w:rPr>
              <w:t>563,726</w:t>
            </w:r>
          </w:p>
        </w:tc>
        <w:tc>
          <w:tcPr>
            <w:tcW/>
          </w:tcPr>
          <w:p>
            <w:pPr>
              <w:spacing w:line="240" w:lineRule="auto"/>
              <w:jc w:val="right"/>
            </w:pPr>
            <w:r>
              <w:rPr>
                <w:rFonts w:ascii="宋体" w:hAnsi="宋体" w:cs="宋体" w:eastAsia="宋体"/>
                <w:b w:val="false"/>
              </w:rPr>
              <w:t>229,041,873.80</w:t>
            </w:r>
          </w:p>
        </w:tc>
        <w:tc>
          <w:tcPr>
            <w:tcW/>
          </w:tcPr>
          <w:p>
            <w:pPr>
              <w:spacing w:line="240" w:lineRule="auto"/>
              <w:jc w:val="right"/>
            </w:pPr>
            <w:r>
              <w:rPr>
                <w:rFonts w:ascii="宋体" w:hAnsi="宋体" w:cs="宋体" w:eastAsia="宋体"/>
                <w:b w:val="false"/>
              </w:rPr>
              <w:t>7.89</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603893</w:t>
            </w:r>
          </w:p>
        </w:tc>
        <w:tc>
          <w:tcPr>
            <w:tcW/>
          </w:tcPr>
          <w:p>
            <w:pPr>
              <w:spacing w:line="240" w:lineRule="auto"/>
              <w:jc w:val="left"/>
            </w:pPr>
            <w:r>
              <w:rPr>
                <w:rFonts w:ascii="宋体" w:hAnsi="宋体" w:cs="宋体" w:eastAsia="宋体"/>
                <w:b w:val="false"/>
              </w:rPr>
              <w:t>瑞芯微</w:t>
            </w:r>
          </w:p>
        </w:tc>
        <w:tc>
          <w:tcPr>
            <w:tcW/>
          </w:tcPr>
          <w:p>
            <w:pPr>
              <w:spacing w:line="240" w:lineRule="auto"/>
              <w:jc w:val="right"/>
            </w:pPr>
            <w:r>
              <w:rPr>
                <w:rFonts w:ascii="宋体" w:hAnsi="宋体" w:cs="宋体" w:eastAsia="宋体"/>
                <w:b w:val="false"/>
              </w:rPr>
              <w:t>1,217,500</w:t>
            </w:r>
          </w:p>
        </w:tc>
        <w:tc>
          <w:tcPr>
            <w:tcW/>
          </w:tcPr>
          <w:p>
            <w:pPr>
              <w:spacing w:line="240" w:lineRule="auto"/>
              <w:jc w:val="right"/>
            </w:pPr>
            <w:r>
              <w:rPr>
                <w:rFonts w:ascii="宋体" w:hAnsi="宋体" w:cs="宋体" w:eastAsia="宋体"/>
                <w:b w:val="false"/>
              </w:rPr>
              <w:t>210,992,750.00</w:t>
            </w:r>
          </w:p>
        </w:tc>
        <w:tc>
          <w:tcPr>
            <w:tcW/>
          </w:tcPr>
          <w:p>
            <w:pPr>
              <w:spacing w:line="240" w:lineRule="auto"/>
              <w:jc w:val="right"/>
            </w:pPr>
            <w:r>
              <w:rPr>
                <w:rFonts w:ascii="宋体" w:hAnsi="宋体" w:cs="宋体" w:eastAsia="宋体"/>
                <w:b w:val="false"/>
              </w:rPr>
              <w:t>7.27</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688018</w:t>
            </w:r>
          </w:p>
        </w:tc>
        <w:tc>
          <w:tcPr>
            <w:tcW/>
          </w:tcPr>
          <w:p>
            <w:pPr>
              <w:spacing w:line="240" w:lineRule="auto"/>
              <w:jc w:val="left"/>
            </w:pPr>
            <w:r>
              <w:rPr>
                <w:rFonts w:ascii="宋体" w:hAnsi="宋体" w:cs="宋体" w:eastAsia="宋体"/>
                <w:b w:val="false"/>
              </w:rPr>
              <w:t>乐鑫科技</w:t>
            </w:r>
          </w:p>
        </w:tc>
        <w:tc>
          <w:tcPr>
            <w:tcW/>
          </w:tcPr>
          <w:p>
            <w:pPr>
              <w:spacing w:line="240" w:lineRule="auto"/>
              <w:jc w:val="right"/>
            </w:pPr>
            <w:r>
              <w:rPr>
                <w:rFonts w:ascii="宋体" w:hAnsi="宋体" w:cs="宋体" w:eastAsia="宋体"/>
                <w:b w:val="false"/>
              </w:rPr>
              <w:t>789,324</w:t>
            </w:r>
          </w:p>
        </w:tc>
        <w:tc>
          <w:tcPr>
            <w:tcW/>
          </w:tcPr>
          <w:p>
            <w:pPr>
              <w:spacing w:line="240" w:lineRule="auto"/>
              <w:jc w:val="right"/>
            </w:pPr>
            <w:r>
              <w:rPr>
                <w:rFonts w:ascii="宋体" w:hAnsi="宋体" w:cs="宋体" w:eastAsia="宋体"/>
                <w:b w:val="false"/>
              </w:rPr>
              <w:t>181,284,043.08</w:t>
            </w:r>
          </w:p>
        </w:tc>
        <w:tc>
          <w:tcPr>
            <w:tcW/>
          </w:tcPr>
          <w:p>
            <w:pPr>
              <w:spacing w:line="240" w:lineRule="auto"/>
              <w:jc w:val="right"/>
            </w:pPr>
            <w:r>
              <w:rPr>
                <w:rFonts w:ascii="宋体" w:hAnsi="宋体" w:cs="宋体" w:eastAsia="宋体"/>
                <w:b w:val="false"/>
              </w:rPr>
              <w:t>6.25</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688111</w:t>
            </w:r>
          </w:p>
        </w:tc>
        <w:tc>
          <w:tcPr>
            <w:tcW/>
          </w:tcPr>
          <w:p>
            <w:pPr>
              <w:spacing w:line="240" w:lineRule="auto"/>
              <w:jc w:val="left"/>
            </w:pPr>
            <w:r>
              <w:rPr>
                <w:rFonts w:ascii="宋体" w:hAnsi="宋体" w:cs="宋体" w:eastAsia="宋体"/>
                <w:b w:val="false"/>
              </w:rPr>
              <w:t>金山办公</w:t>
            </w:r>
          </w:p>
        </w:tc>
        <w:tc>
          <w:tcPr>
            <w:tcW/>
          </w:tcPr>
          <w:p>
            <w:pPr>
              <w:spacing w:line="240" w:lineRule="auto"/>
              <w:jc w:val="right"/>
            </w:pPr>
            <w:r>
              <w:rPr>
                <w:rFonts w:ascii="宋体" w:hAnsi="宋体" w:cs="宋体" w:eastAsia="宋体"/>
                <w:b w:val="false"/>
              </w:rPr>
              <w:t>567,798</w:t>
            </w:r>
          </w:p>
        </w:tc>
        <w:tc>
          <w:tcPr>
            <w:tcW/>
          </w:tcPr>
          <w:p>
            <w:pPr>
              <w:spacing w:line="240" w:lineRule="auto"/>
              <w:jc w:val="right"/>
            </w:pPr>
            <w:r>
              <w:rPr>
                <w:rFonts w:ascii="宋体" w:hAnsi="宋体" w:cs="宋体" w:eastAsia="宋体"/>
                <w:b w:val="false"/>
              </w:rPr>
              <w:t>169,839,737.76</w:t>
            </w:r>
          </w:p>
        </w:tc>
        <w:tc>
          <w:tcPr>
            <w:tcW/>
          </w:tcPr>
          <w:p>
            <w:pPr>
              <w:spacing w:line="240" w:lineRule="auto"/>
              <w:jc w:val="right"/>
            </w:pPr>
            <w:r>
              <w:rPr>
                <w:rFonts w:ascii="宋体" w:hAnsi="宋体" w:cs="宋体" w:eastAsia="宋体"/>
                <w:b w:val="false"/>
              </w:rPr>
              <w:t>5.85</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688041</w:t>
            </w:r>
          </w:p>
        </w:tc>
        <w:tc>
          <w:tcPr>
            <w:tcW/>
          </w:tcPr>
          <w:p>
            <w:pPr>
              <w:spacing w:line="240" w:lineRule="auto"/>
              <w:jc w:val="left"/>
            </w:pPr>
            <w:r>
              <w:rPr>
                <w:rFonts w:ascii="宋体" w:hAnsi="宋体" w:cs="宋体" w:eastAsia="宋体"/>
                <w:b w:val="false"/>
              </w:rPr>
              <w:t>海光信息</w:t>
            </w:r>
          </w:p>
        </w:tc>
        <w:tc>
          <w:tcPr>
            <w:tcW/>
          </w:tcPr>
          <w:p>
            <w:pPr>
              <w:spacing w:line="240" w:lineRule="auto"/>
              <w:jc w:val="right"/>
            </w:pPr>
            <w:r>
              <w:rPr>
                <w:rFonts w:ascii="宋体" w:hAnsi="宋体" w:cs="宋体" w:eastAsia="宋体"/>
                <w:b w:val="false"/>
              </w:rPr>
              <w:t>1,038,234</w:t>
            </w:r>
          </w:p>
        </w:tc>
        <w:tc>
          <w:tcPr>
            <w:tcW/>
          </w:tcPr>
          <w:p>
            <w:pPr>
              <w:spacing w:line="240" w:lineRule="auto"/>
              <w:jc w:val="right"/>
            </w:pPr>
            <w:r>
              <w:rPr>
                <w:rFonts w:ascii="宋体" w:hAnsi="宋体" w:cs="宋体" w:eastAsia="宋体"/>
                <w:b w:val="false"/>
              </w:rPr>
              <w:t>146,702,464.20</w:t>
            </w:r>
          </w:p>
        </w:tc>
        <w:tc>
          <w:tcPr>
            <w:tcW/>
          </w:tcPr>
          <w:p>
            <w:pPr>
              <w:spacing w:line="240" w:lineRule="auto"/>
              <w:jc w:val="right"/>
            </w:pPr>
            <w:r>
              <w:rPr>
                <w:rFonts w:ascii="宋体" w:hAnsi="宋体" w:cs="宋体" w:eastAsia="宋体"/>
                <w:b w:val="false"/>
              </w:rPr>
              <w:t>5.06</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300442</w:t>
            </w:r>
          </w:p>
        </w:tc>
        <w:tc>
          <w:tcPr>
            <w:tcW/>
          </w:tcPr>
          <w:p>
            <w:pPr>
              <w:spacing w:line="240" w:lineRule="auto"/>
              <w:jc w:val="left"/>
            </w:pPr>
            <w:r>
              <w:rPr>
                <w:rFonts w:ascii="宋体" w:hAnsi="宋体" w:cs="宋体" w:eastAsia="宋体"/>
                <w:b w:val="false"/>
              </w:rPr>
              <w:t>润泽科技</w:t>
            </w:r>
          </w:p>
        </w:tc>
        <w:tc>
          <w:tcPr>
            <w:tcW/>
          </w:tcPr>
          <w:p>
            <w:pPr>
              <w:spacing w:line="240" w:lineRule="auto"/>
              <w:jc w:val="right"/>
            </w:pPr>
            <w:r>
              <w:rPr>
                <w:rFonts w:ascii="宋体" w:hAnsi="宋体" w:cs="宋体" w:eastAsia="宋体"/>
                <w:b w:val="false"/>
              </w:rPr>
              <w:t>2,494,700</w:t>
            </w:r>
          </w:p>
        </w:tc>
        <w:tc>
          <w:tcPr>
            <w:tcW/>
          </w:tcPr>
          <w:p>
            <w:pPr>
              <w:spacing w:line="240" w:lineRule="auto"/>
              <w:jc w:val="right"/>
            </w:pPr>
            <w:r>
              <w:rPr>
                <w:rFonts w:ascii="宋体" w:hAnsi="宋体" w:cs="宋体" w:eastAsia="宋体"/>
                <w:b w:val="false"/>
              </w:rPr>
              <w:t>142,547,158.00</w:t>
            </w:r>
          </w:p>
        </w:tc>
        <w:tc>
          <w:tcPr>
            <w:tcW/>
          </w:tcPr>
          <w:p>
            <w:pPr>
              <w:spacing w:line="240" w:lineRule="auto"/>
              <w:jc w:val="right"/>
            </w:pPr>
            <w:r>
              <w:rPr>
                <w:rFonts w:ascii="宋体" w:hAnsi="宋体" w:cs="宋体" w:eastAsia="宋体"/>
                <w:b w:val="false"/>
              </w:rPr>
              <w:t>4.91</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002281</w:t>
            </w:r>
          </w:p>
        </w:tc>
        <w:tc>
          <w:tcPr>
            <w:tcW/>
          </w:tcPr>
          <w:p>
            <w:pPr>
              <w:spacing w:line="240" w:lineRule="auto"/>
              <w:jc w:val="left"/>
            </w:pPr>
            <w:r>
              <w:rPr>
                <w:rFonts w:ascii="宋体" w:hAnsi="宋体" w:cs="宋体" w:eastAsia="宋体"/>
                <w:b w:val="false"/>
              </w:rPr>
              <w:t>光迅科技</w:t>
            </w:r>
          </w:p>
        </w:tc>
        <w:tc>
          <w:tcPr>
            <w:tcW/>
          </w:tcPr>
          <w:p>
            <w:pPr>
              <w:spacing w:line="240" w:lineRule="auto"/>
              <w:jc w:val="right"/>
            </w:pPr>
            <w:r>
              <w:rPr>
                <w:rFonts w:ascii="宋体" w:hAnsi="宋体" w:cs="宋体" w:eastAsia="宋体"/>
                <w:b w:val="false"/>
              </w:rPr>
              <w:t>2,731,500</w:t>
            </w:r>
          </w:p>
        </w:tc>
        <w:tc>
          <w:tcPr>
            <w:tcW/>
          </w:tcPr>
          <w:p>
            <w:pPr>
              <w:spacing w:line="240" w:lineRule="auto"/>
              <w:jc w:val="right"/>
            </w:pPr>
            <w:r>
              <w:rPr>
                <w:rFonts w:ascii="宋体" w:hAnsi="宋体" w:cs="宋体" w:eastAsia="宋体"/>
                <w:b w:val="false"/>
              </w:rPr>
              <w:t>125,157,330.00</w:t>
            </w:r>
          </w:p>
        </w:tc>
        <w:tc>
          <w:tcPr>
            <w:tcW/>
          </w:tcPr>
          <w:p>
            <w:pPr>
              <w:spacing w:line="240" w:lineRule="auto"/>
              <w:jc w:val="right"/>
            </w:pPr>
            <w:r>
              <w:rPr>
                <w:rFonts w:ascii="宋体" w:hAnsi="宋体" w:cs="宋体" w:eastAsia="宋体"/>
                <w:b w:val="false"/>
              </w:rPr>
              <w:t>4.31</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301165</w:t>
            </w:r>
          </w:p>
        </w:tc>
        <w:tc>
          <w:tcPr>
            <w:tcW/>
          </w:tcPr>
          <w:p>
            <w:pPr>
              <w:spacing w:line="240" w:lineRule="auto"/>
              <w:jc w:val="left"/>
            </w:pPr>
            <w:r>
              <w:rPr>
                <w:rFonts w:ascii="宋体" w:hAnsi="宋体" w:cs="宋体" w:eastAsia="宋体"/>
                <w:b w:val="false"/>
              </w:rPr>
              <w:t>锐捷网络</w:t>
            </w:r>
          </w:p>
        </w:tc>
        <w:tc>
          <w:tcPr>
            <w:tcW/>
          </w:tcPr>
          <w:p>
            <w:pPr>
              <w:spacing w:line="240" w:lineRule="auto"/>
              <w:jc w:val="right"/>
            </w:pPr>
            <w:r>
              <w:rPr>
                <w:rFonts w:ascii="宋体" w:hAnsi="宋体" w:cs="宋体" w:eastAsia="宋体"/>
                <w:b w:val="false"/>
              </w:rPr>
              <w:t>1,753,220</w:t>
            </w:r>
          </w:p>
        </w:tc>
        <w:tc>
          <w:tcPr>
            <w:tcW/>
          </w:tcPr>
          <w:p>
            <w:pPr>
              <w:spacing w:line="240" w:lineRule="auto"/>
              <w:jc w:val="right"/>
            </w:pPr>
            <w:r>
              <w:rPr>
                <w:rFonts w:ascii="宋体" w:hAnsi="宋体" w:cs="宋体" w:eastAsia="宋体"/>
                <w:b w:val="false"/>
              </w:rPr>
              <w:t>121,883,854.40</w:t>
            </w:r>
          </w:p>
        </w:tc>
        <w:tc>
          <w:tcPr>
            <w:tcW/>
          </w:tcPr>
          <w:p>
            <w:pPr>
              <w:spacing w:line="240" w:lineRule="auto"/>
              <w:jc w:val="right"/>
            </w:pPr>
            <w:r>
              <w:rPr>
                <w:rFonts w:ascii="宋体" w:hAnsi="宋体" w:cs="宋体" w:eastAsia="宋体"/>
                <w:b w:val="false"/>
              </w:rPr>
              <w:t>4.20</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688012</w:t>
            </w:r>
          </w:p>
        </w:tc>
        <w:tc>
          <w:tcPr>
            <w:tcW/>
          </w:tcPr>
          <w:p>
            <w:pPr>
              <w:spacing w:line="240" w:lineRule="auto"/>
              <w:jc w:val="left"/>
            </w:pPr>
            <w:r>
              <w:rPr>
                <w:rFonts w:ascii="宋体" w:hAnsi="宋体" w:cs="宋体" w:eastAsia="宋体"/>
                <w:b w:val="false"/>
              </w:rPr>
              <w:t>中微公司</w:t>
            </w:r>
          </w:p>
        </w:tc>
        <w:tc>
          <w:tcPr>
            <w:tcW/>
          </w:tcPr>
          <w:p>
            <w:pPr>
              <w:spacing w:line="240" w:lineRule="auto"/>
              <w:jc w:val="right"/>
            </w:pPr>
            <w:r>
              <w:rPr>
                <w:rFonts w:ascii="宋体" w:hAnsi="宋体" w:cs="宋体" w:eastAsia="宋体"/>
                <w:b w:val="false"/>
              </w:rPr>
              <w:t>637,079</w:t>
            </w:r>
          </w:p>
        </w:tc>
        <w:tc>
          <w:tcPr>
            <w:tcW/>
          </w:tcPr>
          <w:p>
            <w:pPr>
              <w:spacing w:line="240" w:lineRule="auto"/>
              <w:jc w:val="right"/>
            </w:pPr>
            <w:r>
              <w:rPr>
                <w:rFonts w:ascii="宋体" w:hAnsi="宋体" w:cs="宋体" w:eastAsia="宋体"/>
                <w:b w:val="false"/>
              </w:rPr>
              <w:t>117,451,884.44</w:t>
            </w:r>
          </w:p>
        </w:tc>
        <w:tc>
          <w:tcPr>
            <w:tcW/>
          </w:tcPr>
          <w:p>
            <w:pPr>
              <w:spacing w:line="240" w:lineRule="auto"/>
              <w:jc w:val="right"/>
            </w:pPr>
            <w:r>
              <w:rPr>
                <w:rFonts w:ascii="宋体" w:hAnsi="宋体" w:cs="宋体" w:eastAsia="宋体"/>
                <w:b w:val="false"/>
              </w:rPr>
              <w:t>4.05</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175,673,973.09</w:t>
            </w:r>
          </w:p>
        </w:tc>
        <w:tc>
          <w:tcPr>
            <w:tcW/>
          </w:tcPr>
          <w:p>
            <w:pPr>
              <w:spacing w:line="240" w:lineRule="auto"/>
              <w:jc w:val="right"/>
            </w:pPr>
            <w:r>
              <w:rPr>
                <w:rFonts w:ascii="宋体" w:hAnsi="宋体" w:cs="宋体" w:eastAsia="宋体"/>
                <w:b w:val="false"/>
              </w:rPr>
              <w:t>6.05</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175,673,973.09</w:t>
            </w:r>
          </w:p>
        </w:tc>
        <w:tc>
          <w:tcPr>
            <w:tcW/>
          </w:tcPr>
          <w:p>
            <w:pPr>
              <w:spacing w:line="240" w:lineRule="auto"/>
              <w:jc w:val="right"/>
            </w:pPr>
            <w:r>
              <w:rPr>
                <w:rFonts w:ascii="宋体" w:hAnsi="宋体" w:cs="宋体" w:eastAsia="宋体"/>
                <w:b w:val="false"/>
              </w:rPr>
              <w:t>6.05</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019740</w:t>
            </w:r>
          </w:p>
        </w:tc>
        <w:tc>
          <w:tcPr>
            <w:tcW/>
          </w:tcPr>
          <w:p>
            <w:pPr>
              <w:spacing w:line="240" w:lineRule="auto"/>
              <w:jc w:val="left"/>
            </w:pPr>
            <w:r>
              <w:rPr>
                <w:rFonts w:ascii="宋体" w:hAnsi="宋体" w:cs="宋体" w:eastAsia="宋体"/>
                <w:b w:val="false"/>
              </w:rPr>
              <w:t>24国债09</w:t>
            </w:r>
          </w:p>
        </w:tc>
        <w:tc>
          <w:tcPr>
            <w:tcW/>
          </w:tcPr>
          <w:p>
            <w:pPr>
              <w:spacing w:line="240" w:lineRule="auto"/>
              <w:jc w:val="right"/>
            </w:pPr>
            <w:r>
              <w:rPr>
                <w:rFonts w:ascii="宋体" w:hAnsi="宋体" w:cs="宋体" w:eastAsia="宋体"/>
                <w:b w:val="false"/>
              </w:rPr>
              <w:t>927,000</w:t>
            </w:r>
          </w:p>
        </w:tc>
        <w:tc>
          <w:tcPr>
            <w:tcW/>
          </w:tcPr>
          <w:p>
            <w:pPr>
              <w:spacing w:line="240" w:lineRule="auto"/>
              <w:jc w:val="right"/>
            </w:pPr>
            <w:r>
              <w:rPr>
                <w:rFonts w:ascii="宋体" w:hAnsi="宋体" w:cs="宋体" w:eastAsia="宋体"/>
                <w:b w:val="false"/>
              </w:rPr>
              <w:t>94,077,014.05</w:t>
            </w:r>
          </w:p>
        </w:tc>
        <w:tc>
          <w:tcPr>
            <w:tcW/>
          </w:tcPr>
          <w:p>
            <w:pPr>
              <w:spacing w:line="240" w:lineRule="auto"/>
              <w:jc w:val="right"/>
            </w:pPr>
            <w:r>
              <w:rPr>
                <w:rFonts w:ascii="宋体" w:hAnsi="宋体" w:cs="宋体" w:eastAsia="宋体"/>
                <w:b w:val="false"/>
              </w:rPr>
              <w:t>3.24</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019749</w:t>
            </w:r>
          </w:p>
        </w:tc>
        <w:tc>
          <w:tcPr>
            <w:tcW/>
          </w:tcPr>
          <w:p>
            <w:pPr>
              <w:spacing w:line="240" w:lineRule="auto"/>
              <w:jc w:val="left"/>
            </w:pPr>
            <w:r>
              <w:rPr>
                <w:rFonts w:ascii="宋体" w:hAnsi="宋体" w:cs="宋体" w:eastAsia="宋体"/>
                <w:b w:val="false"/>
              </w:rPr>
              <w:t>24国债15</w:t>
            </w:r>
          </w:p>
        </w:tc>
        <w:tc>
          <w:tcPr>
            <w:tcW/>
          </w:tcPr>
          <w:p>
            <w:pPr>
              <w:spacing w:line="240" w:lineRule="auto"/>
              <w:jc w:val="right"/>
            </w:pPr>
            <w:r>
              <w:rPr>
                <w:rFonts w:ascii="宋体" w:hAnsi="宋体" w:cs="宋体" w:eastAsia="宋体"/>
                <w:b w:val="false"/>
              </w:rPr>
              <w:t>809,000</w:t>
            </w:r>
          </w:p>
        </w:tc>
        <w:tc>
          <w:tcPr>
            <w:tcW/>
          </w:tcPr>
          <w:p>
            <w:pPr>
              <w:spacing w:line="240" w:lineRule="auto"/>
              <w:jc w:val="right"/>
            </w:pPr>
            <w:r>
              <w:rPr>
                <w:rFonts w:ascii="宋体" w:hAnsi="宋体" w:cs="宋体" w:eastAsia="宋体"/>
                <w:b w:val="false"/>
              </w:rPr>
              <w:t>81,596,959.04</w:t>
            </w:r>
          </w:p>
        </w:tc>
        <w:tc>
          <w:tcPr>
            <w:tcW/>
          </w:tcPr>
          <w:p>
            <w:pPr>
              <w:spacing w:line="240" w:lineRule="auto"/>
              <w:jc w:val="right"/>
            </w:pPr>
            <w:r>
              <w:rPr>
                <w:rFonts w:ascii="宋体" w:hAnsi="宋体" w:cs="宋体" w:eastAsia="宋体"/>
                <w:b w:val="false"/>
              </w:rPr>
              <w:t>2.81</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4,066,541.42</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4,066,541.42</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tcPr>
          <w:p>
            <w:pPr>
              <w:spacing w:line="240" w:lineRule="auto"/>
              <w:jc w:val="center"/>
            </w:pPr>
          </w:p>
        </w:tc>
        <w:tc>
          <w:tcPr>
            <w:tcW w:type="pct" w:w="1300"/>
          </w:tcPr>
          <w:p>
            <w:pPr>
              <w:spacing w:line="240" w:lineRule="auto"/>
              <w:jc w:val="center"/>
            </w:pPr>
            <w:r>
              <w:rPr>
                <w:rFonts w:ascii="宋体" w:hAnsi="宋体" w:cs="宋体" w:eastAsia="宋体"/>
                <w:b w:val="false"/>
              </w:rPr>
              <w:t>东方阿尔法优势产业混合A</w:t>
            </w:r>
          </w:p>
        </w:tc>
        <w:tc>
          <w:tcPr>
            <w:tcW w:type="pct" w:w="1300"/>
          </w:tcPr>
          <w:p>
            <w:pPr>
              <w:spacing w:line="240" w:lineRule="auto"/>
              <w:jc w:val="center"/>
            </w:pPr>
            <w:r>
              <w:rPr>
                <w:rFonts w:ascii="宋体" w:hAnsi="宋体" w:cs="宋体" w:eastAsia="宋体"/>
                <w:b w:val="false"/>
              </w:rPr>
              <w:t>东方阿尔法优势产业混合C</w:t>
            </w:r>
          </w:p>
        </w:tc>
      </w:tr>
      <w:tr>
        <w:tc>
          <w:tcPr>
            <w:tcW/>
          </w:tcPr>
          <w:p>
            <w:pPr>
              <w:spacing w:line="240" w:lineRule="auto"/>
              <w:jc w:val="left"/>
            </w:pPr>
            <w:r>
              <w:rPr>
                <w:rFonts w:ascii="宋体" w:hAnsi="宋体" w:cs="宋体" w:eastAsia="宋体"/>
                <w:b w:val="false"/>
              </w:rPr>
              <w:t>报告期期初基金份额总额</w:t>
            </w:r>
          </w:p>
        </w:tc>
        <w:tc>
          <w:tcPr>
            <w:tcW w:type="pct" w:w="1300"/>
          </w:tcPr>
          <w:p>
            <w:pPr>
              <w:spacing w:line="240" w:lineRule="auto"/>
              <w:jc w:val="right"/>
            </w:pPr>
            <w:r>
              <w:rPr>
                <w:rFonts w:ascii="宋体" w:hAnsi="宋体" w:cs="宋体" w:eastAsia="宋体"/>
                <w:b w:val="false"/>
              </w:rPr>
              <w:t>1,309,919,575.93</w:t>
            </w:r>
          </w:p>
        </w:tc>
        <w:tc>
          <w:tcPr>
            <w:tcW w:type="pct" w:w="1300"/>
          </w:tcPr>
          <w:p>
            <w:pPr>
              <w:spacing w:line="240" w:lineRule="auto"/>
              <w:jc w:val="right"/>
            </w:pPr>
            <w:r>
              <w:rPr>
                <w:rFonts w:ascii="宋体" w:hAnsi="宋体" w:cs="宋体" w:eastAsia="宋体"/>
                <w:b w:val="false"/>
              </w:rPr>
              <w:t>1,194,884,997.81</w:t>
            </w:r>
          </w:p>
        </w:tc>
      </w:tr>
      <w:tr>
        <w:tc>
          <w:tcPr>
            <w:tcW/>
          </w:tcPr>
          <w:p>
            <w:pPr>
              <w:spacing w:line="240" w:lineRule="auto"/>
              <w:jc w:val="left"/>
            </w:pPr>
            <w:r>
              <w:rPr>
                <w:rFonts w:ascii="宋体" w:hAnsi="宋体" w:cs="宋体" w:eastAsia="宋体"/>
                <w:b w:val="false"/>
              </w:rPr>
              <w:t>报告期期间基金总申购份额</w:t>
            </w:r>
          </w:p>
        </w:tc>
        <w:tc>
          <w:tcPr>
            <w:tcW w:type="pct" w:w="1300"/>
          </w:tcPr>
          <w:p>
            <w:pPr>
              <w:spacing w:line="240" w:lineRule="auto"/>
              <w:jc w:val="right"/>
            </w:pPr>
            <w:r>
              <w:rPr>
                <w:rFonts w:ascii="宋体" w:hAnsi="宋体" w:cs="宋体" w:eastAsia="宋体"/>
                <w:b w:val="false"/>
              </w:rPr>
              <w:t>54,698,626.82</w:t>
            </w:r>
          </w:p>
        </w:tc>
        <w:tc>
          <w:tcPr>
            <w:tcW w:type="pct" w:w="1300"/>
          </w:tcPr>
          <w:p>
            <w:pPr>
              <w:spacing w:line="240" w:lineRule="auto"/>
              <w:jc w:val="right"/>
            </w:pPr>
            <w:r>
              <w:rPr>
                <w:rFonts w:ascii="宋体" w:hAnsi="宋体" w:cs="宋体" w:eastAsia="宋体"/>
                <w:b w:val="false"/>
              </w:rPr>
              <w:t>159,327,395.87</w:t>
            </w:r>
          </w:p>
        </w:tc>
      </w:tr>
      <w:tr>
        <w:tc>
          <w:tcPr>
            <w:tcW/>
          </w:tcPr>
          <w:p>
            <w:pPr>
              <w:spacing w:line="240" w:lineRule="auto"/>
              <w:jc w:val="left"/>
            </w:pPr>
            <w:r>
              <w:rPr>
                <w:rFonts w:ascii="宋体" w:hAnsi="宋体" w:cs="宋体" w:eastAsia="宋体"/>
                <w:b w:val="false"/>
              </w:rPr>
              <w:t>减：报告期期间基金总赎回份额</w:t>
            </w:r>
          </w:p>
        </w:tc>
        <w:tc>
          <w:tcPr>
            <w:tcW w:type="pct" w:w="1300"/>
          </w:tcPr>
          <w:p>
            <w:pPr>
              <w:spacing w:line="240" w:lineRule="auto"/>
              <w:jc w:val="right"/>
            </w:pPr>
            <w:r>
              <w:rPr>
                <w:rFonts w:ascii="宋体" w:hAnsi="宋体" w:cs="宋体" w:eastAsia="宋体"/>
                <w:b w:val="false"/>
              </w:rPr>
              <w:t>143,912,973.11</w:t>
            </w:r>
          </w:p>
        </w:tc>
        <w:tc>
          <w:tcPr>
            <w:tcW w:type="pct" w:w="1300"/>
          </w:tcPr>
          <w:p>
            <w:pPr>
              <w:spacing w:line="240" w:lineRule="auto"/>
              <w:jc w:val="right"/>
            </w:pPr>
            <w:r>
              <w:rPr>
                <w:rFonts w:ascii="宋体" w:hAnsi="宋体" w:cs="宋体" w:eastAsia="宋体"/>
                <w:b w:val="false"/>
              </w:rPr>
              <w:t>264,407,988.45</w:t>
            </w:r>
          </w:p>
        </w:tc>
      </w:tr>
      <w:tr>
        <w:tc>
          <w:tcPr>
            <w:tcW/>
          </w:tcPr>
          <w:p>
            <w:pPr>
              <w:spacing w:line="240" w:lineRule="auto"/>
              <w:jc w:val="left"/>
            </w:pPr>
            <w:r>
              <w:rPr>
                <w:rFonts w:ascii="宋体" w:hAnsi="宋体" w:cs="宋体" w:eastAsia="宋体"/>
                <w:b w:val="false"/>
              </w:rPr>
              <w:t>报告期期间基金拆分变动份额（份额减少以“-”填列）</w:t>
            </w:r>
          </w:p>
        </w:tc>
        <w:tc>
          <w:tcPr>
            <w:tcW w:type="pct" w:w="1300"/>
          </w:tcPr>
          <w:p>
            <w:pPr>
              <w:spacing w:line="240" w:lineRule="auto"/>
              <w:jc w:val="right"/>
            </w:pPr>
            <w:r>
              <w:rPr>
                <w:rFonts w:ascii="宋体" w:hAnsi="宋体" w:cs="宋体" w:eastAsia="宋体"/>
                <w:b w:val="false"/>
              </w:rPr>
              <w:t>-</w:t>
            </w:r>
          </w:p>
        </w:tc>
        <w:tc>
          <w:tcPr>
            <w:tcW w:type="pct" w:w="130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报告期期末基金份额总额</w:t>
            </w:r>
          </w:p>
        </w:tc>
        <w:tc>
          <w:tcPr>
            <w:tcW w:type="pct" w:w="1300"/>
          </w:tcPr>
          <w:p>
            <w:pPr>
              <w:spacing w:line="240" w:lineRule="auto"/>
              <w:jc w:val="right"/>
            </w:pPr>
            <w:r>
              <w:rPr>
                <w:rFonts w:ascii="宋体" w:hAnsi="宋体" w:cs="宋体" w:eastAsia="宋体"/>
                <w:b w:val="false"/>
              </w:rPr>
              <w:t>1,220,705,229.64</w:t>
            </w:r>
          </w:p>
        </w:tc>
        <w:tc>
          <w:tcPr>
            <w:tcW w:type="pct" w:w="1300"/>
          </w:tcPr>
          <w:p>
            <w:pPr>
              <w:spacing w:line="240" w:lineRule="auto"/>
              <w:jc w:val="right"/>
            </w:pPr>
            <w:r>
              <w:rPr>
                <w:rFonts w:ascii="宋体" w:hAnsi="宋体" w:cs="宋体" w:eastAsia="宋体"/>
                <w:b w:val="false"/>
              </w:rPr>
              <w:t>1,089,804,405.23</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基金管理人本期未运用固有资金投资本基金。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本报告期内，基金管理人不存在申购、赎回或转换本基金的情况。</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本基金成立后有10,004,500.45份为发起份额，发起份额承诺的持有期限为2020年6月28日至2023年6月28日。截至本报告期末，发起资金持有份额为0.00份。</w:t>
      </w:r>
    </w:p>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报告期内单一投资者持有基金份额比例不存在达到或超过20%的情况。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1、中国证券监督管理委员会批准的东方阿尔法优势产业混合型发起式证券投资基金设立的文件；</w:t>
        <w:cr/>
      </w:r>
      <w:r>
        <w:rPr>
          <w:rFonts w:ascii="宋体" w:hAnsi="宋体" w:cs="宋体" w:eastAsia="宋体"/>
          <w:b w:val="false"/>
        </w:rPr>
        <w:t xml:space="preserve">    2、《东方阿尔法优势产业混合型发起式证券投资基金基金合同》；</w:t>
        <w:cr/>
      </w:r>
      <w:r>
        <w:rPr>
          <w:rFonts w:ascii="宋体" w:hAnsi="宋体" w:cs="宋体" w:eastAsia="宋体"/>
          <w:b w:val="false"/>
        </w:rPr>
        <w:t xml:space="preserve">    3、《东方阿尔法优势产业混合型发起式证券投资基金托管协议》；</w:t>
        <w:cr/>
      </w:r>
      <w:r>
        <w:rPr>
          <w:rFonts w:ascii="宋体" w:hAnsi="宋体" w:cs="宋体" w:eastAsia="宋体"/>
          <w:b w:val="false"/>
        </w:rPr>
        <w:t xml:space="preserve">    4、《东方阿尔法优势产业混合型发起式证券投资基金招募说明书》（含更新）；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二〇二五年四月十八日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东方阿尔法优势产业混合型发起式证券投资基金2025年第1季度报告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