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3160F">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r>
        <w:rPr>
          <w:rFonts w:hint="eastAsia" w:ascii="宋体" w:hAnsi="宋体"/>
          <w:szCs w:val="28"/>
        </w:rPr>
        <w:t xml:space="preserve">                             </w:t>
      </w:r>
    </w:p>
    <w:p w14:paraId="4925972A">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5B186244">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5AA80E11">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4EDEC982">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65AB104C">
      <w:pPr>
        <w:spacing w:line="360" w:lineRule="auto"/>
        <w:jc w:val="center"/>
        <w:rPr>
          <w:rFonts w:hint="eastAsia" w:ascii="宋体" w:hAnsi="宋体" w:eastAsia="宋体"/>
          <w:b/>
          <w:sz w:val="48"/>
          <w:lang w:eastAsia="zh-CN"/>
        </w:rPr>
      </w:pPr>
      <w:bookmarkStart w:id="0" w:name="_Toc123112261"/>
      <w:bookmarkStart w:id="1" w:name="_Toc123112222"/>
      <w:bookmarkStart w:id="2" w:name="_Toc139991724"/>
      <w:bookmarkStart w:id="3" w:name="_Toc123701381"/>
      <w:bookmarkStart w:id="4" w:name="_Toc139992299"/>
      <w:r>
        <w:rPr>
          <w:rFonts w:hint="eastAsia" w:ascii="宋体" w:hAnsi="宋体"/>
          <w:b/>
          <w:sz w:val="48"/>
        </w:rPr>
        <w:t>东方阿尔法科技优选混合型发起式</w:t>
      </w:r>
      <w:bookmarkStart w:id="5" w:name="OLE_LINK100"/>
      <w:bookmarkStart w:id="6" w:name="OLE_LINK101"/>
      <w:r>
        <w:rPr>
          <w:rFonts w:hint="eastAsia" w:ascii="宋体" w:hAnsi="宋体"/>
          <w:b/>
          <w:sz w:val="48"/>
        </w:rPr>
        <w:t>证券投资基金</w:t>
      </w:r>
      <w:bookmarkEnd w:id="0"/>
      <w:bookmarkEnd w:id="1"/>
      <w:bookmarkEnd w:id="2"/>
      <w:bookmarkEnd w:id="3"/>
      <w:bookmarkEnd w:id="4"/>
      <w:r>
        <w:rPr>
          <w:rFonts w:hint="eastAsia" w:ascii="宋体" w:hAnsi="宋体"/>
          <w:b/>
          <w:sz w:val="48"/>
        </w:rPr>
        <w:t>托管协议</w:t>
      </w:r>
      <w:bookmarkEnd w:id="5"/>
      <w:bookmarkEnd w:id="6"/>
    </w:p>
    <w:p w14:paraId="3649EF9A">
      <w:pPr>
        <w:spacing w:line="360" w:lineRule="auto"/>
        <w:jc w:val="center"/>
        <w:rPr>
          <w:rFonts w:ascii="宋体" w:hAnsi="宋体"/>
          <w:b/>
          <w:sz w:val="48"/>
        </w:rPr>
      </w:pPr>
    </w:p>
    <w:p w14:paraId="36F83AEE">
      <w:pPr>
        <w:spacing w:line="360" w:lineRule="auto"/>
        <w:jc w:val="center"/>
        <w:rPr>
          <w:rFonts w:ascii="宋体" w:hAnsi="宋体"/>
          <w:b/>
          <w:sz w:val="48"/>
        </w:rPr>
      </w:pPr>
    </w:p>
    <w:p w14:paraId="5649C791">
      <w:pPr>
        <w:spacing w:line="360" w:lineRule="auto"/>
        <w:rPr>
          <w:rFonts w:ascii="宋体" w:hAnsi="宋体"/>
          <w:b/>
          <w:sz w:val="48"/>
        </w:rPr>
      </w:pPr>
    </w:p>
    <w:p w14:paraId="7A11489F">
      <w:pPr>
        <w:pStyle w:val="5"/>
        <w:spacing w:line="520" w:lineRule="exact"/>
        <w:ind w:firstLine="560"/>
        <w:rPr>
          <w:rFonts w:hAnsi="宋体"/>
          <w:sz w:val="28"/>
          <w:szCs w:val="28"/>
        </w:rPr>
      </w:pPr>
    </w:p>
    <w:p w14:paraId="0A8E08FD">
      <w:pPr>
        <w:pStyle w:val="5"/>
        <w:spacing w:line="520" w:lineRule="exact"/>
        <w:ind w:firstLine="560"/>
        <w:rPr>
          <w:rFonts w:hAnsi="宋体"/>
          <w:sz w:val="28"/>
          <w:szCs w:val="28"/>
        </w:rPr>
      </w:pPr>
    </w:p>
    <w:p w14:paraId="00DCA39D">
      <w:pPr>
        <w:pStyle w:val="5"/>
        <w:spacing w:line="520" w:lineRule="exact"/>
        <w:ind w:firstLine="560"/>
        <w:rPr>
          <w:rFonts w:hAnsi="宋体"/>
          <w:sz w:val="28"/>
          <w:szCs w:val="28"/>
        </w:rPr>
      </w:pPr>
    </w:p>
    <w:p w14:paraId="27C4F898">
      <w:pPr>
        <w:pStyle w:val="5"/>
        <w:spacing w:line="520" w:lineRule="exact"/>
        <w:ind w:firstLine="560"/>
        <w:rPr>
          <w:rFonts w:hAnsi="宋体"/>
          <w:sz w:val="28"/>
          <w:szCs w:val="28"/>
        </w:rPr>
      </w:pPr>
    </w:p>
    <w:p w14:paraId="244AF22F">
      <w:pPr>
        <w:pStyle w:val="5"/>
        <w:spacing w:line="520" w:lineRule="exact"/>
        <w:ind w:firstLine="560"/>
        <w:rPr>
          <w:rFonts w:hAnsi="宋体"/>
          <w:sz w:val="28"/>
          <w:szCs w:val="28"/>
        </w:rPr>
      </w:pPr>
    </w:p>
    <w:p w14:paraId="432A25A4">
      <w:pPr>
        <w:pStyle w:val="5"/>
        <w:spacing w:line="520" w:lineRule="exact"/>
        <w:ind w:firstLine="560"/>
        <w:rPr>
          <w:rFonts w:hAnsi="宋体"/>
          <w:sz w:val="28"/>
          <w:szCs w:val="28"/>
        </w:rPr>
      </w:pPr>
    </w:p>
    <w:p w14:paraId="06BD6147">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0" w:firstLineChars="0"/>
        <w:textAlignment w:val="auto"/>
        <w:rPr>
          <w:rFonts w:hAnsi="宋体"/>
          <w:sz w:val="28"/>
          <w:szCs w:val="28"/>
        </w:rPr>
      </w:pPr>
    </w:p>
    <w:p w14:paraId="7B409B0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b/>
          <w:sz w:val="24"/>
          <w:szCs w:val="15"/>
        </w:rPr>
      </w:pPr>
      <w:bookmarkStart w:id="7" w:name="_Toc123701383"/>
      <w:bookmarkStart w:id="8" w:name="_Toc139991726"/>
      <w:bookmarkStart w:id="9" w:name="_Toc123112263"/>
      <w:bookmarkStart w:id="10" w:name="_Toc139992301"/>
      <w:bookmarkStart w:id="11" w:name="_Toc123112224"/>
      <w:r>
        <w:rPr>
          <w:rFonts w:hint="eastAsia" w:ascii="宋体" w:hAnsi="宋体"/>
          <w:b/>
          <w:sz w:val="24"/>
          <w:szCs w:val="15"/>
          <w:lang w:val="en-US" w:eastAsia="zh-CN"/>
        </w:rPr>
        <w:t xml:space="preserve">  </w:t>
      </w:r>
      <w:r>
        <w:rPr>
          <w:rFonts w:ascii="宋体" w:hAnsi="宋体"/>
          <w:b/>
          <w:sz w:val="24"/>
          <w:szCs w:val="15"/>
        </w:rPr>
        <w:t>基金管理人：</w:t>
      </w:r>
      <w:bookmarkEnd w:id="7"/>
      <w:bookmarkEnd w:id="8"/>
      <w:bookmarkEnd w:id="9"/>
      <w:bookmarkEnd w:id="10"/>
      <w:bookmarkEnd w:id="11"/>
      <w:r>
        <w:rPr>
          <w:rFonts w:hint="eastAsia" w:ascii="宋体" w:hAnsi="宋体"/>
          <w:b/>
          <w:sz w:val="24"/>
          <w:szCs w:val="15"/>
        </w:rPr>
        <w:t>东方阿尔法基金管理有限公司</w:t>
      </w:r>
    </w:p>
    <w:p w14:paraId="2DEC588D">
      <w:pPr>
        <w:keepNext w:val="0"/>
        <w:keepLines w:val="0"/>
        <w:pageBreakBefore w:val="0"/>
        <w:widowControl w:val="0"/>
        <w:kinsoku/>
        <w:wordWrap/>
        <w:overflowPunct/>
        <w:topLinePunct w:val="0"/>
        <w:autoSpaceDE/>
        <w:autoSpaceDN/>
        <w:bidi w:val="0"/>
        <w:adjustRightInd/>
        <w:snapToGrid/>
        <w:spacing w:line="360" w:lineRule="auto"/>
        <w:ind w:left="0" w:firstLine="2168" w:firstLineChars="900"/>
        <w:jc w:val="both"/>
        <w:textAlignment w:val="auto"/>
        <w:rPr>
          <w:rFonts w:ascii="宋体" w:hAnsi="宋体"/>
          <w:b/>
          <w:sz w:val="24"/>
          <w:szCs w:val="15"/>
        </w:rPr>
      </w:pPr>
      <w:bookmarkStart w:id="12" w:name="_Toc139991727"/>
      <w:bookmarkStart w:id="13" w:name="_Toc123112264"/>
      <w:bookmarkStart w:id="14" w:name="_Toc123112225"/>
      <w:bookmarkStart w:id="15" w:name="_Toc139992302"/>
      <w:bookmarkStart w:id="16" w:name="_Toc123701384"/>
      <w:r>
        <w:rPr>
          <w:rFonts w:ascii="宋体" w:hAnsi="宋体"/>
          <w:b/>
          <w:sz w:val="24"/>
          <w:szCs w:val="15"/>
        </w:rPr>
        <w:t>基金托管人：</w:t>
      </w:r>
      <w:r>
        <w:rPr>
          <w:rFonts w:hint="eastAsia" w:ascii="宋体" w:hAnsi="宋体"/>
          <w:b/>
          <w:sz w:val="24"/>
          <w:szCs w:val="15"/>
        </w:rPr>
        <w:t>中信银行股份有限公司</w:t>
      </w:r>
      <w:bookmarkEnd w:id="12"/>
      <w:bookmarkEnd w:id="13"/>
      <w:bookmarkEnd w:id="14"/>
      <w:bookmarkEnd w:id="15"/>
      <w:bookmarkEnd w:id="16"/>
    </w:p>
    <w:p w14:paraId="6E21237D">
      <w:pPr>
        <w:spacing w:line="360" w:lineRule="auto"/>
        <w:jc w:val="center"/>
        <w:rPr>
          <w:rFonts w:ascii="宋体" w:hAnsi="宋体"/>
          <w:b/>
          <w:sz w:val="44"/>
          <w:szCs w:val="44"/>
        </w:rPr>
      </w:pPr>
    </w:p>
    <w:p w14:paraId="566D9ADE">
      <w:pPr>
        <w:spacing w:line="360" w:lineRule="auto"/>
        <w:rPr>
          <w:rFonts w:ascii="宋体" w:hAnsi="宋体"/>
          <w:b/>
          <w:szCs w:val="28"/>
        </w:rPr>
      </w:pPr>
    </w:p>
    <w:p w14:paraId="0A443BCF">
      <w:pPr>
        <w:spacing w:line="360" w:lineRule="auto"/>
        <w:ind w:firstLine="562" w:firstLineChars="200"/>
        <w:jc w:val="center"/>
        <w:rPr>
          <w:rFonts w:ascii="宋体" w:hAnsi="宋体"/>
          <w:b/>
          <w:bCs/>
          <w:sz w:val="28"/>
          <w:szCs w:val="28"/>
        </w:rPr>
      </w:pPr>
    </w:p>
    <w:p w14:paraId="5E57C5EA">
      <w:pPr>
        <w:spacing w:line="360" w:lineRule="auto"/>
        <w:ind w:firstLine="562" w:firstLineChars="200"/>
        <w:jc w:val="center"/>
        <w:rPr>
          <w:rFonts w:ascii="宋体" w:hAnsi="宋体"/>
          <w:b/>
          <w:bCs/>
          <w:sz w:val="28"/>
          <w:szCs w:val="28"/>
        </w:rPr>
      </w:pPr>
    </w:p>
    <w:p w14:paraId="2D154128">
      <w:pPr>
        <w:spacing w:line="360" w:lineRule="auto"/>
        <w:ind w:firstLine="562" w:firstLineChars="200"/>
        <w:jc w:val="center"/>
        <w:rPr>
          <w:rFonts w:ascii="仿宋" w:hAnsi="仿宋" w:eastAsia="仿宋"/>
          <w:b/>
          <w:bCs/>
          <w:sz w:val="28"/>
          <w:szCs w:val="28"/>
        </w:rPr>
      </w:pPr>
      <w:r>
        <w:rPr>
          <w:rFonts w:hint="eastAsia" w:ascii="宋体" w:hAnsi="宋体"/>
          <w:b/>
          <w:bCs/>
          <w:sz w:val="28"/>
          <w:szCs w:val="28"/>
        </w:rPr>
        <w:br w:type="page"/>
      </w:r>
    </w:p>
    <w:p w14:paraId="7697895A">
      <w:pPr>
        <w:spacing w:line="360" w:lineRule="auto"/>
        <w:jc w:val="center"/>
        <w:rPr>
          <w:rFonts w:ascii="宋体" w:hAnsi="宋体"/>
          <w:b/>
          <w:bCs/>
          <w:sz w:val="28"/>
          <w:szCs w:val="28"/>
        </w:rPr>
      </w:pPr>
    </w:p>
    <w:p w14:paraId="02E781C5">
      <w:pPr>
        <w:spacing w:line="360" w:lineRule="auto"/>
        <w:rPr>
          <w:rFonts w:ascii="宋体" w:hAnsi="宋体"/>
          <w:b/>
          <w:bCs/>
          <w:sz w:val="28"/>
          <w:szCs w:val="28"/>
        </w:rPr>
      </w:pPr>
    </w:p>
    <w:p w14:paraId="422F5A5E">
      <w:pPr>
        <w:spacing w:line="360" w:lineRule="auto"/>
        <w:jc w:val="center"/>
        <w:rPr>
          <w:rFonts w:ascii="宋体" w:hAnsi="宋体"/>
          <w:b/>
          <w:bCs/>
          <w:sz w:val="28"/>
          <w:szCs w:val="28"/>
        </w:rPr>
      </w:pPr>
      <w:r>
        <w:rPr>
          <w:rFonts w:hint="eastAsia" w:ascii="宋体" w:hAnsi="宋体"/>
          <w:b/>
          <w:bCs/>
          <w:sz w:val="28"/>
          <w:szCs w:val="28"/>
        </w:rPr>
        <w:t>目录</w:t>
      </w:r>
    </w:p>
    <w:p w14:paraId="74D16572">
      <w:pPr>
        <w:spacing w:line="360" w:lineRule="auto"/>
        <w:ind w:firstLine="562" w:firstLineChars="200"/>
        <w:jc w:val="center"/>
        <w:rPr>
          <w:rFonts w:ascii="宋体" w:hAnsi="宋体"/>
          <w:b/>
          <w:bCs/>
          <w:sz w:val="28"/>
          <w:szCs w:val="28"/>
        </w:rPr>
      </w:pPr>
    </w:p>
    <w:p w14:paraId="3145E818">
      <w:pPr>
        <w:pStyle w:val="9"/>
        <w:rPr>
          <w:rFonts w:asciiTheme="minorHAnsi" w:hAnsiTheme="minorHAnsi" w:eastAsiaTheme="minorEastAsia" w:cstheme="minorBidi"/>
          <w:sz w:val="21"/>
          <w:szCs w:val="22"/>
        </w:rPr>
      </w:pPr>
      <w:r>
        <w:rPr>
          <w:b/>
          <w:sz w:val="28"/>
          <w:szCs w:val="28"/>
        </w:rPr>
        <w:fldChar w:fldCharType="begin"/>
      </w:r>
      <w:r>
        <w:rPr>
          <w:b/>
          <w:sz w:val="28"/>
          <w:szCs w:val="28"/>
        </w:rPr>
        <w:instrText xml:space="preserve"> </w:instrText>
      </w:r>
      <w:r>
        <w:rPr>
          <w:rFonts w:hint="eastAsia"/>
          <w:b/>
          <w:sz w:val="28"/>
          <w:szCs w:val="28"/>
        </w:rPr>
        <w:instrText xml:space="preserve">TOC \o "1-1" \h \z \u</w:instrText>
      </w:r>
      <w:r>
        <w:rPr>
          <w:b/>
          <w:sz w:val="28"/>
          <w:szCs w:val="28"/>
        </w:rPr>
        <w:instrText xml:space="preserve"> </w:instrText>
      </w:r>
      <w:r>
        <w:rPr>
          <w:b/>
          <w:sz w:val="28"/>
          <w:szCs w:val="28"/>
        </w:rPr>
        <w:fldChar w:fldCharType="separate"/>
      </w:r>
      <w:r>
        <w:fldChar w:fldCharType="begin"/>
      </w:r>
      <w:r>
        <w:instrText xml:space="preserve"> HYPERLINK \l "_Toc44321700" </w:instrText>
      </w:r>
      <w:r>
        <w:fldChar w:fldCharType="separate"/>
      </w:r>
      <w:r>
        <w:rPr>
          <w:rStyle w:val="14"/>
          <w:rFonts w:hint="eastAsia" w:asciiTheme="minorEastAsia" w:hAnsiTheme="minorEastAsia"/>
          <w:bCs/>
        </w:rPr>
        <w:t>第一条</w:t>
      </w:r>
      <w:r>
        <w:rPr>
          <w:rStyle w:val="14"/>
          <w:rFonts w:asciiTheme="minorEastAsia" w:hAnsiTheme="minorEastAsia"/>
          <w:bCs/>
        </w:rPr>
        <w:t xml:space="preserve"> </w:t>
      </w:r>
      <w:r>
        <w:rPr>
          <w:rStyle w:val="14"/>
          <w:rFonts w:hint="eastAsia" w:asciiTheme="minorEastAsia" w:hAnsiTheme="minorEastAsia"/>
          <w:bCs/>
        </w:rPr>
        <w:t>本协议当事人</w:t>
      </w:r>
      <w:r>
        <w:tab/>
      </w:r>
      <w:r>
        <w:fldChar w:fldCharType="begin"/>
      </w:r>
      <w:r>
        <w:instrText xml:space="preserve"> PAGEREF _Toc44321700 \h </w:instrText>
      </w:r>
      <w:r>
        <w:fldChar w:fldCharType="separate"/>
      </w:r>
      <w:r>
        <w:t>3</w:t>
      </w:r>
      <w:r>
        <w:fldChar w:fldCharType="end"/>
      </w:r>
      <w:r>
        <w:fldChar w:fldCharType="end"/>
      </w:r>
    </w:p>
    <w:p w14:paraId="4041CCCA">
      <w:pPr>
        <w:pStyle w:val="9"/>
        <w:rPr>
          <w:rFonts w:asciiTheme="minorHAnsi" w:hAnsiTheme="minorHAnsi" w:eastAsiaTheme="minorEastAsia" w:cstheme="minorBidi"/>
          <w:sz w:val="21"/>
          <w:szCs w:val="22"/>
        </w:rPr>
      </w:pPr>
      <w:r>
        <w:fldChar w:fldCharType="begin"/>
      </w:r>
      <w:r>
        <w:instrText xml:space="preserve"> HYPERLINK \l "_Toc44321701" </w:instrText>
      </w:r>
      <w:r>
        <w:fldChar w:fldCharType="separate"/>
      </w:r>
      <w:r>
        <w:rPr>
          <w:rStyle w:val="14"/>
          <w:rFonts w:hint="eastAsia" w:asciiTheme="minorEastAsia" w:hAnsiTheme="minorEastAsia"/>
          <w:bCs/>
        </w:rPr>
        <w:t>第二条</w:t>
      </w:r>
      <w:r>
        <w:rPr>
          <w:rStyle w:val="14"/>
          <w:rFonts w:asciiTheme="minorEastAsia" w:hAnsiTheme="minorEastAsia"/>
          <w:bCs/>
        </w:rPr>
        <w:t xml:space="preserve"> </w:t>
      </w:r>
      <w:r>
        <w:rPr>
          <w:rStyle w:val="14"/>
          <w:rFonts w:hint="eastAsia" w:asciiTheme="minorEastAsia" w:hAnsiTheme="minorEastAsia"/>
          <w:bCs/>
        </w:rPr>
        <w:t>本协议的依据、目的和原则</w:t>
      </w:r>
      <w:r>
        <w:tab/>
      </w:r>
      <w:r>
        <w:fldChar w:fldCharType="begin"/>
      </w:r>
      <w:r>
        <w:instrText xml:space="preserve"> PAGEREF _Toc44321701 \h </w:instrText>
      </w:r>
      <w:r>
        <w:fldChar w:fldCharType="separate"/>
      </w:r>
      <w:r>
        <w:t>4</w:t>
      </w:r>
      <w:r>
        <w:fldChar w:fldCharType="end"/>
      </w:r>
      <w:r>
        <w:fldChar w:fldCharType="end"/>
      </w:r>
    </w:p>
    <w:p w14:paraId="5C77B841">
      <w:pPr>
        <w:pStyle w:val="9"/>
        <w:rPr>
          <w:rFonts w:asciiTheme="minorHAnsi" w:hAnsiTheme="minorHAnsi" w:eastAsiaTheme="minorEastAsia" w:cstheme="minorBidi"/>
          <w:sz w:val="21"/>
          <w:szCs w:val="22"/>
        </w:rPr>
      </w:pPr>
      <w:r>
        <w:fldChar w:fldCharType="begin"/>
      </w:r>
      <w:r>
        <w:instrText xml:space="preserve"> HYPERLINK \l "_Toc44321702" </w:instrText>
      </w:r>
      <w:r>
        <w:fldChar w:fldCharType="separate"/>
      </w:r>
      <w:r>
        <w:rPr>
          <w:rStyle w:val="14"/>
          <w:rFonts w:hint="eastAsia" w:asciiTheme="minorEastAsia" w:hAnsiTheme="minorEastAsia"/>
          <w:bCs/>
        </w:rPr>
        <w:t>第三条</w:t>
      </w:r>
      <w:r>
        <w:rPr>
          <w:rStyle w:val="14"/>
          <w:rFonts w:asciiTheme="minorEastAsia" w:hAnsiTheme="minorEastAsia"/>
          <w:bCs/>
        </w:rPr>
        <w:t xml:space="preserve"> </w:t>
      </w:r>
      <w:r>
        <w:rPr>
          <w:rStyle w:val="14"/>
          <w:rFonts w:hint="eastAsia" w:asciiTheme="minorEastAsia" w:hAnsiTheme="minorEastAsia"/>
          <w:bCs/>
        </w:rPr>
        <w:t>基金托管人对基金管理人的业务监督和核查</w:t>
      </w:r>
      <w:r>
        <w:tab/>
      </w:r>
      <w:r>
        <w:fldChar w:fldCharType="begin"/>
      </w:r>
      <w:r>
        <w:instrText xml:space="preserve"> PAGEREF _Toc44321702 \h </w:instrText>
      </w:r>
      <w:r>
        <w:fldChar w:fldCharType="separate"/>
      </w:r>
      <w:r>
        <w:t>4</w:t>
      </w:r>
      <w:r>
        <w:fldChar w:fldCharType="end"/>
      </w:r>
      <w:r>
        <w:fldChar w:fldCharType="end"/>
      </w:r>
    </w:p>
    <w:p w14:paraId="78B67628">
      <w:pPr>
        <w:pStyle w:val="9"/>
        <w:rPr>
          <w:rFonts w:asciiTheme="minorHAnsi" w:hAnsiTheme="minorHAnsi" w:eastAsiaTheme="minorEastAsia" w:cstheme="minorBidi"/>
          <w:sz w:val="21"/>
          <w:szCs w:val="22"/>
        </w:rPr>
      </w:pPr>
      <w:r>
        <w:fldChar w:fldCharType="begin"/>
      </w:r>
      <w:r>
        <w:instrText xml:space="preserve"> HYPERLINK \l "_Toc44321703" </w:instrText>
      </w:r>
      <w:r>
        <w:fldChar w:fldCharType="separate"/>
      </w:r>
      <w:r>
        <w:rPr>
          <w:rStyle w:val="14"/>
          <w:rFonts w:hint="eastAsia" w:asciiTheme="minorEastAsia" w:hAnsiTheme="minorEastAsia"/>
          <w:bCs/>
        </w:rPr>
        <w:t>第四条</w:t>
      </w:r>
      <w:r>
        <w:rPr>
          <w:rStyle w:val="14"/>
          <w:rFonts w:asciiTheme="minorEastAsia" w:hAnsiTheme="minorEastAsia"/>
          <w:bCs/>
        </w:rPr>
        <w:t xml:space="preserve"> </w:t>
      </w:r>
      <w:r>
        <w:rPr>
          <w:rStyle w:val="14"/>
          <w:rFonts w:hint="eastAsia" w:asciiTheme="minorEastAsia" w:hAnsiTheme="minorEastAsia"/>
          <w:bCs/>
        </w:rPr>
        <w:t>基金管理人对基金托管人的业务核查</w:t>
      </w:r>
      <w:r>
        <w:tab/>
      </w:r>
      <w:r>
        <w:fldChar w:fldCharType="begin"/>
      </w:r>
      <w:r>
        <w:instrText xml:space="preserve"> PAGEREF _Toc44321703 \h </w:instrText>
      </w:r>
      <w:r>
        <w:fldChar w:fldCharType="separate"/>
      </w:r>
      <w:r>
        <w:t>14</w:t>
      </w:r>
      <w:r>
        <w:fldChar w:fldCharType="end"/>
      </w:r>
      <w:r>
        <w:fldChar w:fldCharType="end"/>
      </w:r>
    </w:p>
    <w:p w14:paraId="4A53D606">
      <w:pPr>
        <w:pStyle w:val="9"/>
        <w:rPr>
          <w:rFonts w:asciiTheme="minorHAnsi" w:hAnsiTheme="minorHAnsi" w:eastAsiaTheme="minorEastAsia" w:cstheme="minorBidi"/>
          <w:sz w:val="21"/>
          <w:szCs w:val="22"/>
        </w:rPr>
      </w:pPr>
      <w:r>
        <w:fldChar w:fldCharType="begin"/>
      </w:r>
      <w:r>
        <w:instrText xml:space="preserve"> HYPERLINK \l "_Toc44321704" </w:instrText>
      </w:r>
      <w:r>
        <w:fldChar w:fldCharType="separate"/>
      </w:r>
      <w:r>
        <w:rPr>
          <w:rStyle w:val="14"/>
          <w:rFonts w:hint="eastAsia" w:asciiTheme="minorEastAsia" w:hAnsiTheme="minorEastAsia"/>
          <w:bCs/>
        </w:rPr>
        <w:t>第五条</w:t>
      </w:r>
      <w:r>
        <w:rPr>
          <w:rStyle w:val="14"/>
          <w:rFonts w:asciiTheme="minorEastAsia" w:hAnsiTheme="minorEastAsia"/>
          <w:bCs/>
        </w:rPr>
        <w:t xml:space="preserve"> </w:t>
      </w:r>
      <w:r>
        <w:rPr>
          <w:rStyle w:val="14"/>
          <w:rFonts w:hint="eastAsia" w:asciiTheme="minorEastAsia" w:hAnsiTheme="minorEastAsia"/>
          <w:bCs/>
        </w:rPr>
        <w:t>基金财产保管</w:t>
      </w:r>
      <w:r>
        <w:tab/>
      </w:r>
      <w:r>
        <w:fldChar w:fldCharType="begin"/>
      </w:r>
      <w:r>
        <w:instrText xml:space="preserve"> PAGEREF _Toc44321704 \h </w:instrText>
      </w:r>
      <w:r>
        <w:fldChar w:fldCharType="separate"/>
      </w:r>
      <w:r>
        <w:t>15</w:t>
      </w:r>
      <w:r>
        <w:fldChar w:fldCharType="end"/>
      </w:r>
      <w:r>
        <w:fldChar w:fldCharType="end"/>
      </w:r>
    </w:p>
    <w:p w14:paraId="58E9DC8F">
      <w:pPr>
        <w:pStyle w:val="9"/>
        <w:rPr>
          <w:rFonts w:asciiTheme="minorHAnsi" w:hAnsiTheme="minorHAnsi" w:eastAsiaTheme="minorEastAsia" w:cstheme="minorBidi"/>
          <w:sz w:val="21"/>
          <w:szCs w:val="22"/>
        </w:rPr>
      </w:pPr>
      <w:r>
        <w:fldChar w:fldCharType="begin"/>
      </w:r>
      <w:r>
        <w:instrText xml:space="preserve"> HYPERLINK \l "_Toc44321705" </w:instrText>
      </w:r>
      <w:r>
        <w:fldChar w:fldCharType="separate"/>
      </w:r>
      <w:r>
        <w:rPr>
          <w:rStyle w:val="14"/>
          <w:rFonts w:hint="eastAsia" w:asciiTheme="minorEastAsia" w:hAnsiTheme="minorEastAsia"/>
          <w:bCs/>
        </w:rPr>
        <w:t>第六条</w:t>
      </w:r>
      <w:r>
        <w:rPr>
          <w:rStyle w:val="14"/>
          <w:rFonts w:asciiTheme="minorEastAsia" w:hAnsiTheme="minorEastAsia"/>
          <w:bCs/>
        </w:rPr>
        <w:t xml:space="preserve"> </w:t>
      </w:r>
      <w:r>
        <w:rPr>
          <w:rStyle w:val="14"/>
          <w:rFonts w:hint="eastAsia" w:asciiTheme="minorEastAsia" w:hAnsiTheme="minorEastAsia"/>
          <w:bCs/>
        </w:rPr>
        <w:t>指令的发送、确认和执行</w:t>
      </w:r>
      <w:r>
        <w:tab/>
      </w:r>
      <w:r>
        <w:fldChar w:fldCharType="begin"/>
      </w:r>
      <w:r>
        <w:instrText xml:space="preserve"> PAGEREF _Toc44321705 \h </w:instrText>
      </w:r>
      <w:r>
        <w:fldChar w:fldCharType="separate"/>
      </w:r>
      <w:r>
        <w:t>18</w:t>
      </w:r>
      <w:r>
        <w:fldChar w:fldCharType="end"/>
      </w:r>
      <w:r>
        <w:fldChar w:fldCharType="end"/>
      </w:r>
    </w:p>
    <w:p w14:paraId="029D2EF8">
      <w:pPr>
        <w:pStyle w:val="9"/>
        <w:rPr>
          <w:rFonts w:asciiTheme="minorHAnsi" w:hAnsiTheme="minorHAnsi" w:eastAsiaTheme="minorEastAsia" w:cstheme="minorBidi"/>
          <w:sz w:val="21"/>
          <w:szCs w:val="22"/>
        </w:rPr>
      </w:pPr>
      <w:r>
        <w:fldChar w:fldCharType="begin"/>
      </w:r>
      <w:r>
        <w:instrText xml:space="preserve"> HYPERLINK \l "_Toc44321706" </w:instrText>
      </w:r>
      <w:r>
        <w:fldChar w:fldCharType="separate"/>
      </w:r>
      <w:r>
        <w:rPr>
          <w:rStyle w:val="14"/>
          <w:rFonts w:hint="eastAsia" w:asciiTheme="minorEastAsia" w:hAnsiTheme="minorEastAsia"/>
          <w:bCs/>
        </w:rPr>
        <w:t>第七条</w:t>
      </w:r>
      <w:r>
        <w:rPr>
          <w:rStyle w:val="14"/>
          <w:rFonts w:asciiTheme="minorEastAsia" w:hAnsiTheme="minorEastAsia"/>
          <w:bCs/>
        </w:rPr>
        <w:t xml:space="preserve"> </w:t>
      </w:r>
      <w:r>
        <w:rPr>
          <w:rStyle w:val="14"/>
          <w:rFonts w:hint="eastAsia" w:asciiTheme="minorEastAsia" w:hAnsiTheme="minorEastAsia"/>
          <w:bCs/>
        </w:rPr>
        <w:t>交易及清算交收安排</w:t>
      </w:r>
      <w:r>
        <w:tab/>
      </w:r>
      <w:r>
        <w:fldChar w:fldCharType="begin"/>
      </w:r>
      <w:r>
        <w:instrText xml:space="preserve"> PAGEREF _Toc44321706 \h </w:instrText>
      </w:r>
      <w:r>
        <w:fldChar w:fldCharType="separate"/>
      </w:r>
      <w:r>
        <w:t>22</w:t>
      </w:r>
      <w:r>
        <w:fldChar w:fldCharType="end"/>
      </w:r>
      <w:r>
        <w:fldChar w:fldCharType="end"/>
      </w:r>
    </w:p>
    <w:p w14:paraId="1DCFFDFD">
      <w:pPr>
        <w:pStyle w:val="9"/>
        <w:rPr>
          <w:rFonts w:asciiTheme="minorHAnsi" w:hAnsiTheme="minorHAnsi" w:eastAsiaTheme="minorEastAsia" w:cstheme="minorBidi"/>
          <w:sz w:val="21"/>
          <w:szCs w:val="22"/>
        </w:rPr>
      </w:pPr>
      <w:r>
        <w:fldChar w:fldCharType="begin"/>
      </w:r>
      <w:r>
        <w:instrText xml:space="preserve"> HYPERLINK \l "_Toc44321707" </w:instrText>
      </w:r>
      <w:r>
        <w:fldChar w:fldCharType="separate"/>
      </w:r>
      <w:r>
        <w:rPr>
          <w:rStyle w:val="14"/>
          <w:rFonts w:hint="eastAsia" w:asciiTheme="minorEastAsia" w:hAnsiTheme="minorEastAsia"/>
          <w:bCs/>
        </w:rPr>
        <w:t>第八条</w:t>
      </w:r>
      <w:r>
        <w:rPr>
          <w:rStyle w:val="14"/>
          <w:rFonts w:asciiTheme="minorEastAsia" w:hAnsiTheme="minorEastAsia"/>
          <w:bCs/>
        </w:rPr>
        <w:t xml:space="preserve"> </w:t>
      </w:r>
      <w:r>
        <w:rPr>
          <w:rStyle w:val="14"/>
          <w:rFonts w:hint="eastAsia" w:asciiTheme="minorEastAsia" w:hAnsiTheme="minorEastAsia"/>
          <w:bCs/>
        </w:rPr>
        <w:t>基金净值计算和会计核算</w:t>
      </w:r>
      <w:r>
        <w:tab/>
      </w:r>
      <w:r>
        <w:fldChar w:fldCharType="begin"/>
      </w:r>
      <w:r>
        <w:instrText xml:space="preserve"> PAGEREF _Toc44321707 \h </w:instrText>
      </w:r>
      <w:r>
        <w:fldChar w:fldCharType="separate"/>
      </w:r>
      <w:r>
        <w:t>24</w:t>
      </w:r>
      <w:r>
        <w:fldChar w:fldCharType="end"/>
      </w:r>
      <w:r>
        <w:fldChar w:fldCharType="end"/>
      </w:r>
    </w:p>
    <w:p w14:paraId="02F579A9">
      <w:pPr>
        <w:pStyle w:val="9"/>
        <w:rPr>
          <w:rFonts w:asciiTheme="minorHAnsi" w:hAnsiTheme="minorHAnsi" w:eastAsiaTheme="minorEastAsia" w:cstheme="minorBidi"/>
          <w:sz w:val="21"/>
          <w:szCs w:val="22"/>
        </w:rPr>
      </w:pPr>
      <w:r>
        <w:fldChar w:fldCharType="begin"/>
      </w:r>
      <w:r>
        <w:instrText xml:space="preserve"> HYPERLINK \l "_Toc44321708" </w:instrText>
      </w:r>
      <w:r>
        <w:fldChar w:fldCharType="separate"/>
      </w:r>
      <w:r>
        <w:rPr>
          <w:rStyle w:val="14"/>
          <w:rFonts w:hint="eastAsia" w:asciiTheme="minorEastAsia" w:hAnsiTheme="minorEastAsia"/>
          <w:bCs/>
        </w:rPr>
        <w:t>第九条</w:t>
      </w:r>
      <w:r>
        <w:rPr>
          <w:rStyle w:val="14"/>
          <w:rFonts w:asciiTheme="minorEastAsia" w:hAnsiTheme="minorEastAsia"/>
          <w:bCs/>
        </w:rPr>
        <w:t xml:space="preserve"> </w:t>
      </w:r>
      <w:r>
        <w:rPr>
          <w:rStyle w:val="14"/>
          <w:rFonts w:hint="eastAsia" w:asciiTheme="minorEastAsia" w:hAnsiTheme="minorEastAsia"/>
          <w:bCs/>
        </w:rPr>
        <w:t>基金收益分配</w:t>
      </w:r>
      <w:r>
        <w:tab/>
      </w:r>
      <w:r>
        <w:fldChar w:fldCharType="begin"/>
      </w:r>
      <w:r>
        <w:instrText xml:space="preserve"> PAGEREF _Toc44321708 \h </w:instrText>
      </w:r>
      <w:r>
        <w:fldChar w:fldCharType="separate"/>
      </w:r>
      <w:r>
        <w:t>29</w:t>
      </w:r>
      <w:r>
        <w:fldChar w:fldCharType="end"/>
      </w:r>
      <w:r>
        <w:fldChar w:fldCharType="end"/>
      </w:r>
    </w:p>
    <w:p w14:paraId="60FD73EF">
      <w:pPr>
        <w:pStyle w:val="9"/>
        <w:rPr>
          <w:rFonts w:asciiTheme="minorHAnsi" w:hAnsiTheme="minorHAnsi" w:eastAsiaTheme="minorEastAsia" w:cstheme="minorBidi"/>
          <w:sz w:val="21"/>
          <w:szCs w:val="22"/>
        </w:rPr>
      </w:pPr>
      <w:r>
        <w:fldChar w:fldCharType="begin"/>
      </w:r>
      <w:r>
        <w:instrText xml:space="preserve"> HYPERLINK \l "_Toc44321709" </w:instrText>
      </w:r>
      <w:r>
        <w:fldChar w:fldCharType="separate"/>
      </w:r>
      <w:r>
        <w:rPr>
          <w:rStyle w:val="14"/>
          <w:rFonts w:hint="eastAsia" w:asciiTheme="minorEastAsia" w:hAnsiTheme="minorEastAsia"/>
          <w:bCs/>
        </w:rPr>
        <w:t>第十条</w:t>
      </w:r>
      <w:r>
        <w:rPr>
          <w:rStyle w:val="14"/>
          <w:rFonts w:asciiTheme="minorEastAsia" w:hAnsiTheme="minorEastAsia"/>
          <w:bCs/>
        </w:rPr>
        <w:t xml:space="preserve"> </w:t>
      </w:r>
      <w:r>
        <w:rPr>
          <w:rStyle w:val="14"/>
          <w:rFonts w:hint="eastAsia" w:asciiTheme="minorEastAsia" w:hAnsiTheme="minorEastAsia"/>
          <w:bCs/>
        </w:rPr>
        <w:t>信息披露</w:t>
      </w:r>
      <w:r>
        <w:tab/>
      </w:r>
      <w:r>
        <w:fldChar w:fldCharType="begin"/>
      </w:r>
      <w:r>
        <w:instrText xml:space="preserve"> PAGEREF _Toc44321709 \h </w:instrText>
      </w:r>
      <w:r>
        <w:fldChar w:fldCharType="separate"/>
      </w:r>
      <w:r>
        <w:t>31</w:t>
      </w:r>
      <w:r>
        <w:fldChar w:fldCharType="end"/>
      </w:r>
      <w:r>
        <w:fldChar w:fldCharType="end"/>
      </w:r>
    </w:p>
    <w:p w14:paraId="4CF5CE8B">
      <w:pPr>
        <w:pStyle w:val="9"/>
        <w:rPr>
          <w:rFonts w:asciiTheme="minorHAnsi" w:hAnsiTheme="minorHAnsi" w:eastAsiaTheme="minorEastAsia" w:cstheme="minorBidi"/>
          <w:sz w:val="21"/>
          <w:szCs w:val="22"/>
        </w:rPr>
      </w:pPr>
      <w:r>
        <w:fldChar w:fldCharType="begin"/>
      </w:r>
      <w:r>
        <w:instrText xml:space="preserve"> HYPERLINK \l "_Toc44321710" </w:instrText>
      </w:r>
      <w:r>
        <w:fldChar w:fldCharType="separate"/>
      </w:r>
      <w:r>
        <w:rPr>
          <w:rStyle w:val="14"/>
          <w:rFonts w:hint="eastAsia" w:asciiTheme="minorEastAsia" w:hAnsiTheme="minorEastAsia"/>
          <w:bCs/>
        </w:rPr>
        <w:t>第十一条</w:t>
      </w:r>
      <w:r>
        <w:rPr>
          <w:rStyle w:val="14"/>
          <w:rFonts w:asciiTheme="minorEastAsia" w:hAnsiTheme="minorEastAsia"/>
          <w:bCs/>
        </w:rPr>
        <w:t xml:space="preserve"> </w:t>
      </w:r>
      <w:r>
        <w:rPr>
          <w:rStyle w:val="14"/>
          <w:rFonts w:hint="eastAsia" w:asciiTheme="minorEastAsia" w:hAnsiTheme="minorEastAsia"/>
          <w:bCs/>
        </w:rPr>
        <w:t>基金费用</w:t>
      </w:r>
      <w:r>
        <w:tab/>
      </w:r>
      <w:r>
        <w:fldChar w:fldCharType="begin"/>
      </w:r>
      <w:r>
        <w:instrText xml:space="preserve"> PAGEREF _Toc44321710 \h </w:instrText>
      </w:r>
      <w:r>
        <w:fldChar w:fldCharType="separate"/>
      </w:r>
      <w:r>
        <w:t>33</w:t>
      </w:r>
      <w:r>
        <w:fldChar w:fldCharType="end"/>
      </w:r>
      <w:r>
        <w:fldChar w:fldCharType="end"/>
      </w:r>
    </w:p>
    <w:p w14:paraId="26476F1D">
      <w:pPr>
        <w:pStyle w:val="9"/>
        <w:rPr>
          <w:rFonts w:asciiTheme="minorHAnsi" w:hAnsiTheme="minorHAnsi" w:eastAsiaTheme="minorEastAsia" w:cstheme="minorBidi"/>
          <w:sz w:val="21"/>
          <w:szCs w:val="22"/>
        </w:rPr>
      </w:pPr>
      <w:r>
        <w:fldChar w:fldCharType="begin"/>
      </w:r>
      <w:r>
        <w:instrText xml:space="preserve"> HYPERLINK \l "_Toc44321711" </w:instrText>
      </w:r>
      <w:r>
        <w:fldChar w:fldCharType="separate"/>
      </w:r>
      <w:r>
        <w:rPr>
          <w:rStyle w:val="14"/>
          <w:rFonts w:hint="eastAsia" w:asciiTheme="minorEastAsia" w:hAnsiTheme="minorEastAsia"/>
          <w:bCs/>
        </w:rPr>
        <w:t>第十二条</w:t>
      </w:r>
      <w:r>
        <w:rPr>
          <w:rStyle w:val="14"/>
          <w:rFonts w:asciiTheme="minorEastAsia" w:hAnsiTheme="minorEastAsia"/>
          <w:bCs/>
        </w:rPr>
        <w:t xml:space="preserve"> </w:t>
      </w:r>
      <w:r>
        <w:rPr>
          <w:rStyle w:val="14"/>
          <w:rFonts w:hint="eastAsia" w:asciiTheme="minorEastAsia" w:hAnsiTheme="minorEastAsia"/>
          <w:bCs/>
        </w:rPr>
        <w:t>基金份额持有人名册的保管</w:t>
      </w:r>
      <w:r>
        <w:tab/>
      </w:r>
      <w:r>
        <w:fldChar w:fldCharType="begin"/>
      </w:r>
      <w:r>
        <w:instrText xml:space="preserve"> PAGEREF _Toc44321711 \h </w:instrText>
      </w:r>
      <w:r>
        <w:fldChar w:fldCharType="separate"/>
      </w:r>
      <w:r>
        <w:t>35</w:t>
      </w:r>
      <w:r>
        <w:fldChar w:fldCharType="end"/>
      </w:r>
      <w:r>
        <w:fldChar w:fldCharType="end"/>
      </w:r>
    </w:p>
    <w:p w14:paraId="1753573A">
      <w:pPr>
        <w:pStyle w:val="9"/>
        <w:rPr>
          <w:rFonts w:asciiTheme="minorHAnsi" w:hAnsiTheme="minorHAnsi" w:eastAsiaTheme="minorEastAsia" w:cstheme="minorBidi"/>
          <w:sz w:val="21"/>
          <w:szCs w:val="22"/>
        </w:rPr>
      </w:pPr>
      <w:r>
        <w:fldChar w:fldCharType="begin"/>
      </w:r>
      <w:r>
        <w:instrText xml:space="preserve"> HYPERLINK \l "_Toc44321712" </w:instrText>
      </w:r>
      <w:r>
        <w:fldChar w:fldCharType="separate"/>
      </w:r>
      <w:r>
        <w:rPr>
          <w:rStyle w:val="14"/>
          <w:rFonts w:hint="eastAsia" w:asciiTheme="minorEastAsia" w:hAnsiTheme="minorEastAsia"/>
          <w:bCs/>
        </w:rPr>
        <w:t>第十三条</w:t>
      </w:r>
      <w:r>
        <w:rPr>
          <w:rStyle w:val="14"/>
          <w:rFonts w:asciiTheme="minorEastAsia" w:hAnsiTheme="minorEastAsia"/>
          <w:bCs/>
        </w:rPr>
        <w:t xml:space="preserve"> </w:t>
      </w:r>
      <w:r>
        <w:rPr>
          <w:rStyle w:val="14"/>
          <w:rFonts w:hint="eastAsia" w:asciiTheme="minorEastAsia" w:hAnsiTheme="minorEastAsia"/>
          <w:bCs/>
        </w:rPr>
        <w:t>基金有关文件和档案的保存</w:t>
      </w:r>
      <w:bookmarkStart w:id="74" w:name="_GoBack"/>
      <w:bookmarkEnd w:id="74"/>
      <w:r>
        <w:tab/>
      </w:r>
      <w:r>
        <w:fldChar w:fldCharType="begin"/>
      </w:r>
      <w:r>
        <w:instrText xml:space="preserve"> PAGEREF _Toc44321712 \h </w:instrText>
      </w:r>
      <w:r>
        <w:fldChar w:fldCharType="separate"/>
      </w:r>
      <w:r>
        <w:t>35</w:t>
      </w:r>
      <w:r>
        <w:fldChar w:fldCharType="end"/>
      </w:r>
      <w:r>
        <w:fldChar w:fldCharType="end"/>
      </w:r>
    </w:p>
    <w:p w14:paraId="318552F2">
      <w:pPr>
        <w:pStyle w:val="9"/>
        <w:rPr>
          <w:rFonts w:asciiTheme="minorHAnsi" w:hAnsiTheme="minorHAnsi" w:eastAsiaTheme="minorEastAsia" w:cstheme="minorBidi"/>
          <w:sz w:val="21"/>
          <w:szCs w:val="22"/>
        </w:rPr>
      </w:pPr>
      <w:r>
        <w:fldChar w:fldCharType="begin"/>
      </w:r>
      <w:r>
        <w:instrText xml:space="preserve"> HYPERLINK \l "_Toc44321713" </w:instrText>
      </w:r>
      <w:r>
        <w:fldChar w:fldCharType="separate"/>
      </w:r>
      <w:r>
        <w:rPr>
          <w:rStyle w:val="14"/>
          <w:rFonts w:hint="eastAsia" w:asciiTheme="minorEastAsia" w:hAnsiTheme="minorEastAsia"/>
          <w:bCs/>
        </w:rPr>
        <w:t>第十四条</w:t>
      </w:r>
      <w:r>
        <w:rPr>
          <w:rStyle w:val="14"/>
          <w:rFonts w:asciiTheme="minorEastAsia" w:hAnsiTheme="minorEastAsia"/>
          <w:bCs/>
        </w:rPr>
        <w:t xml:space="preserve"> </w:t>
      </w:r>
      <w:r>
        <w:rPr>
          <w:rStyle w:val="14"/>
          <w:rFonts w:hint="eastAsia" w:asciiTheme="minorEastAsia" w:hAnsiTheme="minorEastAsia"/>
          <w:bCs/>
        </w:rPr>
        <w:t>基金管理人和基金托管人的更换</w:t>
      </w:r>
      <w:r>
        <w:tab/>
      </w:r>
      <w:r>
        <w:fldChar w:fldCharType="begin"/>
      </w:r>
      <w:r>
        <w:instrText xml:space="preserve"> PAGEREF _Toc44321713 \h </w:instrText>
      </w:r>
      <w:r>
        <w:fldChar w:fldCharType="separate"/>
      </w:r>
      <w:r>
        <w:t>35</w:t>
      </w:r>
      <w:r>
        <w:fldChar w:fldCharType="end"/>
      </w:r>
      <w:r>
        <w:fldChar w:fldCharType="end"/>
      </w:r>
    </w:p>
    <w:p w14:paraId="799EFF67">
      <w:pPr>
        <w:pStyle w:val="9"/>
        <w:rPr>
          <w:rFonts w:asciiTheme="minorHAnsi" w:hAnsiTheme="minorHAnsi" w:eastAsiaTheme="minorEastAsia" w:cstheme="minorBidi"/>
          <w:sz w:val="21"/>
          <w:szCs w:val="22"/>
        </w:rPr>
      </w:pPr>
      <w:r>
        <w:fldChar w:fldCharType="begin"/>
      </w:r>
      <w:r>
        <w:instrText xml:space="preserve"> HYPERLINK \l "_Toc44321714" </w:instrText>
      </w:r>
      <w:r>
        <w:fldChar w:fldCharType="separate"/>
      </w:r>
      <w:r>
        <w:rPr>
          <w:rStyle w:val="14"/>
          <w:rFonts w:hint="eastAsia" w:asciiTheme="minorEastAsia" w:hAnsiTheme="minorEastAsia"/>
          <w:bCs/>
        </w:rPr>
        <w:t>第十五条</w:t>
      </w:r>
      <w:r>
        <w:rPr>
          <w:rStyle w:val="14"/>
          <w:rFonts w:asciiTheme="minorEastAsia" w:hAnsiTheme="minorEastAsia"/>
          <w:bCs/>
        </w:rPr>
        <w:t xml:space="preserve"> </w:t>
      </w:r>
      <w:r>
        <w:rPr>
          <w:rStyle w:val="14"/>
          <w:rFonts w:hint="eastAsia" w:asciiTheme="minorEastAsia" w:hAnsiTheme="minorEastAsia"/>
          <w:bCs/>
        </w:rPr>
        <w:t>禁止行为</w:t>
      </w:r>
      <w:r>
        <w:tab/>
      </w:r>
      <w:r>
        <w:fldChar w:fldCharType="begin"/>
      </w:r>
      <w:r>
        <w:instrText xml:space="preserve"> PAGEREF _Toc44321714 \h </w:instrText>
      </w:r>
      <w:r>
        <w:fldChar w:fldCharType="separate"/>
      </w:r>
      <w:r>
        <w:t>38</w:t>
      </w:r>
      <w:r>
        <w:fldChar w:fldCharType="end"/>
      </w:r>
      <w:r>
        <w:fldChar w:fldCharType="end"/>
      </w:r>
    </w:p>
    <w:p w14:paraId="545E91D4">
      <w:pPr>
        <w:pStyle w:val="9"/>
        <w:rPr>
          <w:rFonts w:asciiTheme="minorHAnsi" w:hAnsiTheme="minorHAnsi" w:eastAsiaTheme="minorEastAsia" w:cstheme="minorBidi"/>
          <w:sz w:val="21"/>
          <w:szCs w:val="22"/>
        </w:rPr>
      </w:pPr>
      <w:r>
        <w:fldChar w:fldCharType="begin"/>
      </w:r>
      <w:r>
        <w:instrText xml:space="preserve"> HYPERLINK \l "_Toc44321715" </w:instrText>
      </w:r>
      <w:r>
        <w:fldChar w:fldCharType="separate"/>
      </w:r>
      <w:r>
        <w:rPr>
          <w:rStyle w:val="14"/>
          <w:rFonts w:hint="eastAsia" w:asciiTheme="minorEastAsia" w:hAnsiTheme="minorEastAsia"/>
          <w:bCs/>
        </w:rPr>
        <w:t>第十六条</w:t>
      </w:r>
      <w:r>
        <w:rPr>
          <w:rStyle w:val="14"/>
          <w:rFonts w:asciiTheme="minorEastAsia" w:hAnsiTheme="minorEastAsia"/>
          <w:bCs/>
        </w:rPr>
        <w:t xml:space="preserve"> </w:t>
      </w:r>
      <w:r>
        <w:rPr>
          <w:rStyle w:val="14"/>
          <w:rFonts w:hint="eastAsia" w:asciiTheme="minorEastAsia" w:hAnsiTheme="minorEastAsia"/>
          <w:bCs/>
        </w:rPr>
        <w:t>本协议的变更、终止与基金财产的清算</w:t>
      </w:r>
      <w:r>
        <w:tab/>
      </w:r>
      <w:r>
        <w:fldChar w:fldCharType="begin"/>
      </w:r>
      <w:r>
        <w:instrText xml:space="preserve"> PAGEREF _Toc44321715 \h </w:instrText>
      </w:r>
      <w:r>
        <w:fldChar w:fldCharType="separate"/>
      </w:r>
      <w:r>
        <w:t>39</w:t>
      </w:r>
      <w:r>
        <w:fldChar w:fldCharType="end"/>
      </w:r>
      <w:r>
        <w:fldChar w:fldCharType="end"/>
      </w:r>
    </w:p>
    <w:p w14:paraId="610425C5">
      <w:pPr>
        <w:pStyle w:val="9"/>
        <w:rPr>
          <w:rFonts w:asciiTheme="minorHAnsi" w:hAnsiTheme="minorHAnsi" w:eastAsiaTheme="minorEastAsia" w:cstheme="minorBidi"/>
          <w:sz w:val="21"/>
          <w:szCs w:val="22"/>
        </w:rPr>
      </w:pPr>
      <w:r>
        <w:fldChar w:fldCharType="begin"/>
      </w:r>
      <w:r>
        <w:instrText xml:space="preserve"> HYPERLINK \l "_Toc44321716" </w:instrText>
      </w:r>
      <w:r>
        <w:fldChar w:fldCharType="separate"/>
      </w:r>
      <w:r>
        <w:rPr>
          <w:rStyle w:val="14"/>
          <w:rFonts w:hint="eastAsia" w:asciiTheme="minorEastAsia" w:hAnsiTheme="minorEastAsia"/>
          <w:bCs/>
        </w:rPr>
        <w:t>第十七条</w:t>
      </w:r>
      <w:r>
        <w:rPr>
          <w:rStyle w:val="14"/>
          <w:rFonts w:asciiTheme="minorEastAsia" w:hAnsiTheme="minorEastAsia"/>
          <w:bCs/>
        </w:rPr>
        <w:t xml:space="preserve"> </w:t>
      </w:r>
      <w:r>
        <w:rPr>
          <w:rStyle w:val="14"/>
          <w:rFonts w:hint="eastAsia" w:asciiTheme="minorEastAsia" w:hAnsiTheme="minorEastAsia"/>
          <w:bCs/>
        </w:rPr>
        <w:t>违约责任</w:t>
      </w:r>
      <w:r>
        <w:tab/>
      </w:r>
      <w:r>
        <w:fldChar w:fldCharType="begin"/>
      </w:r>
      <w:r>
        <w:instrText xml:space="preserve"> PAGEREF _Toc44321716 \h </w:instrText>
      </w:r>
      <w:r>
        <w:fldChar w:fldCharType="separate"/>
      </w:r>
      <w:r>
        <w:t>41</w:t>
      </w:r>
      <w:r>
        <w:fldChar w:fldCharType="end"/>
      </w:r>
      <w:r>
        <w:fldChar w:fldCharType="end"/>
      </w:r>
    </w:p>
    <w:p w14:paraId="2DC6BB70">
      <w:pPr>
        <w:pStyle w:val="9"/>
        <w:rPr>
          <w:rFonts w:asciiTheme="minorHAnsi" w:hAnsiTheme="minorHAnsi" w:eastAsiaTheme="minorEastAsia" w:cstheme="minorBidi"/>
          <w:sz w:val="21"/>
          <w:szCs w:val="22"/>
        </w:rPr>
      </w:pPr>
      <w:r>
        <w:fldChar w:fldCharType="begin"/>
      </w:r>
      <w:r>
        <w:instrText xml:space="preserve"> HYPERLINK \l "_Toc44321717" </w:instrText>
      </w:r>
      <w:r>
        <w:fldChar w:fldCharType="separate"/>
      </w:r>
      <w:r>
        <w:rPr>
          <w:rStyle w:val="14"/>
          <w:rFonts w:hint="eastAsia" w:asciiTheme="minorEastAsia" w:hAnsiTheme="minorEastAsia"/>
          <w:bCs/>
        </w:rPr>
        <w:t>第十八条</w:t>
      </w:r>
      <w:r>
        <w:rPr>
          <w:rStyle w:val="14"/>
          <w:rFonts w:asciiTheme="minorEastAsia" w:hAnsiTheme="minorEastAsia"/>
          <w:bCs/>
        </w:rPr>
        <w:t xml:space="preserve"> </w:t>
      </w:r>
      <w:r>
        <w:rPr>
          <w:rStyle w:val="14"/>
          <w:rFonts w:hint="eastAsia" w:asciiTheme="minorEastAsia" w:hAnsiTheme="minorEastAsia"/>
          <w:bCs/>
        </w:rPr>
        <w:t>法律适用和争议解决</w:t>
      </w:r>
      <w:r>
        <w:tab/>
      </w:r>
      <w:r>
        <w:fldChar w:fldCharType="begin"/>
      </w:r>
      <w:r>
        <w:instrText xml:space="preserve"> PAGEREF _Toc44321717 \h </w:instrText>
      </w:r>
      <w:r>
        <w:fldChar w:fldCharType="separate"/>
      </w:r>
      <w:r>
        <w:t>42</w:t>
      </w:r>
      <w:r>
        <w:fldChar w:fldCharType="end"/>
      </w:r>
      <w:r>
        <w:fldChar w:fldCharType="end"/>
      </w:r>
    </w:p>
    <w:p w14:paraId="3C038B90">
      <w:pPr>
        <w:pStyle w:val="9"/>
        <w:rPr>
          <w:rFonts w:asciiTheme="minorHAnsi" w:hAnsiTheme="minorHAnsi" w:eastAsiaTheme="minorEastAsia" w:cstheme="minorBidi"/>
          <w:sz w:val="21"/>
          <w:szCs w:val="22"/>
        </w:rPr>
      </w:pPr>
      <w:r>
        <w:fldChar w:fldCharType="begin"/>
      </w:r>
      <w:r>
        <w:instrText xml:space="preserve"> HYPERLINK \l "_Toc44321718" </w:instrText>
      </w:r>
      <w:r>
        <w:fldChar w:fldCharType="separate"/>
      </w:r>
      <w:r>
        <w:rPr>
          <w:rStyle w:val="14"/>
          <w:rFonts w:hint="eastAsia" w:asciiTheme="minorEastAsia" w:hAnsiTheme="minorEastAsia"/>
          <w:bCs/>
        </w:rPr>
        <w:t>第十九条</w:t>
      </w:r>
      <w:r>
        <w:rPr>
          <w:rStyle w:val="14"/>
          <w:rFonts w:asciiTheme="minorEastAsia" w:hAnsiTheme="minorEastAsia"/>
          <w:bCs/>
        </w:rPr>
        <w:t xml:space="preserve"> </w:t>
      </w:r>
      <w:r>
        <w:rPr>
          <w:rStyle w:val="14"/>
          <w:rFonts w:hint="eastAsia" w:asciiTheme="minorEastAsia" w:hAnsiTheme="minorEastAsia"/>
          <w:bCs/>
        </w:rPr>
        <w:t>本协议的效力</w:t>
      </w:r>
      <w:r>
        <w:tab/>
      </w:r>
      <w:r>
        <w:fldChar w:fldCharType="begin"/>
      </w:r>
      <w:r>
        <w:instrText xml:space="preserve"> PAGEREF _Toc44321718 \h </w:instrText>
      </w:r>
      <w:r>
        <w:fldChar w:fldCharType="separate"/>
      </w:r>
      <w:r>
        <w:t>43</w:t>
      </w:r>
      <w:r>
        <w:fldChar w:fldCharType="end"/>
      </w:r>
      <w:r>
        <w:fldChar w:fldCharType="end"/>
      </w:r>
    </w:p>
    <w:p w14:paraId="48BE323D">
      <w:pPr>
        <w:pStyle w:val="9"/>
        <w:rPr>
          <w:rFonts w:asciiTheme="minorHAnsi" w:hAnsiTheme="minorHAnsi" w:eastAsiaTheme="minorEastAsia" w:cstheme="minorBidi"/>
          <w:sz w:val="21"/>
          <w:szCs w:val="22"/>
        </w:rPr>
      </w:pPr>
      <w:r>
        <w:fldChar w:fldCharType="begin"/>
      </w:r>
      <w:r>
        <w:instrText xml:space="preserve"> HYPERLINK \l "_Toc44321719" </w:instrText>
      </w:r>
      <w:r>
        <w:fldChar w:fldCharType="separate"/>
      </w:r>
      <w:r>
        <w:rPr>
          <w:rStyle w:val="14"/>
          <w:rFonts w:hint="eastAsia" w:asciiTheme="minorEastAsia" w:hAnsiTheme="minorEastAsia"/>
          <w:bCs/>
        </w:rPr>
        <w:t>第二十条</w:t>
      </w:r>
      <w:r>
        <w:rPr>
          <w:rStyle w:val="14"/>
          <w:rFonts w:asciiTheme="minorEastAsia" w:hAnsiTheme="minorEastAsia"/>
          <w:bCs/>
        </w:rPr>
        <w:t xml:space="preserve"> </w:t>
      </w:r>
      <w:r>
        <w:rPr>
          <w:rStyle w:val="14"/>
          <w:rFonts w:hint="eastAsia" w:asciiTheme="minorEastAsia" w:hAnsiTheme="minorEastAsia"/>
          <w:bCs/>
        </w:rPr>
        <w:t>本协议的签订</w:t>
      </w:r>
      <w:r>
        <w:tab/>
      </w:r>
      <w:r>
        <w:fldChar w:fldCharType="begin"/>
      </w:r>
      <w:r>
        <w:instrText xml:space="preserve"> PAGEREF _Toc44321719 \h </w:instrText>
      </w:r>
      <w:r>
        <w:fldChar w:fldCharType="separate"/>
      </w:r>
      <w:r>
        <w:t>43</w:t>
      </w:r>
      <w:r>
        <w:fldChar w:fldCharType="end"/>
      </w:r>
      <w:r>
        <w:fldChar w:fldCharType="end"/>
      </w:r>
    </w:p>
    <w:p w14:paraId="1220795B">
      <w:pPr>
        <w:pStyle w:val="9"/>
        <w:rPr>
          <w:rFonts w:asciiTheme="minorHAnsi" w:hAnsiTheme="minorHAnsi" w:eastAsiaTheme="minorEastAsia" w:cstheme="minorBidi"/>
          <w:sz w:val="21"/>
          <w:szCs w:val="22"/>
        </w:rPr>
      </w:pPr>
      <w:r>
        <w:fldChar w:fldCharType="begin"/>
      </w:r>
      <w:r>
        <w:instrText xml:space="preserve"> HYPERLINK \l "_Toc44321720" </w:instrText>
      </w:r>
      <w:r>
        <w:fldChar w:fldCharType="separate"/>
      </w:r>
      <w:r>
        <w:rPr>
          <w:rStyle w:val="14"/>
          <w:rFonts w:hint="eastAsia" w:asciiTheme="minorEastAsia" w:hAnsiTheme="minorEastAsia"/>
          <w:bCs/>
        </w:rPr>
        <w:t>第二十一条</w:t>
      </w:r>
      <w:r>
        <w:rPr>
          <w:rStyle w:val="14"/>
          <w:rFonts w:asciiTheme="minorEastAsia" w:hAnsiTheme="minorEastAsia"/>
          <w:bCs/>
        </w:rPr>
        <w:t xml:space="preserve"> </w:t>
      </w:r>
      <w:r>
        <w:rPr>
          <w:rStyle w:val="14"/>
          <w:rFonts w:hint="eastAsia" w:asciiTheme="minorEastAsia" w:hAnsiTheme="minorEastAsia"/>
          <w:bCs/>
        </w:rPr>
        <w:t>不可抗力</w:t>
      </w:r>
      <w:r>
        <w:tab/>
      </w:r>
      <w:r>
        <w:fldChar w:fldCharType="begin"/>
      </w:r>
      <w:r>
        <w:instrText xml:space="preserve"> PAGEREF _Toc44321720 \h </w:instrText>
      </w:r>
      <w:r>
        <w:fldChar w:fldCharType="separate"/>
      </w:r>
      <w:r>
        <w:t>43</w:t>
      </w:r>
      <w:r>
        <w:fldChar w:fldCharType="end"/>
      </w:r>
      <w:r>
        <w:fldChar w:fldCharType="end"/>
      </w:r>
    </w:p>
    <w:p w14:paraId="640B84DB">
      <w:pPr>
        <w:pStyle w:val="9"/>
        <w:rPr>
          <w:rFonts w:asciiTheme="minorHAnsi" w:hAnsiTheme="minorHAnsi" w:eastAsiaTheme="minorEastAsia" w:cstheme="minorBidi"/>
          <w:sz w:val="21"/>
          <w:szCs w:val="22"/>
        </w:rPr>
      </w:pPr>
      <w:r>
        <w:fldChar w:fldCharType="begin"/>
      </w:r>
      <w:r>
        <w:instrText xml:space="preserve"> HYPERLINK \l "_Toc44321721" </w:instrText>
      </w:r>
      <w:r>
        <w:fldChar w:fldCharType="separate"/>
      </w:r>
      <w:r>
        <w:rPr>
          <w:rStyle w:val="14"/>
          <w:rFonts w:hint="eastAsia" w:asciiTheme="minorEastAsia" w:hAnsiTheme="minorEastAsia"/>
          <w:bCs/>
        </w:rPr>
        <w:t>第二十二条</w:t>
      </w:r>
      <w:r>
        <w:rPr>
          <w:rStyle w:val="14"/>
          <w:rFonts w:asciiTheme="minorEastAsia" w:hAnsiTheme="minorEastAsia"/>
          <w:bCs/>
        </w:rPr>
        <w:t xml:space="preserve"> </w:t>
      </w:r>
      <w:r>
        <w:rPr>
          <w:rStyle w:val="14"/>
          <w:rFonts w:hint="eastAsia" w:asciiTheme="minorEastAsia" w:hAnsiTheme="minorEastAsia"/>
          <w:bCs/>
        </w:rPr>
        <w:t>可分割性</w:t>
      </w:r>
      <w:r>
        <w:tab/>
      </w:r>
      <w:r>
        <w:fldChar w:fldCharType="begin"/>
      </w:r>
      <w:r>
        <w:instrText xml:space="preserve"> PAGEREF _Toc44321721 \h </w:instrText>
      </w:r>
      <w:r>
        <w:fldChar w:fldCharType="separate"/>
      </w:r>
      <w:r>
        <w:t>44</w:t>
      </w:r>
      <w:r>
        <w:fldChar w:fldCharType="end"/>
      </w:r>
      <w:r>
        <w:fldChar w:fldCharType="end"/>
      </w:r>
    </w:p>
    <w:p w14:paraId="61FF5FF8">
      <w:pPr>
        <w:pStyle w:val="9"/>
        <w:rPr>
          <w:rFonts w:asciiTheme="minorHAnsi" w:hAnsiTheme="minorHAnsi" w:eastAsiaTheme="minorEastAsia" w:cstheme="minorBidi"/>
          <w:sz w:val="21"/>
          <w:szCs w:val="22"/>
        </w:rPr>
      </w:pPr>
      <w:r>
        <w:fldChar w:fldCharType="begin"/>
      </w:r>
      <w:r>
        <w:instrText xml:space="preserve"> HYPERLINK \l "_Toc44321722" </w:instrText>
      </w:r>
      <w:r>
        <w:fldChar w:fldCharType="separate"/>
      </w:r>
      <w:r>
        <w:rPr>
          <w:rStyle w:val="14"/>
          <w:rFonts w:hint="eastAsia" w:asciiTheme="minorEastAsia" w:hAnsiTheme="minorEastAsia"/>
          <w:bCs/>
        </w:rPr>
        <w:t>第二十三条</w:t>
      </w:r>
      <w:r>
        <w:rPr>
          <w:rStyle w:val="14"/>
          <w:rFonts w:asciiTheme="minorEastAsia" w:hAnsiTheme="minorEastAsia"/>
          <w:bCs/>
        </w:rPr>
        <w:t xml:space="preserve"> </w:t>
      </w:r>
      <w:r>
        <w:rPr>
          <w:rStyle w:val="14"/>
          <w:rFonts w:hint="eastAsia" w:asciiTheme="minorEastAsia" w:hAnsiTheme="minorEastAsia"/>
          <w:bCs/>
        </w:rPr>
        <w:t>通知与送达</w:t>
      </w:r>
      <w:r>
        <w:tab/>
      </w:r>
      <w:r>
        <w:fldChar w:fldCharType="begin"/>
      </w:r>
      <w:r>
        <w:instrText xml:space="preserve"> PAGEREF _Toc44321722 \h </w:instrText>
      </w:r>
      <w:r>
        <w:fldChar w:fldCharType="separate"/>
      </w:r>
      <w:r>
        <w:t>44</w:t>
      </w:r>
      <w:r>
        <w:fldChar w:fldCharType="end"/>
      </w:r>
      <w:r>
        <w:fldChar w:fldCharType="end"/>
      </w:r>
    </w:p>
    <w:p w14:paraId="4C3C1AC0">
      <w:pPr>
        <w:pStyle w:val="9"/>
        <w:rPr>
          <w:rFonts w:asciiTheme="minorHAnsi" w:hAnsiTheme="minorHAnsi" w:eastAsiaTheme="minorEastAsia" w:cstheme="minorBidi"/>
          <w:sz w:val="21"/>
          <w:szCs w:val="22"/>
        </w:rPr>
      </w:pPr>
      <w:r>
        <w:fldChar w:fldCharType="begin"/>
      </w:r>
      <w:r>
        <w:instrText xml:space="preserve"> HYPERLINK \l "_Toc44321723" </w:instrText>
      </w:r>
      <w:r>
        <w:fldChar w:fldCharType="separate"/>
      </w:r>
      <w:r>
        <w:rPr>
          <w:rStyle w:val="14"/>
          <w:rFonts w:hint="eastAsia" w:asciiTheme="minorEastAsia" w:hAnsiTheme="minorEastAsia"/>
          <w:bCs/>
        </w:rPr>
        <w:t>第二十四条</w:t>
      </w:r>
      <w:r>
        <w:rPr>
          <w:rStyle w:val="14"/>
          <w:rFonts w:asciiTheme="minorEastAsia" w:hAnsiTheme="minorEastAsia"/>
          <w:bCs/>
        </w:rPr>
        <w:t xml:space="preserve"> </w:t>
      </w:r>
      <w:r>
        <w:rPr>
          <w:rStyle w:val="14"/>
          <w:rFonts w:hint="eastAsia" w:asciiTheme="minorEastAsia" w:hAnsiTheme="minorEastAsia"/>
          <w:bCs/>
        </w:rPr>
        <w:t>其他约定事项</w:t>
      </w:r>
      <w:r>
        <w:tab/>
      </w:r>
      <w:r>
        <w:fldChar w:fldCharType="begin"/>
      </w:r>
      <w:r>
        <w:instrText xml:space="preserve"> PAGEREF _Toc44321723 \h </w:instrText>
      </w:r>
      <w:r>
        <w:fldChar w:fldCharType="separate"/>
      </w:r>
      <w:r>
        <w:t>45</w:t>
      </w:r>
      <w:r>
        <w:fldChar w:fldCharType="end"/>
      </w:r>
      <w:r>
        <w:fldChar w:fldCharType="end"/>
      </w:r>
    </w:p>
    <w:p w14:paraId="011E902C">
      <w:pPr>
        <w:snapToGrid w:val="0"/>
        <w:spacing w:line="360" w:lineRule="auto"/>
        <w:jc w:val="center"/>
        <w:rPr>
          <w:rFonts w:ascii="宋体" w:hAnsi="宋体"/>
          <w:b/>
          <w:sz w:val="28"/>
          <w:szCs w:val="28"/>
        </w:rPr>
      </w:pPr>
      <w:r>
        <w:rPr>
          <w:rFonts w:ascii="宋体" w:hAnsi="宋体"/>
          <w:b/>
          <w:sz w:val="28"/>
          <w:szCs w:val="28"/>
        </w:rPr>
        <w:fldChar w:fldCharType="end"/>
      </w:r>
    </w:p>
    <w:p w14:paraId="29B57CE9">
      <w:pPr>
        <w:adjustRightInd w:val="0"/>
        <w:snapToGrid w:val="0"/>
        <w:spacing w:line="520" w:lineRule="atLeast"/>
        <w:jc w:val="center"/>
        <w:rPr>
          <w:rFonts w:hint="eastAsia" w:ascii="宋体" w:hAnsi="宋体" w:eastAsia="宋体"/>
          <w:b/>
          <w:sz w:val="28"/>
          <w:szCs w:val="28"/>
          <w:lang w:eastAsia="zh-CN"/>
        </w:rPr>
      </w:pPr>
      <w:r>
        <w:rPr>
          <w:rFonts w:ascii="宋体" w:hAnsi="宋体"/>
          <w:b/>
          <w:sz w:val="28"/>
          <w:szCs w:val="28"/>
        </w:rPr>
        <w:br w:type="page"/>
      </w:r>
      <w:r>
        <w:rPr>
          <w:rFonts w:hint="eastAsia" w:ascii="宋体" w:hAnsi="宋体"/>
          <w:b/>
          <w:sz w:val="28"/>
          <w:szCs w:val="28"/>
        </w:rPr>
        <w:t>东方阿尔法科技优选混合型发起式证券投资基金托管协议</w:t>
      </w:r>
    </w:p>
    <w:p w14:paraId="03DA7E74">
      <w:pPr>
        <w:tabs>
          <w:tab w:val="left" w:pos="5940"/>
        </w:tabs>
        <w:adjustRightInd w:val="0"/>
        <w:snapToGrid w:val="0"/>
        <w:spacing w:line="520" w:lineRule="atLeast"/>
        <w:rPr>
          <w:rFonts w:ascii="宋体" w:hAnsi="宋体"/>
          <w:b/>
          <w:sz w:val="24"/>
          <w:szCs w:val="24"/>
        </w:rPr>
      </w:pPr>
    </w:p>
    <w:p w14:paraId="44064FF7">
      <w:pPr>
        <w:tabs>
          <w:tab w:val="left" w:pos="5940"/>
        </w:tabs>
        <w:adjustRightInd w:val="0"/>
        <w:snapToGrid w:val="0"/>
        <w:spacing w:line="52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基金管理人：</w:t>
      </w:r>
      <w:r>
        <w:rPr>
          <w:rFonts w:hint="eastAsia" w:asciiTheme="minorEastAsia" w:hAnsiTheme="minorEastAsia" w:eastAsiaTheme="minorEastAsia"/>
          <w:sz w:val="24"/>
          <w:szCs w:val="24"/>
        </w:rPr>
        <w:t>东方阿尔法基金管理有限公司</w:t>
      </w:r>
      <w:r>
        <w:rPr>
          <w:rFonts w:hint="eastAsia" w:asciiTheme="minorEastAsia" w:hAnsiTheme="minorEastAsia" w:eastAsiaTheme="minorEastAsia"/>
          <w:b/>
          <w:sz w:val="24"/>
          <w:szCs w:val="24"/>
        </w:rPr>
        <w:t xml:space="preserve"> </w:t>
      </w:r>
    </w:p>
    <w:p w14:paraId="0D22D534">
      <w:pPr>
        <w:tabs>
          <w:tab w:val="left" w:pos="5940"/>
        </w:tabs>
        <w:adjustRightInd w:val="0"/>
        <w:snapToGrid w:val="0"/>
        <w:spacing w:line="5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法定代表人：刘明</w:t>
      </w:r>
    </w:p>
    <w:p w14:paraId="51E79182">
      <w:pPr>
        <w:tabs>
          <w:tab w:val="left" w:pos="5940"/>
        </w:tabs>
        <w:adjustRightInd w:val="0"/>
        <w:snapToGrid w:val="0"/>
        <w:spacing w:line="5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住    所：深圳市福田区莲花街道紫荆社区深南大道6008号深圳特区报业大厦23楼BC</w:t>
      </w:r>
    </w:p>
    <w:p w14:paraId="6752F15C">
      <w:pPr>
        <w:adjustRightInd w:val="0"/>
        <w:snapToGrid w:val="0"/>
        <w:spacing w:line="520" w:lineRule="atLeast"/>
        <w:rPr>
          <w:rFonts w:asciiTheme="minorEastAsia" w:hAnsiTheme="minorEastAsia" w:eastAsiaTheme="minorEastAsia"/>
          <w:sz w:val="24"/>
          <w:szCs w:val="24"/>
        </w:rPr>
      </w:pPr>
    </w:p>
    <w:p w14:paraId="0046F42D">
      <w:pPr>
        <w:tabs>
          <w:tab w:val="left" w:pos="5940"/>
        </w:tabs>
        <w:adjustRightInd w:val="0"/>
        <w:snapToGrid w:val="0"/>
        <w:spacing w:line="52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基金托管人：中信银行股份有限公司 </w:t>
      </w:r>
    </w:p>
    <w:p w14:paraId="0ADD247C">
      <w:pPr>
        <w:tabs>
          <w:tab w:val="left" w:pos="5940"/>
        </w:tabs>
        <w:adjustRightInd w:val="0"/>
        <w:snapToGrid w:val="0"/>
        <w:spacing w:line="5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法定代表人/负责人：方合英</w:t>
      </w:r>
    </w:p>
    <w:p w14:paraId="751F6FA6">
      <w:pPr>
        <w:tabs>
          <w:tab w:val="left" w:pos="5940"/>
        </w:tabs>
        <w:adjustRightInd w:val="0"/>
        <w:snapToGrid w:val="0"/>
        <w:spacing w:line="5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住    所：北京市朝阳区光华路10号院1号楼6-30层、32-42层</w:t>
      </w:r>
    </w:p>
    <w:p w14:paraId="733D96B2">
      <w:pPr>
        <w:autoSpaceDE w:val="0"/>
        <w:autoSpaceDN w:val="0"/>
        <w:adjustRightInd w:val="0"/>
        <w:snapToGrid w:val="0"/>
        <w:spacing w:line="520" w:lineRule="atLeast"/>
        <w:rPr>
          <w:rFonts w:asciiTheme="minorEastAsia" w:hAnsiTheme="minorEastAsia" w:eastAsiaTheme="minorEastAsia"/>
          <w:sz w:val="24"/>
          <w:szCs w:val="24"/>
        </w:rPr>
      </w:pPr>
    </w:p>
    <w:p w14:paraId="4F5FCB7D">
      <w:pPr>
        <w:autoSpaceDE w:val="0"/>
        <w:autoSpaceDN w:val="0"/>
        <w:adjustRightInd w:val="0"/>
        <w:snapToGrid w:val="0"/>
        <w:spacing w:line="52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鉴于：</w:t>
      </w:r>
    </w:p>
    <w:p w14:paraId="1A7A06D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1．东方阿尔法基金管理有限公司系一家依照中国法律合法成立并有效存续的法人，按照相关法律法规的规定具备担任基金管理人的资格和能力；</w:t>
      </w:r>
    </w:p>
    <w:p w14:paraId="7C27FD5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2.中信银行股份有限公司系一家依照中国法律合法成立并有效存续的银行，按照相关法律法规的规定具备担任基金托管人的资格和能力；</w:t>
      </w:r>
    </w:p>
    <w:p w14:paraId="2E71FC5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3.东方阿尔法基金管理有限公司拟担任东方阿尔法科技优选混合型发起式证券投资基金的基金管理人，中信银行股份有限公司拟担任东方阿尔法科技优选混合型发起式证券投资基金的基金托管人；</w:t>
      </w:r>
    </w:p>
    <w:p w14:paraId="57BDA4A9">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为明确双方在基金托管中的权利、义务及责任，确保基金财产的安全，保护基金份额持有人的合法权益，依据相关法律法规和监管规定，双方本着平等自愿、诚实守信的原则特签订本协议。</w:t>
      </w:r>
    </w:p>
    <w:p w14:paraId="595C0C50">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7F70C9FF">
      <w:pPr>
        <w:pStyle w:val="5"/>
        <w:adjustRightInd w:val="0"/>
        <w:snapToGrid w:val="0"/>
        <w:spacing w:before="0" w:after="0" w:line="520" w:lineRule="atLeast"/>
        <w:ind w:left="0" w:firstLine="541"/>
        <w:rPr>
          <w:rFonts w:asciiTheme="minorEastAsia" w:hAnsiTheme="minorEastAsia" w:eastAsiaTheme="minorEastAsia"/>
          <w:b/>
          <w:bCs/>
          <w:szCs w:val="24"/>
        </w:rPr>
      </w:pPr>
      <w:r>
        <w:rPr>
          <w:rFonts w:hint="eastAsia" w:asciiTheme="minorEastAsia" w:hAnsiTheme="minorEastAsia" w:eastAsiaTheme="minorEastAsia"/>
          <w:b/>
          <w:bCs/>
          <w:szCs w:val="24"/>
        </w:rPr>
        <w:t>释义：</w:t>
      </w:r>
    </w:p>
    <w:p w14:paraId="562ED1E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除非另有约定，《东方阿尔法科技优选混合型发起式证券投资基金基金合同》(以下简称“基金合同”)中定义的术语在用于本托管协议时应具有相同的含义；若有抵触，应以基金合同为准，并依其条款解释。 </w:t>
      </w:r>
    </w:p>
    <w:p w14:paraId="1139CB4B">
      <w:pPr>
        <w:rPr>
          <w:rFonts w:asciiTheme="minorEastAsia" w:hAnsiTheme="minorEastAsia" w:eastAsiaTheme="minorEastAsia"/>
          <w:bCs/>
          <w:szCs w:val="24"/>
        </w:rPr>
      </w:pPr>
      <w:bookmarkStart w:id="17" w:name="_Toc44321700"/>
      <w:bookmarkStart w:id="18" w:name="_Toc296551337"/>
      <w:r>
        <w:rPr>
          <w:rFonts w:hint="eastAsia" w:asciiTheme="minorEastAsia" w:hAnsiTheme="minorEastAsia" w:eastAsiaTheme="minorEastAsia"/>
          <w:bCs/>
          <w:szCs w:val="24"/>
        </w:rPr>
        <w:br w:type="page"/>
      </w:r>
    </w:p>
    <w:p w14:paraId="6C368CE9">
      <w:pPr>
        <w:pStyle w:val="2"/>
        <w:adjustRightInd w:val="0"/>
        <w:spacing w:line="520" w:lineRule="atLeast"/>
        <w:ind w:firstLine="482" w:firstLineChars="200"/>
        <w:jc w:val="center"/>
        <w:rPr>
          <w:rFonts w:asciiTheme="minorEastAsia" w:hAnsiTheme="minorEastAsia" w:eastAsiaTheme="minorEastAsia"/>
          <w:bCs/>
          <w:color w:val="auto"/>
          <w:szCs w:val="24"/>
        </w:rPr>
      </w:pPr>
      <w:r>
        <w:rPr>
          <w:rFonts w:hint="eastAsia" w:asciiTheme="minorEastAsia" w:hAnsiTheme="minorEastAsia" w:eastAsiaTheme="minorEastAsia"/>
          <w:bCs/>
          <w:color w:val="auto"/>
          <w:szCs w:val="24"/>
        </w:rPr>
        <w:t>第一条 本协议当事人</w:t>
      </w:r>
      <w:bookmarkEnd w:id="17"/>
      <w:bookmarkEnd w:id="18"/>
    </w:p>
    <w:p w14:paraId="60B2F03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1.1基金管理人：</w:t>
      </w:r>
    </w:p>
    <w:p w14:paraId="44989EA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名称：</w:t>
      </w:r>
      <w:r>
        <w:rPr>
          <w:rFonts w:hint="eastAsia" w:hAnsi="宋体"/>
          <w:bCs/>
        </w:rPr>
        <w:t>东方阿尔法基金管理有限公司</w:t>
      </w:r>
    </w:p>
    <w:p w14:paraId="3FB164E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住所：深圳市福田区莲花街道紫荆社区深南大道6008号深圳特区报业大厦23楼BC</w:t>
      </w:r>
    </w:p>
    <w:p w14:paraId="26CF051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法定代表人：刘明</w:t>
      </w:r>
    </w:p>
    <w:p w14:paraId="792BEB8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成立时间：2017年7月4日 </w:t>
      </w:r>
    </w:p>
    <w:p w14:paraId="564F590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批准设立机关：中国证监会 </w:t>
      </w:r>
    </w:p>
    <w:p w14:paraId="2AB1751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批准设立文号：中国证监会证监许可〔2017〕1031号 </w:t>
      </w:r>
    </w:p>
    <w:p w14:paraId="320E395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组织形式：有限责任公司</w:t>
      </w:r>
    </w:p>
    <w:p w14:paraId="13E176B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注册资本：人民币1亿元</w:t>
      </w:r>
    </w:p>
    <w:p w14:paraId="2A9AD73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经营范围：公开募集证券投资基金管理、基金销售、特定客户资产管理和中国证监会许可的其他业务</w:t>
      </w:r>
    </w:p>
    <w:p w14:paraId="4FAC7EF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存续期间：持续经营</w:t>
      </w:r>
    </w:p>
    <w:p w14:paraId="37F743C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电话：4009306677  </w:t>
      </w:r>
    </w:p>
    <w:p w14:paraId="05B1FCC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传真：0755-21872902</w:t>
      </w:r>
    </w:p>
    <w:p w14:paraId="6778927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1.2基金托管人：</w:t>
      </w:r>
    </w:p>
    <w:p w14:paraId="2A89C16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名称：中信银行股份有限公司</w:t>
      </w:r>
    </w:p>
    <w:p w14:paraId="316051D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住所：北京市朝阳区光华路10号院1号楼6-30层、32-42层</w:t>
      </w:r>
    </w:p>
    <w:p w14:paraId="4AB4481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法定代表人：方合英</w:t>
      </w:r>
    </w:p>
    <w:p w14:paraId="5D1F3E6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成立时间：1987年4月20日</w:t>
      </w:r>
    </w:p>
    <w:p w14:paraId="05DD720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批准设立文号：国办函[1987]14号</w:t>
      </w:r>
    </w:p>
    <w:p w14:paraId="29978C5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基金托管业务批准文号：证监基金字[2004]125号</w:t>
      </w:r>
    </w:p>
    <w:p w14:paraId="7130EF1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组织形式：股份有限公司</w:t>
      </w:r>
    </w:p>
    <w:p w14:paraId="1F1D78A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注册资本：489.35亿元</w:t>
      </w:r>
    </w:p>
    <w:p w14:paraId="2DA6C81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存续期间：持续经营</w:t>
      </w:r>
    </w:p>
    <w:p w14:paraId="27E5775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电话：4006800000</w:t>
      </w:r>
    </w:p>
    <w:p w14:paraId="2304D1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传真：010-85230024 </w:t>
      </w:r>
    </w:p>
    <w:p w14:paraId="775E338E">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19" w:name="_Toc296551338"/>
      <w:bookmarkStart w:id="20" w:name="_Toc44321701"/>
      <w:r>
        <w:rPr>
          <w:rFonts w:hint="eastAsia" w:asciiTheme="minorEastAsia" w:hAnsiTheme="minorEastAsia" w:eastAsiaTheme="minorEastAsia"/>
          <w:bCs/>
          <w:color w:val="auto"/>
          <w:szCs w:val="24"/>
        </w:rPr>
        <w:t>第二条 本协议的依据、目的和原则</w:t>
      </w:r>
      <w:bookmarkEnd w:id="19"/>
      <w:bookmarkEnd w:id="20"/>
    </w:p>
    <w:p w14:paraId="37DA8F7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2.1本协议的依据</w:t>
      </w:r>
    </w:p>
    <w:p w14:paraId="7882E7F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w:t>
      </w:r>
      <w:r>
        <w:rPr>
          <w:rFonts w:hint="eastAsia" w:asciiTheme="minorEastAsia" w:hAnsiTheme="minorEastAsia" w:eastAsiaTheme="minorEastAsia"/>
          <w:bCs/>
          <w:szCs w:val="24"/>
        </w:rPr>
        <w:t>《公开募集开放式证券投资基金流动性风险管理规定》（以下简称“《流动性风险管理规定》”）、</w:t>
      </w:r>
      <w:r>
        <w:rPr>
          <w:rFonts w:hint="eastAsia" w:asciiTheme="minorEastAsia" w:hAnsiTheme="minorEastAsia" w:eastAsiaTheme="minorEastAsia"/>
          <w:szCs w:val="24"/>
        </w:rPr>
        <w:t>《证券投资基金信息披露内容与格式准则第7号〈托管协议的内容与格式〉》、《东方阿尔法科技优选混合型发起式证券投资基金基金合同》（以下简称“基金合同”）及其他有关规定。</w:t>
      </w:r>
    </w:p>
    <w:p w14:paraId="1414C79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2.2本协议的目的</w:t>
      </w:r>
    </w:p>
    <w:p w14:paraId="550EDC3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40054C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2.3本协议的原则</w:t>
      </w:r>
    </w:p>
    <w:p w14:paraId="369FF23C">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基金管理人和基金托管人本着平等自愿、诚实信用、充分保护基金份额持有人合法权益的原则，经协商一致，签订本协议。</w:t>
      </w:r>
    </w:p>
    <w:p w14:paraId="10BFF12C">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1BE308B5">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21" w:name="_Toc44321702"/>
      <w:bookmarkStart w:id="22" w:name="_Toc296551339"/>
      <w:r>
        <w:rPr>
          <w:rFonts w:hint="eastAsia" w:asciiTheme="minorEastAsia" w:hAnsiTheme="minorEastAsia" w:eastAsiaTheme="minorEastAsia"/>
          <w:bCs/>
          <w:color w:val="auto"/>
          <w:szCs w:val="24"/>
        </w:rPr>
        <w:t>第三条 基金托管人对基金管理人的业务监督和核查</w:t>
      </w:r>
      <w:bookmarkEnd w:id="21"/>
      <w:bookmarkEnd w:id="22"/>
    </w:p>
    <w:p w14:paraId="5E4B669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3.1基金托管人对基金管理人的投资行为行使监督权</w:t>
      </w:r>
    </w:p>
    <w:p w14:paraId="5AC5A79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3.1.1基金托管人根据有关法律法规的规定和基金合同的约定，对下述基金投资范围、投资对象进行监督。本基金将投资于以下金融工具：</w:t>
      </w:r>
    </w:p>
    <w:p w14:paraId="76B1B307">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本基金的投资范围</w:t>
      </w:r>
      <w:r>
        <w:rPr>
          <w:rFonts w:asciiTheme="minorEastAsia" w:hAnsiTheme="minorEastAsia" w:eastAsiaTheme="minorEastAsia"/>
          <w:sz w:val="24"/>
          <w:szCs w:val="24"/>
        </w:rPr>
        <w:t>为</w:t>
      </w:r>
      <w:r>
        <w:rPr>
          <w:rFonts w:hint="eastAsia" w:asciiTheme="minorEastAsia" w:hAnsiTheme="minorEastAsia" w:eastAsiaTheme="minorEastAsia"/>
          <w:sz w:val="24"/>
          <w:szCs w:val="24"/>
        </w:rPr>
        <w:t>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58F998A5">
      <w:pPr>
        <w:adjustRightInd w:val="0"/>
        <w:snapToGrid w:val="0"/>
        <w:spacing w:line="520" w:lineRule="atLeas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如法律法规或监管机构以后允许基金投资其他品种，基金管理人在履行适当程序后，可以将其纳入投资范围，并可依据届时有效的法律法规适时合理地调整投资范围。                                                                                                                </w:t>
      </w:r>
    </w:p>
    <w:p w14:paraId="01ECF9A4">
      <w:pPr>
        <w:adjustRightInd w:val="0"/>
        <w:snapToGrid w:val="0"/>
        <w:spacing w:line="520" w:lineRule="atLeas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本基金各类资产的投资比例范围为：</w:t>
      </w:r>
    </w:p>
    <w:p w14:paraId="2EA2CEFB">
      <w:pPr>
        <w:adjustRightInd w:val="0"/>
        <w:snapToGrid w:val="0"/>
        <w:spacing w:line="520" w:lineRule="atLeas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                                                                                                                                  </w:t>
      </w:r>
    </w:p>
    <w:p w14:paraId="65D0F0CE">
      <w:pPr>
        <w:adjustRightInd w:val="0"/>
        <w:snapToGrid w:val="0"/>
        <w:spacing w:line="520" w:lineRule="atLeas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如法律法规或中国证监会变更投资品种的投资比例限制，基金管理人在履行适当程序后，可以调整上述投资品种的投资比例。</w:t>
      </w:r>
    </w:p>
    <w:p w14:paraId="3922D922">
      <w:pPr>
        <w:adjustRightInd w:val="0"/>
        <w:snapToGrid w:val="0"/>
        <w:spacing w:line="5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3.1.2基金托管人根据有关法律法规的规定及基金合同的约定对下述基金投融资比例进行监督：    </w:t>
      </w:r>
    </w:p>
    <w:p w14:paraId="2C6CF889">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（1）本基金投资组合中股票资产投资比例为基金资产的60%-95%，其中</w:t>
      </w:r>
      <w:r>
        <w:rPr>
          <w:rFonts w:hint="eastAsia" w:asciiTheme="minorEastAsia" w:hAnsiTheme="minorEastAsia" w:eastAsiaTheme="minorEastAsia"/>
          <w:bCs/>
          <w:sz w:val="24"/>
          <w:szCs w:val="24"/>
        </w:rPr>
        <w:t>投资于本基金界定的科技主题相关股票的比例不低于非现金基金资产的80%，投资于</w:t>
      </w:r>
      <w:r>
        <w:rPr>
          <w:rFonts w:hint="eastAsia" w:asciiTheme="minorEastAsia" w:hAnsiTheme="minorEastAsia" w:eastAsiaTheme="minorEastAsia"/>
          <w:sz w:val="24"/>
          <w:szCs w:val="24"/>
        </w:rPr>
        <w:t>港股通标的股票比例不超过股票资产的50%；</w:t>
      </w:r>
    </w:p>
    <w:p w14:paraId="274C42C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41C99F9A">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（3）本基金持有一家公司发行的证券其市值（若同时持有一家公司发行的A股和H股，则为A股与H股合计市值）不超过基金资产净值的10％；</w:t>
      </w:r>
    </w:p>
    <w:p w14:paraId="4C710DF8">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（4）本基金管理人管理的全部基金持有一家公司发行的证券（A股与H股合计），不超过该证券的10％；</w:t>
      </w:r>
    </w:p>
    <w:p w14:paraId="5A62AF2C">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（5）本基金投资于同一原始权益人的各类资产支持证券的比例，不得超过基金资产净值的10％；</w:t>
      </w:r>
    </w:p>
    <w:p w14:paraId="237BA94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（6）本基金持有的全部资产支持证券，其市值不得超过基金资产净值的20％；</w:t>
      </w:r>
    </w:p>
    <w:p w14:paraId="5DAAFE72">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（7）本基金持有的同一(指同一信用级别)资产支持证券的比例，不得超过该资产支持证券规模的10％；</w:t>
      </w:r>
    </w:p>
    <w:p w14:paraId="25E8FD61">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（8）本基金管理人管理的全部基金投资于同一原始权益人的各类资产支持证券，不得超过其各类资产支持证券合计规模的10％；</w:t>
      </w:r>
    </w:p>
    <w:p w14:paraId="16007B7A">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72B64D37">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（10）基金财产参与股票发行申购，本基金所申报的金额不超过本基金的总资产，本基金所申报的股票数量不超过拟发行股票公司本次发行股票的总量；</w:t>
      </w:r>
    </w:p>
    <w:p w14:paraId="4CCF4ACF">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14:paraId="5B1B0483">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14:paraId="36424F77">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3</w:t>
      </w:r>
      <w:r>
        <w:rPr>
          <w:rFonts w:hint="eastAsia" w:asciiTheme="minorEastAsia" w:hAnsiTheme="minorEastAsia" w:eastAsiaTheme="minorEastAsia"/>
          <w:sz w:val="24"/>
          <w:szCs w:val="24"/>
        </w:rPr>
        <w:t>）本基金与私募类证券资管产品及中国证监会认定的其他主体为交易对手开展逆回购交易的，可接受质押品的资质要求应当与基金合同约定的投资范围保持一致；</w:t>
      </w:r>
    </w:p>
    <w:p w14:paraId="65456DD3">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4</w:t>
      </w:r>
      <w:r>
        <w:rPr>
          <w:rFonts w:hint="eastAsia" w:asciiTheme="minorEastAsia" w:hAnsiTheme="minorEastAsia" w:eastAsiaTheme="minorEastAsia"/>
          <w:sz w:val="24"/>
          <w:szCs w:val="24"/>
        </w:rPr>
        <w:t>）本基金资产总值不超过基金资产净值的140%；</w:t>
      </w:r>
    </w:p>
    <w:p w14:paraId="1C993F0D">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）本基金参与股指期货、国债期货交易，需遵守下列规定：</w:t>
      </w:r>
    </w:p>
    <w:p w14:paraId="38E69B0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1)本基金在任何交易日日终，持有的买入股指期货合约价值，不得超过基金资产净值的10%；</w:t>
      </w:r>
    </w:p>
    <w:p w14:paraId="63941985">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2)本基金在任何交易日日终，持有的买入国债期货合约价值，不得超过基金资产净值的15%；</w:t>
      </w:r>
    </w:p>
    <w:p w14:paraId="074B2893">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73048D6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4)本基金在任何交易日日终，持有的卖出股指期货合约价值不得超过基金持有的股票总市值的20%；</w:t>
      </w:r>
    </w:p>
    <w:p w14:paraId="72AEB7A9">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5)本基金在任何交易日日终，持有的卖出国债期货合约价值不得超过基金持有的债券总市值的30%；</w:t>
      </w:r>
    </w:p>
    <w:p w14:paraId="07F7ACDE">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6)本基金在任何交易日内交易（不包括平仓）的股指期货合约的成交金额不得超过上一交易日基金资产净值的20%；</w:t>
      </w:r>
    </w:p>
    <w:p w14:paraId="7D4E064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7)本基金在任何交易日内交易（不包括平仓）的国债期货合约的成交金额不得超过上一交易日基金资产净值的30%；</w:t>
      </w:r>
    </w:p>
    <w:p w14:paraId="67AE84E0">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8)本基金所持有的股票市值和买入、卖出股指期货合约价值，合计（轧差计算）应当符合基金合同关于股票投资比例的有关规定；</w:t>
      </w:r>
    </w:p>
    <w:p w14:paraId="420774D7">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9)基金所持有的债券（不含到期日在一年以内的政府债券）市值和买入、卖出国债期货合约价值，合计（轧差计算）应当符合基金合同关于债券投资比例的有关约定；</w:t>
      </w:r>
    </w:p>
    <w:p w14:paraId="66DC807E">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6</w:t>
      </w:r>
      <w:r>
        <w:rPr>
          <w:rFonts w:hint="eastAsia" w:asciiTheme="minorEastAsia" w:hAnsiTheme="minorEastAsia" w:eastAsiaTheme="minorEastAsia"/>
          <w:sz w:val="24"/>
          <w:szCs w:val="24"/>
        </w:rPr>
        <w:t>）本基金参与股票期权交易的，需遵守下列投资比例限制：</w:t>
      </w:r>
    </w:p>
    <w:p w14:paraId="1A987C56">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1)本基金因未平仓的股票期权合约支付和收取的权利金总额不得超过基金资产净值的</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10%；</w:t>
      </w:r>
    </w:p>
    <w:p w14:paraId="171FAF83">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2)本基金开仓卖出认购股票期权的，应持有足额标的证券；开仓卖出认沽股票期权的，应持有合约行权所需的全额现金或交易所规则认可的可冲抵股票期权保证金的现金等价物；</w:t>
      </w:r>
    </w:p>
    <w:p w14:paraId="39DEE36F">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3)本基金未平仓的股票期权合约面值不得超过基金资产净值的</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20%。其中，合约面值按照行权价乘以合约乘数计算；</w:t>
      </w:r>
    </w:p>
    <w:p w14:paraId="47C3D1F0">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7</w:t>
      </w:r>
      <w:r>
        <w:rPr>
          <w:rFonts w:hint="eastAsia" w:asciiTheme="minorEastAsia" w:hAnsiTheme="minorEastAsia" w:eastAsiaTheme="minorEastAsia"/>
          <w:sz w:val="24"/>
          <w:szCs w:val="24"/>
        </w:rPr>
        <w:t>）本基金参与融资的，每个交易日日终，本基金持有的融资买入股票与</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其他有价证券市值之和，不得超过基金资产净值的</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95%；</w:t>
      </w:r>
    </w:p>
    <w:p w14:paraId="6A07492B">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8</w:t>
      </w:r>
      <w:r>
        <w:rPr>
          <w:rFonts w:hint="eastAsia" w:asciiTheme="minorEastAsia" w:hAnsiTheme="minorEastAsia" w:eastAsiaTheme="minorEastAsia"/>
          <w:sz w:val="24"/>
          <w:szCs w:val="24"/>
        </w:rPr>
        <w:t>）本基金投资存托凭证的比例限制依照境内上市交易的股票执行，与境内上市交易的股票合并计算；</w:t>
      </w:r>
    </w:p>
    <w:p w14:paraId="042379BB">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19</w:t>
      </w:r>
      <w:r>
        <w:rPr>
          <w:rFonts w:hint="eastAsia" w:asciiTheme="minorEastAsia" w:hAnsiTheme="minorEastAsia" w:eastAsiaTheme="minorEastAsia"/>
          <w:sz w:val="24"/>
          <w:szCs w:val="24"/>
        </w:rPr>
        <w:t>）法律法规及中国证监会规定的和《基金合同》约定的其他投资限制。</w:t>
      </w:r>
    </w:p>
    <w:p w14:paraId="587D8D7B">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除上述（</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9）、（12）、（13）情形之外</w:t>
      </w:r>
      <w:r>
        <w:rPr>
          <w:rFonts w:hint="eastAsia" w:asciiTheme="minorEastAsia" w:hAnsiTheme="minorEastAsia" w:eastAsiaTheme="minorEastAsia"/>
          <w:sz w:val="24"/>
          <w:szCs w:val="24"/>
        </w:rPr>
        <w:t>，因证券、期货市场波动、证券发行人合并、基金规模变动等基金管理人之外的因素致使基金投资比例不符合上述规定投资比例的，基金管理人应当在10个交易日内进行调整，但中国证监会规定的特殊情形除外。</w:t>
      </w:r>
    </w:p>
    <w:p w14:paraId="34D51ACE">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337C9FA">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14:paraId="2D88432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3.1.3基金托管人根据有关法律法规的规定及基金合同的约定对下述基金投资禁止行为进行监督：</w:t>
      </w:r>
    </w:p>
    <w:p w14:paraId="2F62717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根据法律法规的规定及基金合同的约定，本基金禁止从事下列行为：</w:t>
      </w:r>
    </w:p>
    <w:p w14:paraId="6BB4F54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（1）承销证券；</w:t>
      </w:r>
    </w:p>
    <w:p w14:paraId="170A43B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（2）违反规定向他人贷款或者提供担保；</w:t>
      </w:r>
    </w:p>
    <w:p w14:paraId="67048DE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（3）从事承担无限责任的投资；</w:t>
      </w:r>
    </w:p>
    <w:p w14:paraId="36CA867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（4）买卖其他基金份额，但是中国证监会另有规定的除外；</w:t>
      </w:r>
    </w:p>
    <w:p w14:paraId="70196AA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（5）向其基金管理人、基金托管人出资；</w:t>
      </w:r>
    </w:p>
    <w:p w14:paraId="4999C3E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（6）从事内幕交易、操纵证券交易价格及其他不正当的证券交易活动；</w:t>
      </w:r>
    </w:p>
    <w:p w14:paraId="77ABE8D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（7）法律、行政法规或者中国证监会规定禁止的其他活动。</w:t>
      </w:r>
    </w:p>
    <w:p w14:paraId="3AFD545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如法律法规或监管部门取消或变更上述限制，如适用于本基金，基金管理人在履行适当程序后，</w:t>
      </w:r>
      <w:r>
        <w:rPr>
          <w:rFonts w:hint="eastAsia" w:hAnsi="宋体"/>
        </w:rPr>
        <w:t>则本基金投资不再受相关限制</w:t>
      </w:r>
      <w:r>
        <w:rPr>
          <w:rFonts w:hint="eastAsia" w:hAnsi="宋体"/>
          <w:bCs/>
        </w:rPr>
        <w:t>，或以变更后的规定为准，不需要经基金份额持有人大会审议，但须提前在规定媒介上公告</w:t>
      </w:r>
      <w:r>
        <w:rPr>
          <w:rFonts w:hint="eastAsia" w:hAnsi="宋体"/>
        </w:rPr>
        <w:t>。</w:t>
      </w:r>
    </w:p>
    <w:p w14:paraId="566BC54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3.1.4基金托管人依据有关法律法规的规定和基金合同的约定对于基金关联投资限制进行监督：</w:t>
      </w:r>
    </w:p>
    <w:p w14:paraId="7A166CF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C5723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名单变更后基金管理人或基金托管人（以下简称“发送方”）应及时发送对方（以下简称“收到方”），收到方于2个工作日内进行回函确认已知名单的变更。名单变更时间以发送方收到收到方回函确认的时间为准。如果基金托管人在运作中严格遵循了监督流程，基金管理人仍违规进行交易，并造成基金资产损失的，由基金管理人承担责任，基金托管人不承担</w:t>
      </w:r>
      <w:r>
        <w:rPr>
          <w:rFonts w:asciiTheme="minorEastAsia" w:hAnsiTheme="minorEastAsia" w:eastAsiaTheme="minorEastAsia"/>
          <w:szCs w:val="24"/>
        </w:rPr>
        <w:t>相应</w:t>
      </w:r>
      <w:r>
        <w:rPr>
          <w:rFonts w:hint="eastAsia" w:asciiTheme="minorEastAsia" w:hAnsiTheme="minorEastAsia" w:eastAsiaTheme="minorEastAsia"/>
          <w:szCs w:val="24"/>
        </w:rPr>
        <w:t>损失和责任。</w:t>
      </w:r>
    </w:p>
    <w:p w14:paraId="50B24E7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74552C6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3.1.5基金托管人依据有关法律法规的规定和基金合同的约定对基金管理人参与银行间债券市场进行监督：</w:t>
      </w:r>
    </w:p>
    <w:p w14:paraId="438EEC1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（1）基金托管人对于基金管理人参与银行间债券市场交易时是否按交易对手名单进行</w:t>
      </w:r>
      <w:r>
        <w:rPr>
          <w:rFonts w:asciiTheme="minorEastAsia" w:hAnsiTheme="minorEastAsia" w:eastAsiaTheme="minorEastAsia"/>
          <w:szCs w:val="24"/>
        </w:rPr>
        <w:t>交易</w:t>
      </w:r>
      <w:r>
        <w:rPr>
          <w:rFonts w:hint="eastAsia" w:asciiTheme="minorEastAsia" w:hAnsiTheme="minorEastAsia" w:eastAsiaTheme="minorEastAsia"/>
          <w:szCs w:val="24"/>
        </w:rPr>
        <w:t>进行监督。</w:t>
      </w:r>
    </w:p>
    <w:p w14:paraId="00C2B5A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当日回函确认收到该名单。基金管理人应定期或不定期对银行间债券市场现券及回购交易对手的名单进行更新，名单中增加或减少银行间债券市场交易对手时须及时通知基金托管人，基金托管人于当日回函确认收到后，对名单进行更新。基金管理人收到基金托管人书面确认后，被确认调整的名单开始生效，新名单生效前已与本次剔除的交易对手所进行但尚未结算的交易，仍应按照双方原定协议进行结算。</w:t>
      </w:r>
    </w:p>
    <w:p w14:paraId="322A5B2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如果基金托管人发现基金管理人与不在名单内的银行间债券市场交易对手进行交易，应及时提醒基金管理人撤销交易，</w:t>
      </w:r>
      <w:r>
        <w:rPr>
          <w:rFonts w:hint="eastAsia" w:asciiTheme="minorEastAsia" w:hAnsiTheme="minorEastAsia" w:eastAsiaTheme="minorEastAsia"/>
          <w:b/>
          <w:bCs/>
          <w:szCs w:val="24"/>
        </w:rPr>
        <w:t>经提醒后基金管理人仍执行交易并造成基金资产损失的，基金托管人不承担责任。</w:t>
      </w:r>
    </w:p>
    <w:p w14:paraId="3B21D64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（2）基金托管人对于基金管理人参与银行间债券市场交易的交易方式的控制。</w:t>
      </w:r>
    </w:p>
    <w:p w14:paraId="7549D8EC">
      <w:pPr>
        <w:pStyle w:val="5"/>
        <w:adjustRightInd w:val="0"/>
        <w:snapToGrid w:val="0"/>
        <w:spacing w:before="0" w:after="0" w:line="520" w:lineRule="atLeast"/>
        <w:ind w:left="0" w:firstLine="480" w:firstLineChars="200"/>
        <w:rPr>
          <w:rFonts w:asciiTheme="minorEastAsia" w:hAnsiTheme="minorEastAsia" w:eastAsiaTheme="minorEastAsia"/>
          <w:b/>
          <w:bCs/>
          <w:szCs w:val="24"/>
        </w:rPr>
      </w:pPr>
      <w:r>
        <w:rPr>
          <w:rFonts w:hint="eastAsia" w:asciiTheme="minorEastAsia" w:hAnsiTheme="minorEastAsia" w:eastAsiaTheme="minor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Pr>
          <w:rFonts w:hint="eastAsia" w:asciiTheme="minorEastAsia" w:hAnsiTheme="minorEastAsia" w:eastAsiaTheme="minorEastAsia"/>
          <w:b/>
          <w:bCs/>
          <w:szCs w:val="24"/>
        </w:rPr>
        <w:t>经提醒后仍未改正并造成基金资产损失的，基金托管人不承担责任。</w:t>
      </w:r>
    </w:p>
    <w:p w14:paraId="2EB7373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（3）基金管理人有责任控制交易对手的资信风险。</w:t>
      </w:r>
    </w:p>
    <w:p w14:paraId="3231F67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基金管理人按银行间债券市场的交易规则进行交易，并负责</w:t>
      </w:r>
      <w:r>
        <w:rPr>
          <w:rFonts w:asciiTheme="minorEastAsia" w:hAnsiTheme="minorEastAsia" w:eastAsiaTheme="minorEastAsia"/>
          <w:szCs w:val="24"/>
        </w:rPr>
        <w:t>处理</w:t>
      </w:r>
      <w:r>
        <w:rPr>
          <w:rFonts w:hint="eastAsia" w:asciiTheme="minorEastAsia" w:hAnsiTheme="minorEastAsia" w:eastAsiaTheme="minorEastAsia"/>
          <w:szCs w:val="24"/>
        </w:rPr>
        <w:t>因交易对手不履行合同而造成的纠纷。若未履约的交易对手在基金管理人确定的时间内仍未承担违约责任及其他相关法律责任的，基金管理人可以对相应损失先行予以承担，然后再向相关交易对手追偿，基金托管人应提供必要的配合。</w:t>
      </w:r>
    </w:p>
    <w:p w14:paraId="4E3D9C1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3.1.6基金托管人对基金投资流通受限证券的监督：</w:t>
      </w:r>
    </w:p>
    <w:p w14:paraId="41B21A5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投资流通受限证券，应遵守有关法律法规规定。流通受限证券指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1C2CF7B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47E35D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14:paraId="698A2D0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468EC3E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w:t>
      </w:r>
      <w:r>
        <w:rPr>
          <w:rFonts w:asciiTheme="minorEastAsia" w:hAnsiTheme="minorEastAsia" w:eastAsiaTheme="minorEastAsia"/>
          <w:szCs w:val="24"/>
        </w:rPr>
        <w:t>调整</w:t>
      </w:r>
      <w:r>
        <w:rPr>
          <w:rFonts w:hint="eastAsia" w:asciiTheme="minorEastAsia" w:hAnsiTheme="minorEastAsia" w:eastAsiaTheme="minorEastAsia"/>
          <w:szCs w:val="24"/>
        </w:rPr>
        <w:t>，否则，基金托管人有权拒绝执行有关指令，但应及时告知基金管理人。因拒绝执行该指令造成基金财产损失的，基金托管人不承担</w:t>
      </w:r>
      <w:r>
        <w:rPr>
          <w:rFonts w:asciiTheme="minorEastAsia" w:hAnsiTheme="minorEastAsia" w:eastAsiaTheme="minorEastAsia"/>
          <w:szCs w:val="24"/>
        </w:rPr>
        <w:t>相应</w:t>
      </w:r>
      <w:r>
        <w:rPr>
          <w:rFonts w:hint="eastAsia" w:asciiTheme="minorEastAsia" w:hAnsiTheme="minorEastAsia" w:eastAsiaTheme="minorEastAsia"/>
          <w:szCs w:val="24"/>
        </w:rPr>
        <w:t>责任，并有权报告中国证监会。</w:t>
      </w:r>
    </w:p>
    <w:p w14:paraId="3B9D3FE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如基金管理人和基金托管人无法达成一致，应及时上报中国证监会请求解决。如果基金托管人切实履行监督职责，则不承担</w:t>
      </w:r>
      <w:r>
        <w:rPr>
          <w:rFonts w:asciiTheme="minorEastAsia" w:hAnsiTheme="minorEastAsia" w:eastAsiaTheme="minorEastAsia"/>
          <w:szCs w:val="24"/>
        </w:rPr>
        <w:t>相应</w:t>
      </w:r>
      <w:r>
        <w:rPr>
          <w:rFonts w:hint="eastAsia" w:asciiTheme="minorEastAsia" w:hAnsiTheme="minorEastAsia" w:eastAsiaTheme="minorEastAsia"/>
          <w:szCs w:val="24"/>
        </w:rPr>
        <w:t>责任。如果基金托管人没有切实履行监督职责，导致基金出现风险，基金托管人应承担相应责任。</w:t>
      </w:r>
    </w:p>
    <w:p w14:paraId="4E75B8C6">
      <w:pPr>
        <w:pStyle w:val="5"/>
        <w:adjustRightInd w:val="0"/>
        <w:snapToGrid w:val="0"/>
        <w:spacing w:before="0" w:after="0" w:line="520" w:lineRule="atLeast"/>
        <w:rPr>
          <w:rFonts w:asciiTheme="minorEastAsia" w:hAnsiTheme="minorEastAsia" w:eastAsiaTheme="minorEastAsia"/>
          <w:szCs w:val="24"/>
        </w:rPr>
      </w:pPr>
      <w:r>
        <w:rPr>
          <w:rFonts w:hint="eastAsia" w:asciiTheme="minorEastAsia" w:hAnsiTheme="minorEastAsia" w:eastAsiaTheme="minorEastAsia"/>
          <w:szCs w:val="24"/>
        </w:rPr>
        <w:t>3.1.7基金托管人对基金投资中期票据的监督：</w:t>
      </w:r>
    </w:p>
    <w:p w14:paraId="2509E3B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368E2C2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（2）如未来有关监管部门发布的法律法规对证券投资基金投资中期票据另有规定的，从其规定。</w:t>
      </w:r>
    </w:p>
    <w:p w14:paraId="2046D12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w:t>
      </w:r>
      <w:r>
        <w:rPr>
          <w:rFonts w:asciiTheme="minorEastAsia" w:hAnsiTheme="minorEastAsia" w:eastAsiaTheme="minorEastAsia"/>
          <w:szCs w:val="24"/>
        </w:rPr>
        <w:t>相应</w:t>
      </w:r>
      <w:r>
        <w:rPr>
          <w:rFonts w:hint="eastAsia" w:asciiTheme="minorEastAsia" w:hAnsiTheme="minorEastAsia" w:eastAsiaTheme="minorEastAsia"/>
          <w:szCs w:val="24"/>
        </w:rPr>
        <w:t>损失和责任。</w:t>
      </w:r>
    </w:p>
    <w:p w14:paraId="25CAA9B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3.1.8基金托管人根据有关法律法规的规定及基金合同的约定，对基金管理人选择存款银行进行监督：</w:t>
      </w:r>
    </w:p>
    <w:p w14:paraId="2EED943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A89517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本基金投资银行存款应符合如下规定：</w:t>
      </w:r>
    </w:p>
    <w:p w14:paraId="2DD8470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（1）基金管理人、基金托管人应当与存款银行建立定期对账机制，确保基金银行存款业务账目及核算的真实、准确。</w:t>
      </w:r>
    </w:p>
    <w:p w14:paraId="338F54D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25AC4D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（3）基金托管人应对基金银行存款业务进行监督与核查，审查、复核相关协议、账户资料、投资指令、存款证实书等有关文件，履行托管职责。</w:t>
      </w:r>
    </w:p>
    <w:p w14:paraId="6CB3C4E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（4）基金管理人与基金托管人在开展基金存款业务时，应严格遵守《基金法》、《运作办法》等有关法律法规，以及国家有关账户管理、利率管理、支付结算等的各项规定。</w:t>
      </w:r>
    </w:p>
    <w:p w14:paraId="5B66588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3.2基金托管人对基金管理人业务进行监督和核查的有关措施：</w:t>
      </w:r>
    </w:p>
    <w:p w14:paraId="28F8A87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39F561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3A42B23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3.2.3在限期内，基金托管人有权随时对通知事项进行复查，督促基金管理人改正。基金管理人对基金托管人通知的违规事项未能在限期内纠正的，基金托管人应报告中国证监会。</w:t>
      </w:r>
    </w:p>
    <w:p w14:paraId="220607F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3.2.4基金托管人发现基金管理人的投资指令违反相关法律法规规定或者违反基金合同约定的，应当拒绝执行，立即通知基金管理人。</w:t>
      </w:r>
    </w:p>
    <w:p w14:paraId="2265ACF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3FA9706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15F2330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3.2.7基金托管人发现基金管理人有重大违规行为，应立即报告中国证监会，同时通知基金管理人限期纠正。</w:t>
      </w:r>
    </w:p>
    <w:p w14:paraId="55A63FF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1F6537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asciiTheme="minorEastAsia" w:hAnsiTheme="minorEastAsia" w:eastAsiaTheme="minorEastAsia"/>
          <w:szCs w:val="24"/>
        </w:rPr>
        <w:t>3.2.9</w:t>
      </w:r>
      <w:r>
        <w:rPr>
          <w:rFonts w:hint="eastAsia" w:asciiTheme="minorEastAsia" w:hAnsiTheme="minorEastAsia" w:eastAsiaTheme="minorEastAsia"/>
          <w:szCs w:val="24"/>
        </w:rPr>
        <w:t>基金托管人对资金来源、投资收益及投资安全不承担审核责任，特别是对于本基金所投标的的后续资金使用情况无审核责任，不保证托管财产投资不受损失，不保证最低收益。</w:t>
      </w:r>
    </w:p>
    <w:p w14:paraId="7BBF921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w:t>
      </w:r>
      <w:r>
        <w:rPr>
          <w:rFonts w:asciiTheme="minorEastAsia" w:hAnsiTheme="minorEastAsia" w:eastAsiaTheme="minorEastAsia"/>
          <w:szCs w:val="24"/>
        </w:rPr>
        <w:t>10</w:t>
      </w:r>
      <w:r>
        <w:rPr>
          <w:rFonts w:hint="eastAsia" w:asciiTheme="minorEastAsia" w:hAnsiTheme="minorEastAsia" w:eastAsiaTheme="minorEastAsia"/>
          <w:szCs w:val="24"/>
        </w:rPr>
        <w:t>基金管理人与基金托管人应遵守中华人民共和国反洗钱法律法规，不参与涉嫌洗钱、恐怖融资、扩散融资等违法犯罪活动；双方应主动配合对方客户身份识别与尽职调查，提供真实、准确、完整客户资料，遵守对方反洗钱与反恐怖融资相关管理规定。对具备合理理由怀疑涉嫌洗钱、恐怖融资的客户，基金管理人或基金托管人将按照中国人民银行反洗钱监管规定采取必要管控措施。</w:t>
      </w:r>
    </w:p>
    <w:p w14:paraId="54FBDC6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3</w:t>
      </w:r>
      <w:r>
        <w:rPr>
          <w:rFonts w:hint="eastAsia" w:asciiTheme="minorEastAsia" w:hAnsiTheme="minorEastAsia" w:eastAsiaTheme="minorEastAsia"/>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C24C5C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侧袋机制实施期间，本部分约定的投资组合比例、组合限制等约定仅适用于主袋账户。</w:t>
      </w:r>
    </w:p>
    <w:p w14:paraId="629160FB">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侧袋账户的实施条件、实施程序、运作安排、投资安排、特定资产的处置变现和支付等对投资者权益有重大影响的事项详见招募说明书的规定。</w:t>
      </w:r>
    </w:p>
    <w:p w14:paraId="3395B76F">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1BCE024">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23" w:name="_Toc44321703"/>
      <w:bookmarkStart w:id="24" w:name="_Toc296551340"/>
      <w:r>
        <w:rPr>
          <w:rFonts w:hint="eastAsia" w:asciiTheme="minorEastAsia" w:hAnsiTheme="minorEastAsia" w:eastAsiaTheme="minorEastAsia"/>
          <w:bCs/>
          <w:color w:val="auto"/>
          <w:szCs w:val="24"/>
        </w:rPr>
        <w:t>第四条 基金管理人对基金托管人的业务核查</w:t>
      </w:r>
      <w:bookmarkEnd w:id="23"/>
      <w:bookmarkEnd w:id="24"/>
    </w:p>
    <w:p w14:paraId="6A317D8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4.1根据《基金法》及其他有关法规的规定和基金合同及本协议约定，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6BC5496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112C4EA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4.3基金管理人发现基金托管人有重大违规行为，应立即报告中国证监会和银行业监督管理机构，同时通知基金托管人限期纠正。</w:t>
      </w:r>
    </w:p>
    <w:p w14:paraId="33656F8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4.4基金托管人应积极配合基金管理人的核查行为，包括但不限于：提交相关资料以供基金管理人核查托管财产的完整性和真实性，在规定时间内答复基金管理人并改正。</w:t>
      </w:r>
    </w:p>
    <w:p w14:paraId="7F04D6A2">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6E2BC5A">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7D7D7F9A">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25" w:name="_Toc296551341"/>
      <w:bookmarkStart w:id="26" w:name="_Toc44321704"/>
      <w:r>
        <w:rPr>
          <w:rFonts w:hint="eastAsia" w:asciiTheme="minorEastAsia" w:hAnsiTheme="minorEastAsia" w:eastAsiaTheme="minorEastAsia"/>
          <w:bCs/>
          <w:color w:val="auto"/>
          <w:szCs w:val="24"/>
        </w:rPr>
        <w:t>第五条 基金财产保管</w:t>
      </w:r>
      <w:bookmarkEnd w:id="25"/>
      <w:bookmarkEnd w:id="26"/>
    </w:p>
    <w:p w14:paraId="7AAE116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5.1基金财产保管的原则</w:t>
      </w:r>
    </w:p>
    <w:p w14:paraId="5127B8F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5.1.1基金财产应独立于基金管理人、基金托管人和证券经纪机构的固有财产。</w:t>
      </w:r>
    </w:p>
    <w:p w14:paraId="12130F1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5.1.2基金托管人应安全保管基金财产。除依据法律法规规定、基金合同和本托管协议约定及基金管理人的正当指令外，不得自行运用、处分、分配基金的任何财产。</w:t>
      </w:r>
    </w:p>
    <w:p w14:paraId="54873F5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5.1.3基金托管人按照规定开设基金财产的资金账户和证券账户等投资所需的其他账户。</w:t>
      </w:r>
    </w:p>
    <w:p w14:paraId="5E14CDC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5.1.4基金托管人对所托管的不同基金财产分别设置账户，与基金托管人的其他业务和其他基金的托管业务实行严格的分账管理，确保基金财产的完整与独立。</w:t>
      </w:r>
    </w:p>
    <w:p w14:paraId="185E38B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5.1.5基金托管人根据基金管理人的指令，按照基金合同和本协议的约定保管基金财产，如有特殊情况双方可另行协商解决。</w:t>
      </w:r>
    </w:p>
    <w:p w14:paraId="2B92C70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5.1.6基金托管人仅对托管账户内的基金财产承担托管职责，对于该账户之外的财产或已从该托管账户支付出去的财产的损失不承担任何责任。</w:t>
      </w:r>
    </w:p>
    <w:p w14:paraId="0D8C735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asciiTheme="minorEastAsia" w:hAnsiTheme="minorEastAsia" w:eastAsiaTheme="minorEastAsia"/>
          <w:szCs w:val="24"/>
        </w:rPr>
        <w:t xml:space="preserve">5.1.7 </w:t>
      </w:r>
      <w:r>
        <w:rPr>
          <w:rFonts w:hint="eastAsia" w:asciiTheme="minorEastAsia" w:hAnsiTheme="minorEastAsia" w:eastAsiaTheme="minorEastAsia"/>
          <w:szCs w:val="24"/>
        </w:rPr>
        <w:t>除依据法律法规和基金合同的规定外，基金托管人不得委托第三人托管基金资产。</w:t>
      </w:r>
    </w:p>
    <w:p w14:paraId="19684F6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5.2募集资金的验资</w:t>
      </w:r>
    </w:p>
    <w:p w14:paraId="04714E1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5.2.1基金募集期间募集的资金应存于基金管理人在基金托管人的营业机构或在其他银行开立的基金募集专户，该账户由基金管理人委托的登记机构开立并管理。</w:t>
      </w:r>
    </w:p>
    <w:p w14:paraId="0FBE7CE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5.2.2基金募集期满或基金提前结束募集时，发起资金提供方认购金额及承诺持有期限符合《基金法》、《运作办法》等有关规定后，基金管理人应将募集的属于本基金财产的全部资金划入基金托管人为本基金开立的托管专户中，基金托管人在收到资金当日出具确认文件。同时，基金管理人应聘请符合《中华人民共和国证券法》规定的会计师事务所进行验资，出具验资报告，</w:t>
      </w:r>
      <w:r>
        <w:rPr>
          <w:rFonts w:hint="eastAsia" w:asciiTheme="minorEastAsia" w:hAnsiTheme="minorEastAsia" w:eastAsiaTheme="minorEastAsia"/>
          <w:bCs/>
          <w:szCs w:val="24"/>
        </w:rPr>
        <w:t>验资报告需对发起资金提供方及其持有的基金份额进行专门说明。</w:t>
      </w:r>
      <w:r>
        <w:rPr>
          <w:rFonts w:hint="eastAsia" w:asciiTheme="minorEastAsia" w:hAnsiTheme="minorEastAsia" w:eastAsiaTheme="minorEastAsia"/>
          <w:szCs w:val="24"/>
        </w:rPr>
        <w:t>出具的验资报告应由参加验资的2名以上（含2名）中国注册会计师签字有效。</w:t>
      </w:r>
    </w:p>
    <w:p w14:paraId="0997889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5.2.3若基金募集期限届满，未能达到基金备案条件，由基金管理人按规定办理退款事宜，基金托管人应提供充分协助与配合。</w:t>
      </w:r>
    </w:p>
    <w:p w14:paraId="7845493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5.3基金的银行账户的开立和管理</w:t>
      </w:r>
    </w:p>
    <w:p w14:paraId="2969C64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5.3.1基金托管人以本基金的名义在其营业机构开立基金的银行账户</w:t>
      </w:r>
      <w:r>
        <w:rPr>
          <w:rFonts w:hint="eastAsia" w:hAnsi="宋体"/>
          <w:szCs w:val="24"/>
        </w:rPr>
        <w:t>（账户具体名称以实际开立为准）</w:t>
      </w:r>
      <w:r>
        <w:rPr>
          <w:rFonts w:hint="eastAsia" w:asciiTheme="minorEastAsia" w:hAnsiTheme="minorEastAsia" w:eastAsiaTheme="minorEastAsia"/>
          <w:szCs w:val="24"/>
        </w:rPr>
        <w:t>，并根据基金管理人合法合规的指令办理资金收付。本基金的银行预留印鉴由基金托管人刻制、保管和使用。</w:t>
      </w:r>
    </w:p>
    <w:p w14:paraId="7866EBC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5546AFE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5.3.3基金银行账户的开立和管理应符合有关法律法规以及银行业监督管理机构的有关规定。</w:t>
      </w:r>
    </w:p>
    <w:p w14:paraId="763CDDB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5.4基金证券账户与证券交易资金账户的开设和管理</w:t>
      </w:r>
    </w:p>
    <w:p w14:paraId="42869FD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5.4.1基金托管人以基金托管人和本基金联名的方式在中国证券登记结算有限责任公司（以下简称“中登公司”）开设证券账户。</w:t>
      </w:r>
    </w:p>
    <w:p w14:paraId="7D43531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5.4.2基金管理人为基金财产在证券经纪机构开立证券交易资金账户，用于基金财产证券交易结算资金的存管、记载交易结算资金的变动明细以及场内证券交易清算，并与基金托管</w:t>
      </w:r>
      <w:r>
        <w:rPr>
          <w:rFonts w:asciiTheme="minorEastAsia" w:hAnsiTheme="minorEastAsia" w:eastAsiaTheme="minorEastAsia"/>
          <w:szCs w:val="24"/>
        </w:rPr>
        <w:t>人</w:t>
      </w:r>
      <w:r>
        <w:rPr>
          <w:rFonts w:hint="eastAsia" w:asciiTheme="minorEastAsia" w:hAnsiTheme="minorEastAsia" w:eastAsiaTheme="minorEastAsia"/>
          <w:szCs w:val="24"/>
        </w:rPr>
        <w:t>开立的托管账户建立第三方存管关系。</w:t>
      </w:r>
    </w:p>
    <w:p w14:paraId="66E8B62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本基金通过证券经纪机构进行的交易由证券经纪机构作为结算参与人代理本基金进行结算。</w:t>
      </w:r>
    </w:p>
    <w:p w14:paraId="4905471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14:paraId="3BD666C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5.4.4基金证券账户与证券交易资金账户相关证明文件的保管由基金托管人负责，账户资产的管理和运用由基金管理人负责。</w:t>
      </w:r>
    </w:p>
    <w:p w14:paraId="0087C07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5.5债券托管账户的开立和管理</w:t>
      </w:r>
    </w:p>
    <w:p w14:paraId="72C0FEA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22C458A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5.5.2基金管理人负责为基金对外签订全国银行间债券市场回购主协议，正本由基金管理人保存。</w:t>
      </w:r>
    </w:p>
    <w:p w14:paraId="768D9BC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5.6其他账户的开设和管理</w:t>
      </w:r>
    </w:p>
    <w:p w14:paraId="70D047F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5.6.1基金管理人根据投资需要按照规定开立期货保证金账户及期货交易编码等。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4374C06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7E4C534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5.6.2因业务发展需要而开立的其他账户，可以根据法律法规和基金合同的规定，由基金管理人协助基金托管人按照有关法律法规和本协议的约定协商后开立。新账户按有关规定使用并管理。</w:t>
      </w:r>
    </w:p>
    <w:p w14:paraId="13A2FE4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5.6.3法律法规等有关规定对相关账户的开立和管理另有规定的，从其规定办理。</w:t>
      </w:r>
    </w:p>
    <w:p w14:paraId="2501425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5.7基金财产投资的有关实物证券、银行定期存款存单等有价凭证的保管</w:t>
      </w:r>
    </w:p>
    <w:p w14:paraId="29042AB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36A00D6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5.8与基金财产有关的重大合同的保管</w:t>
      </w:r>
    </w:p>
    <w:p w14:paraId="28AB576D">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尽量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w:t>
      </w:r>
      <w:r>
        <w:rPr>
          <w:rFonts w:asciiTheme="minorEastAsia" w:hAnsiTheme="minorEastAsia" w:eastAsiaTheme="minorEastAsia"/>
          <w:szCs w:val="24"/>
        </w:rPr>
        <w:t>20</w:t>
      </w:r>
      <w:r>
        <w:rPr>
          <w:rFonts w:hint="eastAsia" w:asciiTheme="minorEastAsia" w:hAnsiTheme="minorEastAsia" w:eastAsiaTheme="minorEastAsia"/>
          <w:szCs w:val="24"/>
        </w:rPr>
        <w:t>年以上，法律法规或监管规则另有规定的，从其规定。对于无法取得二份以上的正本的，基金管理人应向基金托管人提供加盖授权业务章的合同传真件，未经双方协商或未在合同约定范围内，合同原件不得转移，由基金管理人保管。</w:t>
      </w:r>
    </w:p>
    <w:p w14:paraId="260CFF51">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0DD9D44">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27" w:name="_Toc44321705"/>
      <w:bookmarkStart w:id="28" w:name="_Toc296551342"/>
      <w:r>
        <w:rPr>
          <w:rFonts w:hint="eastAsia" w:asciiTheme="minorEastAsia" w:hAnsiTheme="minorEastAsia" w:eastAsiaTheme="minorEastAsia"/>
          <w:bCs/>
          <w:color w:val="auto"/>
          <w:szCs w:val="24"/>
        </w:rPr>
        <w:t>第六条 指令的发送、确认和执行</w:t>
      </w:r>
      <w:bookmarkEnd w:id="27"/>
      <w:bookmarkEnd w:id="28"/>
    </w:p>
    <w:p w14:paraId="179B0CE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基金管理人在运用基金财产开展场内证券交易前，基金管理人通过基金托管银行账户与证券交易资金账户已建立的第三方存管系统在基金托管银行账户与证券交易资金账户之间划款，即银证互转，由基金托管人根据基金管理人的划款指令执行银证互转。 </w:t>
      </w:r>
    </w:p>
    <w:p w14:paraId="248F7F8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基金管理人在运用基金财产开展场外交易时，应向基金托管人发送场外资金划拨及其他款项收付指令，基金托管人执行基金管理人的指令、办理基金名下的资金往来等有关事项。</w:t>
      </w:r>
    </w:p>
    <w:p w14:paraId="6FF3877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6.1基金管理人对发送指令人员的书面授权</w:t>
      </w:r>
    </w:p>
    <w:p w14:paraId="735D0A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及授权变更文件应加盖基金管理人公章，并由基金管理人法定代表人或其授权代表签章（签字或加盖名章），如为授权代表签章，还应附上法定代表人的授权委托书。基金管理人应使用传真方式或其他基金托管人和基金管理人书面确认过的方式向基金托管人发出授权通知，同时电话通知基金托管人。基金托管人在收到授权通知当日与基金管理人确认。基金托管人与基金管理人确认之后，授权通知于授权通知中载明的生效日期生效。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基金管理人在此后3个工作日内将授权通知的正本送交基金托管人。授权通知正本内容应与基金托管人收到的传真内容一致，若有不一致的，以基金托管人收到的传真为准。</w:t>
      </w:r>
    </w:p>
    <w:p w14:paraId="4B539BA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基金管理人和基金托管人对授权文件负有保密义务，其内容不得向被授权人及相关操作人员以外的任何人泄露，除本协议另有约定或法律法规另有规定或有权机关另有要求的除外。</w:t>
      </w:r>
    </w:p>
    <w:p w14:paraId="45CE133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6.2指令的内容</w:t>
      </w:r>
    </w:p>
    <w:p w14:paraId="67ECAFF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3922C05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6.3指令的发送、确认和执行的时间和程序</w:t>
      </w:r>
    </w:p>
    <w:p w14:paraId="1D42168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6.3.1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相应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相应责任。基金管理人应按照《基金法》、有关法律法规和基金合同的规定，在其合法的经营权限和交易权限内发送划款指令，被授权人应按照其授权权限发送划款指令。基金管理人在发送指令时，应为基金托管人留出2小时，作为执行指令所必需的时间。基金管理人应在交易日15:00前传真当日划款指令，如在15:00后传真的指令，托管人尽量执行但不保证一定完成支付。由基金管理人原因造成的指令传输不及时、未能留出足够划款所需时间，基金托管人不承担资金未能及时到账所造成的损失。</w:t>
      </w:r>
    </w:p>
    <w:p w14:paraId="28EB01C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6.3.2</w:t>
      </w:r>
      <w:r>
        <w:rPr>
          <w:rFonts w:hint="eastAsia" w:asciiTheme="minorEastAsia" w:hAnsiTheme="minorEastAsia" w:eastAsiaTheme="minorEastAsia"/>
          <w:b/>
          <w:bCs/>
          <w:szCs w:val="24"/>
        </w:rPr>
        <w:t>基金托管人根据本协议相关约定仅履行表面一致形式审核职责，对指令的真实性不承担责任。</w:t>
      </w:r>
      <w:r>
        <w:rPr>
          <w:rFonts w:hint="eastAsia" w:asciiTheme="minorEastAsia" w:hAnsiTheme="minorEastAsia" w:eastAsiaTheme="minorEastAsia"/>
          <w:szCs w:val="24"/>
        </w:rPr>
        <w:t>如果基金管理人的指令存在事实上未经授权、欺诈、伪造、变造或未能及时提供授权通知等情形，基金托管人不承担因执行有关指令或拒绝执行有关指令而给基金管理人或基金财产或任何第三方带来的损失，</w:t>
      </w:r>
      <w:r>
        <w:rPr>
          <w:rFonts w:asciiTheme="minorEastAsia" w:hAnsiTheme="minorEastAsia" w:eastAsiaTheme="minorEastAsia"/>
          <w:szCs w:val="24"/>
        </w:rPr>
        <w:t>相应</w:t>
      </w:r>
      <w:r>
        <w:rPr>
          <w:rFonts w:hint="eastAsia" w:asciiTheme="minorEastAsia" w:hAnsiTheme="minorEastAsia" w:eastAsiaTheme="minorEastAsia"/>
          <w:szCs w:val="24"/>
        </w:rPr>
        <w:t>责任由基金管理人承担，基金托管人由此遭受的损失，由基金管理人负责赔偿，但基金托管人未按协议约定尽形式审核义务执行指令而造成损失的情形除外。</w:t>
      </w:r>
    </w:p>
    <w:p w14:paraId="6995023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6.3.3基金托管人不负责审查基金管理人发送指令同时提交的其他文件资料的合法性、真实性、完整性和有效性，基金管理人应保证上述文件资料合法、真实、完整和有效。</w:t>
      </w:r>
    </w:p>
    <w:p w14:paraId="07AB354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443A14C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6.3.5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0EE9B53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6.4基金管理人发送错误指令的情形和处理程序</w:t>
      </w:r>
    </w:p>
    <w:p w14:paraId="2F40A5F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6.4.1基金管理人发送错误指令的情形包括指令违反相关法律法规或基金合同、指令发送人员无权或超越权限发送指令及交割信息错误，指令中重要信息模糊不清或不全等。</w:t>
      </w:r>
    </w:p>
    <w:p w14:paraId="41D5ADD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6.4.2基金托管人在履行监督职能时，发现基金管理人的指令错误时，有权视情况暂缓或拒绝执行，并及时通知基金管理人改正。</w:t>
      </w:r>
    </w:p>
    <w:p w14:paraId="554CD0E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6.5基金托管人依照法律法规暂缓、拒绝执行指令的情形和处理程序</w:t>
      </w:r>
    </w:p>
    <w:p w14:paraId="3DB45E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基金托管人发现基金管理人发送的指令违反《基金法》、基金合同、本协议或有关基金法规的有关规定，有权视情况暂缓执行或不予执行，并应及时以书面形式通知基金管理人纠正，基金托管人不承担</w:t>
      </w:r>
      <w:r>
        <w:rPr>
          <w:rFonts w:asciiTheme="minorEastAsia" w:hAnsiTheme="minorEastAsia" w:eastAsiaTheme="minorEastAsia"/>
          <w:szCs w:val="24"/>
        </w:rPr>
        <w:t>相应</w:t>
      </w:r>
      <w:r>
        <w:rPr>
          <w:rFonts w:hint="eastAsia" w:asciiTheme="minorEastAsia" w:hAnsiTheme="minorEastAsia" w:eastAsiaTheme="minorEastAsia"/>
          <w:szCs w:val="24"/>
        </w:rPr>
        <w:t>损失和责任。对基金管理人更正并重新发送后的指令经基金托管人核对确认后方能执行。</w:t>
      </w:r>
    </w:p>
    <w:p w14:paraId="5B2C8F5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6.6基金托管人未按照基金管理人指令执行的处理方法</w:t>
      </w:r>
    </w:p>
    <w:p w14:paraId="2441ED2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由于自身过错原因造成未按照或者未及时按照基金管理人发送的符合法律法规规定以及基金合同、本协议约定的指令执行，给基金份额持有人、基金管理人或基金财产造成损失的，应承担相应的责任，但如遇到不可抗力的情况除外。</w:t>
      </w:r>
    </w:p>
    <w:p w14:paraId="1C65B26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6.7更换被授权人的程序</w:t>
      </w:r>
    </w:p>
    <w:p w14:paraId="04CB8585">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基金托管人与基金管理人确认之后，变更通知于变更通知中载明的生效日期生效。如变更通知中载明的生效日期早于基金托管人与基金管理人确认的时间，则以基金托管人与基金管理人确认的时间为变更通知生效日期；如变更通知中载明的生效日期晚于基金托管人与基金管理人确认的时间，则以变更通知中载明的日期为变更通知生效日期。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262A460C">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CA8C102">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29" w:name="_Toc44321706"/>
      <w:r>
        <w:rPr>
          <w:rFonts w:hint="eastAsia" w:asciiTheme="minorEastAsia" w:hAnsiTheme="minorEastAsia" w:eastAsiaTheme="minorEastAsia"/>
          <w:bCs/>
          <w:color w:val="auto"/>
          <w:szCs w:val="24"/>
        </w:rPr>
        <w:t>第七条 交易及清算交收安排</w:t>
      </w:r>
      <w:bookmarkEnd w:id="29"/>
    </w:p>
    <w:p w14:paraId="5641E10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7.1选择代理证券、期货买卖的证券、期货经纪机构</w:t>
      </w:r>
    </w:p>
    <w:p w14:paraId="26C064A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7.1.1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过程中的职责和义务。</w:t>
      </w:r>
    </w:p>
    <w:p w14:paraId="4522EFE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7.1.2基金管理人应及时将本基金财产的佣金费率等基本信息以及变更情况以书面形式通知基金托管人，以便基金托管人估值核算使用。</w:t>
      </w:r>
    </w:p>
    <w:p w14:paraId="0E4DDEE7">
      <w:pPr>
        <w:pStyle w:val="5"/>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7.1.3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B5CE01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7.2清算与交割</w:t>
      </w:r>
    </w:p>
    <w:p w14:paraId="06FE57B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7.2.1基金投资证券后的清算交收安排</w:t>
      </w:r>
    </w:p>
    <w:p w14:paraId="2E8A812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本基金通过证券经纪机构进行的交易由证券经纪机构作为结算参与人代理本基金进行结算；本基金其它证券交易由基金托管人或相关机构负责结算。</w:t>
      </w:r>
    </w:p>
    <w:p w14:paraId="72161B9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7.2.2证券交易所证券资金结算</w:t>
      </w:r>
    </w:p>
    <w:p w14:paraId="213156A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基金托管人、基金管理人应共同遵守中登公司制定的相关业务规则和规定，该等规则和规定自动成为本条款约定内容。</w:t>
      </w:r>
    </w:p>
    <w:p w14:paraId="3CC2A37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基金管理人在投资前，应充分知晓与理解中登公司针对各类交易品种制定的结算业务规则和规定。</w:t>
      </w:r>
    </w:p>
    <w:p w14:paraId="64EAAEC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证券经纪机构代理本基金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032AA36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对于任何原因发生的证券资金交收违约事件，相关各方应当及时协商解决。</w:t>
      </w:r>
    </w:p>
    <w:p w14:paraId="392EF33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w:t>
      </w:r>
      <w:r>
        <w:rPr>
          <w:rFonts w:asciiTheme="minorEastAsia" w:hAnsiTheme="minorEastAsia" w:eastAsiaTheme="minorEastAsia"/>
          <w:szCs w:val="24"/>
        </w:rPr>
        <w:t>3</w:t>
      </w:r>
      <w:r>
        <w:rPr>
          <w:rFonts w:hint="eastAsia" w:asciiTheme="minorEastAsia" w:hAnsiTheme="minorEastAsia" w:eastAsiaTheme="minorEastAsia"/>
          <w:szCs w:val="24"/>
        </w:rPr>
        <w:t>场外交易资金结算</w:t>
      </w:r>
    </w:p>
    <w:p w14:paraId="0B49347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场外资金对外投资划款由基金托管人凭基金管理人符合本托管协议约定的有效资金划拨指令和相关投资合同（如有）进行资金划拨；场外投资本金及收益的划回，由管理人负责协调相关资金划拨回产品托管户事宜。</w:t>
      </w:r>
    </w:p>
    <w:p w14:paraId="5195EC3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7.3资金、证券账目及交易记录的核对</w:t>
      </w:r>
    </w:p>
    <w:p w14:paraId="757AB29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7.3.1基金管理人与基金托管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6B0D502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7.3.2对基金的资金账目，由相关各方每日对账一次，确保相关各方账账相符。对基金证券账目，由相关各方每日进行对账。对实物券账目，每月月末由相关各方进行账实核对。对交易记录，由相关各方每日对账一次。</w:t>
      </w:r>
    </w:p>
    <w:p w14:paraId="2D44B5B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7.4申购、赎回、转换开放式基金的资金清算、数据传递及基金管理人、基金托管人的责任</w:t>
      </w:r>
    </w:p>
    <w:p w14:paraId="7DB1597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7.4.1基金管理人和基金托管人在基金的申购赎回、转换中的责任</w:t>
      </w:r>
    </w:p>
    <w:p w14:paraId="7FAE89A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14:paraId="23C5819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7.4.2基金的数据传递</w:t>
      </w:r>
    </w:p>
    <w:p w14:paraId="3AE287F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基金管理人应保证本基金（或本基金管理人委托）的登记机构于每个开放日15：00之前将本基金的申购、赎回、转换的数据传送给基金托管人。基金管理人应对传递的数据的真实性、准确性和完整性负责。</w:t>
      </w:r>
    </w:p>
    <w:p w14:paraId="2BE950D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登记机构应通过与基金管理人建立的系统发送有关数据，如因各种原因，该系统无法正常发送，双方可协商解决处理方式。</w:t>
      </w:r>
    </w:p>
    <w:p w14:paraId="6E46B34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7.4.3基金的资金清算</w:t>
      </w:r>
    </w:p>
    <w:p w14:paraId="13A2AB7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基金托管专户与“基金清算账户”间的资金结算遵循“全额清算、净额交收”的原则，每日按照托管专户应收资金与应付资金的差额来确定托管专户净应收额或净应付额，以此确定资金交收额。</w:t>
      </w:r>
    </w:p>
    <w:p w14:paraId="64846B6B">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如果当日基金为净应收款，基金托管人应及时查收资金是否到账，对于未准时到账的资金，基金托管人应及时通知基金管理人划付。如果当日基金为净应付款，基金托管人应根据基金管理人的指令进行划付，对于未准时划付的资金，基金管理人应及时通知基金托管人划付。因基金托管专户没有足够的资金，导致基金托管人不能按时拨付，基金托管人应及时通知基金管理人。</w:t>
      </w:r>
    </w:p>
    <w:p w14:paraId="6B27F1D0">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5468E630">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30" w:name="_Toc296551344"/>
      <w:bookmarkStart w:id="31" w:name="_Toc44321707"/>
      <w:r>
        <w:rPr>
          <w:rFonts w:hint="eastAsia" w:asciiTheme="minorEastAsia" w:hAnsiTheme="minorEastAsia" w:eastAsiaTheme="minorEastAsia"/>
          <w:bCs/>
          <w:color w:val="auto"/>
          <w:szCs w:val="24"/>
        </w:rPr>
        <w:t>第八条 基金净值计算和会计核算</w:t>
      </w:r>
      <w:bookmarkEnd w:id="30"/>
      <w:bookmarkEnd w:id="31"/>
    </w:p>
    <w:p w14:paraId="0CE7AD3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8.1基金净值的计算、复核的时间和程序</w:t>
      </w:r>
    </w:p>
    <w:p w14:paraId="5A81866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8.1.1基金资产净值是指基金资产总值减去基金负债后的价值。基金份额净值是按照每个</w:t>
      </w:r>
      <w:r>
        <w:rPr>
          <w:rFonts w:asciiTheme="minorEastAsia" w:hAnsiTheme="minorEastAsia" w:eastAsiaTheme="minorEastAsia"/>
          <w:szCs w:val="24"/>
        </w:rPr>
        <w:t>工作</w:t>
      </w:r>
      <w:r>
        <w:rPr>
          <w:rFonts w:hint="eastAsia" w:asciiTheme="minorEastAsia" w:hAnsiTheme="minorEastAsia" w:eastAsiaTheme="minorEastAsia"/>
          <w:szCs w:val="24"/>
        </w:rPr>
        <w:t>日闭市后，基金资产净值除以当日基金份额的余额数量计算，精确到0.0001元，小数点后第5位四舍五入。基金管理人可以设立大额赎回情形下的净值精度应急调整机制。国家另有规定的，从其规定。</w:t>
      </w:r>
    </w:p>
    <w:p w14:paraId="39A12C1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8.1.2基金管理人应每个工作日对基金资产估值，但基金管理人根据法律法规或基金合同的规定暂停估值时除外。估值原则应符合基金合同、《证券投资基金会计核算业务指引》及其他法律、法规的规定。基金资产净值、基金份额净值和基金份额累计净值由基金管理人负责计算，基金托管人复核。基金管理人应于每个工作日交易结束后计算当日的基金净值并以双方认可的方式发送给基金托管人。基金托管人对净值计算结果复核后以双方认可的方式发送给基金管理人</w:t>
      </w:r>
      <w:r>
        <w:rPr>
          <w:rFonts w:asciiTheme="minorEastAsia" w:hAnsiTheme="minorEastAsia" w:eastAsiaTheme="minorEastAsia"/>
          <w:szCs w:val="24"/>
        </w:rPr>
        <w:t>。在</w:t>
      </w:r>
      <w:r>
        <w:rPr>
          <w:rFonts w:asciiTheme="minorEastAsia" w:hAnsiTheme="minorEastAsia" w:eastAsiaTheme="minorEastAsia"/>
          <w:bCs/>
          <w:szCs w:val="24"/>
        </w:rPr>
        <w:t>开始办理基金份额申购或者赎回后</w:t>
      </w:r>
      <w:r>
        <w:rPr>
          <w:rFonts w:asciiTheme="minorEastAsia" w:hAnsiTheme="minorEastAsia" w:eastAsiaTheme="minorEastAsia"/>
          <w:szCs w:val="24"/>
        </w:rPr>
        <w:t>，</w:t>
      </w:r>
      <w:r>
        <w:rPr>
          <w:rFonts w:hint="eastAsia" w:asciiTheme="minorEastAsia" w:hAnsiTheme="minorEastAsia" w:eastAsiaTheme="minorEastAsia"/>
          <w:szCs w:val="24"/>
        </w:rPr>
        <w:t>基金管理人在不晚于每个开放日的次日，通过</w:t>
      </w:r>
      <w:r>
        <w:rPr>
          <w:rFonts w:hint="eastAsia" w:asciiTheme="minorEastAsia" w:hAnsiTheme="minorEastAsia" w:eastAsiaTheme="minorEastAsia"/>
          <w:bCs/>
          <w:szCs w:val="24"/>
        </w:rPr>
        <w:t>规定</w:t>
      </w:r>
      <w:r>
        <w:rPr>
          <w:rFonts w:asciiTheme="minorEastAsia" w:hAnsiTheme="minorEastAsia" w:eastAsiaTheme="minorEastAsia"/>
          <w:szCs w:val="24"/>
        </w:rPr>
        <w:t>网站、</w:t>
      </w:r>
      <w:r>
        <w:rPr>
          <w:rFonts w:hint="eastAsia" w:asciiTheme="minorEastAsia" w:hAnsiTheme="minorEastAsia" w:eastAsiaTheme="minorEastAsia"/>
          <w:szCs w:val="24"/>
        </w:rPr>
        <w:t>基金销售机构网站或者营业网点披露开放日的</w:t>
      </w:r>
      <w:r>
        <w:rPr>
          <w:rFonts w:hint="eastAsia" w:asciiTheme="minorEastAsia" w:hAnsiTheme="minorEastAsia" w:eastAsiaTheme="minorEastAsia"/>
          <w:bCs/>
          <w:szCs w:val="24"/>
        </w:rPr>
        <w:t>各类</w:t>
      </w:r>
      <w:r>
        <w:rPr>
          <w:rFonts w:hint="eastAsia" w:asciiTheme="minorEastAsia" w:hAnsiTheme="minorEastAsia" w:eastAsiaTheme="minorEastAsia"/>
          <w:szCs w:val="24"/>
        </w:rPr>
        <w:t>基金份额净值</w:t>
      </w:r>
      <w:r>
        <w:rPr>
          <w:rFonts w:asciiTheme="minorEastAsia" w:hAnsiTheme="minorEastAsia" w:eastAsiaTheme="minorEastAsia"/>
          <w:szCs w:val="24"/>
        </w:rPr>
        <w:t>和</w:t>
      </w:r>
      <w:r>
        <w:rPr>
          <w:rFonts w:hint="eastAsia" w:asciiTheme="minorEastAsia" w:hAnsiTheme="minorEastAsia" w:eastAsiaTheme="minorEastAsia"/>
          <w:bCs/>
          <w:szCs w:val="24"/>
        </w:rPr>
        <w:t>各类</w:t>
      </w:r>
      <w:r>
        <w:rPr>
          <w:rFonts w:asciiTheme="minorEastAsia" w:hAnsiTheme="minorEastAsia" w:eastAsiaTheme="minorEastAsia"/>
          <w:szCs w:val="24"/>
        </w:rPr>
        <w:t>基金份额累计净值</w:t>
      </w:r>
      <w:r>
        <w:rPr>
          <w:rFonts w:hint="eastAsia" w:asciiTheme="minorEastAsia" w:hAnsiTheme="minorEastAsia" w:eastAsiaTheme="minorEastAsia"/>
          <w:szCs w:val="24"/>
        </w:rPr>
        <w:t>，并在不晚于半年度和年度最后一日的次日，在规定网站披露半年度和年度最后一日的各类基金</w:t>
      </w:r>
      <w:r>
        <w:rPr>
          <w:rFonts w:hint="eastAsia" w:asciiTheme="minorEastAsia" w:hAnsiTheme="minorEastAsia" w:eastAsiaTheme="minorEastAsia"/>
          <w:bCs/>
          <w:szCs w:val="24"/>
        </w:rPr>
        <w:t>份额净值和各类基金份额累计</w:t>
      </w:r>
      <w:r>
        <w:rPr>
          <w:rFonts w:hint="eastAsia" w:asciiTheme="minorEastAsia" w:hAnsiTheme="minorEastAsia" w:eastAsiaTheme="minorEastAsia"/>
          <w:szCs w:val="24"/>
        </w:rPr>
        <w:t>净值。</w:t>
      </w:r>
    </w:p>
    <w:p w14:paraId="52D3EDD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8.2基金资产估值方法</w:t>
      </w:r>
    </w:p>
    <w:p w14:paraId="25722DE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8.2.1估值对象</w:t>
      </w:r>
    </w:p>
    <w:p w14:paraId="42CD1CA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基金所拥有的股票、债券、股指期货合约、国债期货合约、股票期权合约、资产支持证券和银行存款本息、应收款项、其它投资等资产及负债。</w:t>
      </w:r>
    </w:p>
    <w:p w14:paraId="0E4F105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8.2.2估值方法</w:t>
      </w:r>
    </w:p>
    <w:p w14:paraId="4A9D39D4">
      <w:pPr>
        <w:pStyle w:val="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1、证券交易所上市的有价证券的估值</w:t>
      </w:r>
    </w:p>
    <w:p w14:paraId="028EFE4B">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0E04200">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（2）交易所上市交易或挂牌转让的不含权固定收益品种，选取估值日第三方估值机构提供的相应品种当日的估值净价进行估值，具体估值机构由基金管理人与基金托管人另行协商约定；</w:t>
      </w:r>
    </w:p>
    <w:p w14:paraId="1229AA51">
      <w:pPr>
        <w:pStyle w:val="5"/>
        <w:adjustRightInd w:val="0"/>
        <w:snapToGrid w:val="0"/>
        <w:spacing w:line="360" w:lineRule="auto"/>
        <w:ind w:left="0" w:firstLine="480" w:firstLineChars="200"/>
        <w:rPr>
          <w:rFonts w:hAnsi="宋体"/>
          <w:bCs/>
        </w:rPr>
      </w:pPr>
      <w:r>
        <w:rPr>
          <w:rFonts w:hint="eastAsia" w:asciiTheme="minorEastAsia" w:hAnsiTheme="minorEastAsia" w:eastAsiaTheme="minorEastAsia"/>
          <w:szCs w:val="24"/>
        </w:rPr>
        <w:t>（3）交易所上市交易或挂牌转让的含权固定收益品种，选取估值日第三方估值机构提供的相应品种当日的唯一估值</w:t>
      </w:r>
      <w:r>
        <w:rPr>
          <w:rFonts w:hAnsi="宋体"/>
          <w:bCs/>
        </w:rPr>
        <w:t>净价或推荐估值净价进行估值；</w:t>
      </w:r>
    </w:p>
    <w:p w14:paraId="64BA9763">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4A2D0837">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（5）交易所上市不存在活跃市场的有价证券，采用估值技术确定公允价值。交易所市场挂牌转让的资产支持证券，主要采用第三方机构（此处指中证指数有限公司）提供的估值价格和估值技术；</w:t>
      </w:r>
    </w:p>
    <w:p w14:paraId="3F2F3E3A">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8E6B6DC">
      <w:pPr>
        <w:spacing w:line="360" w:lineRule="auto"/>
        <w:ind w:firstLine="480" w:firstLineChars="200"/>
        <w:rPr>
          <w:rFonts w:ascii="宋体" w:hAnsi="宋体"/>
          <w:sz w:val="24"/>
        </w:rPr>
      </w:pPr>
      <w:r>
        <w:rPr>
          <w:rFonts w:ascii="宋体" w:hAnsi="宋体"/>
          <w:sz w:val="24"/>
        </w:rPr>
        <w:t>2</w:t>
      </w:r>
      <w:r>
        <w:rPr>
          <w:rFonts w:hint="eastAsia" w:ascii="宋体" w:hAnsi="宋体"/>
          <w:sz w:val="24"/>
        </w:rPr>
        <w:t>、处于未上市期间的有价证券应区分如下情况处理：</w:t>
      </w:r>
    </w:p>
    <w:p w14:paraId="401B1BC5">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）送股、转增股、配股和公开增发的新股，按估值日在证券交易所挂牌的同一股票的估值方法估值；该日无交易的，以最近一日的市价（收盘价）估值；</w:t>
      </w:r>
    </w:p>
    <w:p w14:paraId="11F5219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）首次公开发行未上市的股票、债券，采用估值技术确定公允价值，在估值技术难以可靠计量公允价值的情况下，按成本估值。</w:t>
      </w:r>
    </w:p>
    <w:p w14:paraId="1B2BD521">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bCs/>
          <w:sz w:val="24"/>
        </w:rPr>
        <w:t>在</w:t>
      </w:r>
      <w:r>
        <w:rPr>
          <w:rFonts w:hint="eastAsia" w:ascii="宋体" w:hAnsi="宋体"/>
          <w:sz w:val="24"/>
        </w:rPr>
        <w:t>发行时明确一定期限限售期的股票</w:t>
      </w:r>
      <w:r>
        <w:rPr>
          <w:rFonts w:ascii="宋体" w:hAnsi="宋体"/>
          <w:bCs/>
          <w:sz w:val="24"/>
        </w:rPr>
        <w:t>，</w:t>
      </w:r>
      <w:r>
        <w:rPr>
          <w:rFonts w:hint="eastAsia" w:ascii="宋体" w:hAnsi="宋体"/>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hint="eastAsia" w:ascii="宋体" w:hAnsi="宋体"/>
          <w:sz w:val="24"/>
        </w:rPr>
        <w:t>按监管机构或行业协会有关规定确定公允价值。</w:t>
      </w:r>
    </w:p>
    <w:p w14:paraId="6AED8346">
      <w:pPr>
        <w:spacing w:line="360" w:lineRule="auto"/>
        <w:ind w:firstLine="480" w:firstLineChars="20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hint="eastAsia" w:ascii="宋体" w:hAnsi="宋体"/>
          <w:sz w:val="24"/>
        </w:rPr>
        <w:t>回售登记期截止日（含当日）后未行使回售权的按照长待偿期所对应的价格进行估值</w:t>
      </w:r>
      <w:r>
        <w:rPr>
          <w:rFonts w:ascii="宋体" w:hAnsi="宋体"/>
          <w:bCs/>
          <w:sz w:val="24"/>
        </w:rPr>
        <w:t>。</w:t>
      </w:r>
      <w:r>
        <w:rPr>
          <w:rFonts w:hint="eastAsia" w:ascii="宋体" w:hAnsi="宋体"/>
          <w:bCs/>
          <w:sz w:val="24"/>
        </w:rPr>
        <w:t>对银行间市场未上市，且第三方估值机构未提供估值价格的债券，采用估值技术确定公允价值。</w:t>
      </w:r>
    </w:p>
    <w:p w14:paraId="628FA441">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w:t>
      </w:r>
      <w:r>
        <w:rPr>
          <w:rFonts w:hint="eastAsia" w:ascii="宋体" w:hAnsi="宋体"/>
          <w:sz w:val="24"/>
        </w:rPr>
        <w:t>同一</w:t>
      </w:r>
      <w:r>
        <w:rPr>
          <w:rFonts w:hint="eastAsia" w:ascii="宋体" w:hAnsi="宋体"/>
          <w:bCs/>
          <w:sz w:val="24"/>
        </w:rPr>
        <w:t>证券</w:t>
      </w:r>
      <w:r>
        <w:rPr>
          <w:rFonts w:hint="eastAsia" w:ascii="宋体" w:hAnsi="宋体"/>
          <w:sz w:val="24"/>
        </w:rPr>
        <w:t>同时在两个或两个以上市场交易的，按</w:t>
      </w:r>
      <w:r>
        <w:rPr>
          <w:rFonts w:hint="eastAsia" w:ascii="宋体" w:hAnsi="宋体"/>
          <w:bCs/>
          <w:sz w:val="24"/>
        </w:rPr>
        <w:t>证券</w:t>
      </w:r>
      <w:r>
        <w:rPr>
          <w:rFonts w:hint="eastAsia" w:ascii="宋体" w:hAnsi="宋体"/>
          <w:sz w:val="24"/>
        </w:rPr>
        <w:t>所处的市场分别估值。</w:t>
      </w:r>
    </w:p>
    <w:p w14:paraId="47A918D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、本基金持有的回购以成本列示，按合同利率在回购期间内逐日计提应收或应付利息。</w:t>
      </w:r>
    </w:p>
    <w:p w14:paraId="4DEA5FE6">
      <w:pPr>
        <w:spacing w:line="360" w:lineRule="auto"/>
        <w:ind w:firstLine="480" w:firstLineChars="200"/>
        <w:rPr>
          <w:rFonts w:ascii="宋体" w:hAnsi="宋体"/>
          <w:bCs/>
          <w:sz w:val="24"/>
        </w:rPr>
      </w:pPr>
      <w:r>
        <w:rPr>
          <w:rFonts w:ascii="宋体" w:hAnsi="宋体"/>
          <w:bCs/>
          <w:sz w:val="24"/>
        </w:rPr>
        <w:t>6</w:t>
      </w:r>
      <w:r>
        <w:rPr>
          <w:rFonts w:hint="eastAsia" w:ascii="宋体" w:hAnsi="宋体"/>
          <w:bCs/>
          <w:sz w:val="24"/>
        </w:rPr>
        <w:t>、本基金持有的银行存款和备付金余额以本金列示，按相应利率逐日计提利息。</w:t>
      </w:r>
    </w:p>
    <w:p w14:paraId="445142E0">
      <w:pPr>
        <w:spacing w:line="360" w:lineRule="auto"/>
        <w:ind w:firstLine="480" w:firstLineChars="200"/>
        <w:rPr>
          <w:rFonts w:ascii="宋体" w:hAnsi="宋体"/>
          <w:bCs/>
          <w:sz w:val="24"/>
        </w:rPr>
      </w:pPr>
      <w:r>
        <w:rPr>
          <w:rFonts w:ascii="宋体" w:hAnsi="宋体"/>
          <w:bCs/>
          <w:sz w:val="24"/>
        </w:rPr>
        <w:t>7</w:t>
      </w:r>
      <w:r>
        <w:rPr>
          <w:rFonts w:hint="eastAsia" w:ascii="宋体" w:hAnsi="宋体"/>
          <w:bCs/>
          <w:sz w:val="24"/>
        </w:rPr>
        <w:t>、本基金投资股指期货合约、股票期权合约和国债期货合约，一般以估值当日结算价进行估值，估值当日无结算价的，且最近交易日后经济环境未发生重大变化的，采用最近交易日结算价估值。</w:t>
      </w:r>
    </w:p>
    <w:p w14:paraId="3FD6CCEB">
      <w:pPr>
        <w:spacing w:line="360" w:lineRule="auto"/>
        <w:ind w:firstLine="480" w:firstLineChars="200"/>
        <w:rPr>
          <w:rFonts w:ascii="宋体" w:hAnsi="宋体"/>
          <w:bCs/>
          <w:sz w:val="24"/>
        </w:rPr>
      </w:pPr>
      <w:r>
        <w:rPr>
          <w:rFonts w:hint="eastAsia" w:ascii="宋体" w:hAnsi="宋体"/>
          <w:bCs/>
          <w:sz w:val="24"/>
        </w:rPr>
        <w:t>8、本基金投资同业存单，采用估值日第三方估值机构提供的估值价格数据进行估值。</w:t>
      </w:r>
    </w:p>
    <w:p w14:paraId="4D2D9F73">
      <w:pPr>
        <w:spacing w:line="360" w:lineRule="auto"/>
        <w:ind w:firstLine="480" w:firstLineChars="200"/>
        <w:rPr>
          <w:rFonts w:ascii="宋体" w:hAnsi="宋体"/>
          <w:bCs/>
          <w:sz w:val="24"/>
        </w:rPr>
      </w:pPr>
      <w:r>
        <w:rPr>
          <w:rFonts w:ascii="宋体" w:hAnsi="宋体"/>
          <w:bCs/>
          <w:sz w:val="24"/>
        </w:rPr>
        <w:t>9</w:t>
      </w:r>
      <w:r>
        <w:rPr>
          <w:rFonts w:hint="eastAsia" w:ascii="宋体" w:hAnsi="宋体"/>
          <w:bCs/>
          <w:sz w:val="24"/>
        </w:rPr>
        <w:t>、汇率</w:t>
      </w:r>
    </w:p>
    <w:p w14:paraId="5D8FAFAC">
      <w:pPr>
        <w:spacing w:line="360" w:lineRule="auto"/>
        <w:ind w:firstLine="480" w:firstLineChars="200"/>
        <w:rPr>
          <w:rFonts w:ascii="宋体" w:hAnsi="宋体"/>
          <w:bCs/>
          <w:sz w:val="24"/>
        </w:rPr>
      </w:pPr>
      <w:r>
        <w:rPr>
          <w:rFonts w:hint="eastAsia" w:ascii="宋体" w:hAnsi="宋体"/>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3C6533C3">
      <w:pPr>
        <w:spacing w:line="360" w:lineRule="auto"/>
        <w:ind w:firstLine="480" w:firstLineChars="200"/>
        <w:rPr>
          <w:rFonts w:ascii="宋体" w:hAnsi="宋体"/>
          <w:bCs/>
          <w:sz w:val="24"/>
        </w:rPr>
      </w:pPr>
      <w:r>
        <w:rPr>
          <w:rFonts w:hint="eastAsia" w:ascii="宋体" w:hAnsi="宋体"/>
          <w:bCs/>
          <w:sz w:val="24"/>
        </w:rPr>
        <w:t>10、本基金投资存托凭证的估值核算，依照境内上市交易的股票执行。</w:t>
      </w:r>
    </w:p>
    <w:p w14:paraId="22696BE4">
      <w:pPr>
        <w:spacing w:line="360" w:lineRule="auto"/>
        <w:ind w:firstLine="480" w:firstLineChars="200"/>
        <w:rPr>
          <w:rFonts w:ascii="宋体" w:hAnsi="宋体"/>
          <w:bCs/>
          <w:sz w:val="24"/>
        </w:rPr>
      </w:pPr>
      <w:r>
        <w:rPr>
          <w:rFonts w:hint="eastAsia" w:ascii="宋体" w:hAnsi="宋体"/>
          <w:bCs/>
          <w:sz w:val="24"/>
        </w:rPr>
        <w:t>11、本基金参与融资业务的，按照相关法律法规、监管部门和行业协会的相关规定进行估值。</w:t>
      </w:r>
    </w:p>
    <w:p w14:paraId="0150F306">
      <w:pPr>
        <w:spacing w:line="360" w:lineRule="auto"/>
        <w:ind w:firstLine="480" w:firstLineChars="200"/>
        <w:rPr>
          <w:rFonts w:ascii="宋体" w:hAnsi="宋体"/>
        </w:rPr>
      </w:pPr>
      <w:r>
        <w:rPr>
          <w:rFonts w:ascii="宋体" w:hAnsi="宋体"/>
          <w:bCs/>
          <w:sz w:val="24"/>
        </w:rPr>
        <w:t>1</w:t>
      </w:r>
      <w:r>
        <w:rPr>
          <w:rFonts w:hint="eastAsia" w:ascii="宋体" w:hAnsi="宋体"/>
          <w:bCs/>
          <w:sz w:val="24"/>
        </w:rPr>
        <w:t>2</w:t>
      </w:r>
      <w:r>
        <w:rPr>
          <w:rFonts w:hint="eastAsia" w:ascii="宋体" w:hAnsi="宋体"/>
          <w:sz w:val="24"/>
        </w:rPr>
        <w:t>、如有确凿证据表明按上述方法进行估值不能客观反映其公允价值的，基金管理人可根据具体情况与基金托管人商定后，按最能反映公允价值的价格估值。</w:t>
      </w:r>
    </w:p>
    <w:p w14:paraId="236E0BE5">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3</w:t>
      </w:r>
      <w:r>
        <w:rPr>
          <w:rFonts w:ascii="宋体" w:hAnsi="宋体"/>
          <w:bCs/>
          <w:sz w:val="24"/>
        </w:rPr>
        <w:t>、当发生大额申购或赎回情形时，基金管理人可以采用摆动定价机制，以确保基金估值的公平性。</w:t>
      </w:r>
    </w:p>
    <w:p w14:paraId="3BE367FF">
      <w:pPr>
        <w:spacing w:line="360" w:lineRule="auto"/>
        <w:ind w:firstLine="480" w:firstLineChars="200"/>
        <w:rPr>
          <w:rFonts w:asciiTheme="minorEastAsia" w:hAnsiTheme="minorEastAsia" w:eastAsiaTheme="minorEastAsia"/>
          <w:bCs/>
          <w:sz w:val="24"/>
          <w:szCs w:val="24"/>
        </w:rPr>
      </w:pPr>
      <w:r>
        <w:rPr>
          <w:rFonts w:ascii="宋体" w:hAnsi="宋体"/>
          <w:bCs/>
          <w:sz w:val="24"/>
        </w:rPr>
        <w:t>1</w:t>
      </w:r>
      <w:r>
        <w:rPr>
          <w:rFonts w:hint="eastAsia" w:ascii="宋体" w:hAnsi="宋体"/>
          <w:bCs/>
          <w:sz w:val="24"/>
        </w:rPr>
        <w:t>4</w:t>
      </w:r>
      <w:r>
        <w:rPr>
          <w:rFonts w:hint="eastAsia" w:ascii="宋体" w:hAnsi="宋体"/>
          <w:sz w:val="24"/>
        </w:rPr>
        <w:t>、相关法律法规以及监管部门有强制规定的，从其规定。如有新增事项，按国家最新规定估值。</w:t>
      </w:r>
    </w:p>
    <w:p w14:paraId="23ABF1F0">
      <w:pPr>
        <w:adjustRightInd w:val="0"/>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9F47F3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bCs/>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rFonts w:hint="eastAsia" w:asciiTheme="minorEastAsia" w:hAnsiTheme="minorEastAsia" w:eastAsiaTheme="minorEastAsia"/>
          <w:szCs w:val="24"/>
        </w:rPr>
        <w:t>。</w:t>
      </w:r>
    </w:p>
    <w:p w14:paraId="7428CED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8.3估值差错处理</w:t>
      </w:r>
    </w:p>
    <w:p w14:paraId="2CB4F4A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8.3.1基金管理人及基金托管人应当按照《基金合同》的约定处理份额净值错误。</w:t>
      </w:r>
    </w:p>
    <w:p w14:paraId="5FEEAAD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8.3.2当基金管理人计算的基金净值已由基金托管人复核确认后公告的，由此造成的投资人或基金的损失，应根据法律法规的规定对投资人或基金支付赔偿金，就实际向投资人或基金支付的赔偿金额，由基金管理人与基金托管人按照过错</w:t>
      </w:r>
      <w:r>
        <w:rPr>
          <w:rFonts w:asciiTheme="minorEastAsia" w:hAnsiTheme="minorEastAsia" w:eastAsiaTheme="minorEastAsia"/>
          <w:szCs w:val="24"/>
        </w:rPr>
        <w:t>程度</w:t>
      </w:r>
      <w:r>
        <w:rPr>
          <w:rFonts w:hint="eastAsia" w:asciiTheme="minorEastAsia" w:hAnsiTheme="minorEastAsia" w:eastAsiaTheme="minorEastAsia"/>
          <w:szCs w:val="24"/>
        </w:rPr>
        <w:t>各自承担相应的责任。</w:t>
      </w:r>
    </w:p>
    <w:p w14:paraId="5DDD1D4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8.3.3由于一方当事人提供的信息错误，另一方当事人在采取了必要合理的措施后仍不能发现该错误</w:t>
      </w:r>
      <w:r>
        <w:rPr>
          <w:rFonts w:hint="eastAsia"/>
          <w:bCs/>
        </w:rPr>
        <w:t>或未能避免错误发生或虽发现错误但因前述原因无法及时更正</w:t>
      </w:r>
      <w:r>
        <w:rPr>
          <w:rFonts w:hint="eastAsia" w:asciiTheme="minorEastAsia" w:hAnsiTheme="minorEastAsia" w:eastAsiaTheme="minorEastAsia"/>
          <w:szCs w:val="24"/>
        </w:rPr>
        <w:t>，进而导致基金净值计算错误造成投资人或基金的损失，以及由此造成以后交易日基金净值计算顺延错误而引起的投资人或基金的损失，由提供错误信息的当事人一方负责赔偿。</w:t>
      </w:r>
    </w:p>
    <w:p w14:paraId="6C21AD7A">
      <w:pPr>
        <w:pStyle w:val="5"/>
        <w:adjustRightInd w:val="0"/>
        <w:snapToGrid w:val="0"/>
        <w:spacing w:before="0" w:after="0" w:line="520" w:lineRule="atLeast"/>
        <w:ind w:left="0" w:firstLine="480" w:firstLineChars="200"/>
        <w:rPr>
          <w:rFonts w:asciiTheme="minorEastAsia" w:hAnsiTheme="minorEastAsia" w:eastAsiaTheme="minorEastAsia"/>
          <w:b/>
          <w:bCs/>
          <w:szCs w:val="24"/>
        </w:rPr>
      </w:pPr>
      <w:r>
        <w:rPr>
          <w:rFonts w:hint="eastAsia" w:asciiTheme="minorEastAsia" w:hAnsiTheme="minorEastAsia" w:eastAsiaTheme="minorEastAsia"/>
          <w:szCs w:val="24"/>
        </w:rPr>
        <w:t>8.3.</w:t>
      </w:r>
      <w:r>
        <w:rPr>
          <w:rFonts w:asciiTheme="minorEastAsia" w:hAnsiTheme="minorEastAsia" w:eastAsiaTheme="minorEastAsia"/>
          <w:szCs w:val="24"/>
        </w:rPr>
        <w:t>4</w:t>
      </w:r>
      <w:r>
        <w:rPr>
          <w:rFonts w:hint="eastAsia" w:asciiTheme="minorEastAsia" w:hAnsiTheme="minorEastAsia" w:eastAsiaTheme="minorEastAsia"/>
          <w:szCs w:val="24"/>
        </w:rPr>
        <w:t>当基金管理人计算的基金净值与基金托管人的计算结果不一致时，相关各方应本着勤勉尽责的态度重新计算核对，</w:t>
      </w:r>
      <w:r>
        <w:rPr>
          <w:rFonts w:hint="eastAsia" w:asciiTheme="minorEastAsia" w:hAnsiTheme="minorEastAsia" w:eastAsiaTheme="minorEastAsia"/>
          <w:b/>
          <w:bCs/>
          <w:szCs w:val="24"/>
        </w:rPr>
        <w:t>如果最后仍无法达成一致，应以基金管理人的计算结果为准对外公布，由此造成的损失由基金管理人承担赔偿责任，基金托管人不负赔偿责任。</w:t>
      </w:r>
    </w:p>
    <w:p w14:paraId="50F08F8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w:t>
      </w:r>
      <w:r>
        <w:rPr>
          <w:rFonts w:asciiTheme="minorEastAsia" w:hAnsiTheme="minorEastAsia" w:eastAsiaTheme="minorEastAsia"/>
          <w:szCs w:val="24"/>
        </w:rPr>
        <w:t>5</w:t>
      </w:r>
      <w:r>
        <w:rPr>
          <w:rFonts w:hint="eastAsia" w:asciiTheme="minorEastAsia" w:hAnsiTheme="minorEastAsia" w:eastAsiaTheme="minorEastAsia"/>
          <w:szCs w:val="24"/>
        </w:rPr>
        <w:t>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14:paraId="3F4CBA5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8.4基金账册的建立</w:t>
      </w:r>
    </w:p>
    <w:p w14:paraId="283B8EF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7475893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48ACA13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8.5基金定期报告的编制和复核</w:t>
      </w:r>
    </w:p>
    <w:p w14:paraId="0753FF1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8.5.1基金财务报告由基金管理人编制，基金托管人复核。月度报告的编制，应于每月终了后5个工作日内完成。</w:t>
      </w:r>
    </w:p>
    <w:p w14:paraId="322A320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8.5.2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3E58803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14:paraId="1A1F4ADD">
      <w:pPr>
        <w:pStyle w:val="5"/>
        <w:adjustRightInd w:val="0"/>
        <w:snapToGrid w:val="0"/>
        <w:spacing w:before="0" w:after="0" w:line="520" w:lineRule="atLeast"/>
        <w:ind w:left="0" w:firstLine="480" w:firstLineChars="200"/>
        <w:rPr>
          <w:rFonts w:asciiTheme="minorEastAsia" w:hAnsiTheme="minorEastAsia" w:eastAsiaTheme="minorEastAsia"/>
          <w:szCs w:val="24"/>
        </w:rPr>
      </w:pPr>
      <w:bookmarkStart w:id="32" w:name="_DV_C270"/>
      <w:r>
        <w:rPr>
          <w:rFonts w:hint="eastAsia" w:asciiTheme="minorEastAsia" w:hAnsiTheme="minorEastAsia" w:eastAsiaTheme="minorEastAsia"/>
          <w:szCs w:val="24"/>
        </w:rPr>
        <w:t>8.5.4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32"/>
      <w:r>
        <w:rPr>
          <w:rFonts w:hint="eastAsia" w:asciiTheme="minorEastAsia" w:hAnsiTheme="minorEastAsia" w:eastAsiaTheme="minorEastAsia"/>
          <w:szCs w:val="24"/>
        </w:rPr>
        <w:t>复核。基金托管人在复核过程中，发现双方的数据、信息存在不符时，基金管理人和基金托管人应共同查明原因，进行调整，调整以国家有关规定为准。</w:t>
      </w:r>
    </w:p>
    <w:p w14:paraId="6C0F99D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8.5.5基金托管人在对财务会计报告、季度、中期报告或年度报告复核完毕后，需盖章确认或出具相应的复核确认书，以备有权机构对相关文件审核时提示。</w:t>
      </w:r>
    </w:p>
    <w:p w14:paraId="4F17272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8.6暂停估值的情形</w:t>
      </w:r>
    </w:p>
    <w:p w14:paraId="50500DC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（1）基金投资所涉及的证券、期货交易市场</w:t>
      </w:r>
      <w:r>
        <w:rPr>
          <w:rFonts w:asciiTheme="minorEastAsia" w:hAnsiTheme="minorEastAsia" w:eastAsiaTheme="minorEastAsia"/>
          <w:szCs w:val="24"/>
        </w:rPr>
        <w:t>或</w:t>
      </w:r>
      <w:r>
        <w:rPr>
          <w:rFonts w:hint="eastAsia" w:asciiTheme="minorEastAsia" w:hAnsiTheme="minorEastAsia" w:eastAsiaTheme="minorEastAsia"/>
          <w:szCs w:val="24"/>
        </w:rPr>
        <w:t>外汇市场遇法定节假日或因其他原因暂停营业时；</w:t>
      </w:r>
    </w:p>
    <w:p w14:paraId="53CDC3E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（2）因不可抗力致使基金管理人、基金托管人无法准确评估基金资产价值时；</w:t>
      </w:r>
    </w:p>
    <w:p w14:paraId="3BFD6E32">
      <w:pPr>
        <w:pStyle w:val="5"/>
        <w:adjustRightInd w:val="0"/>
        <w:snapToGrid w:val="0"/>
        <w:spacing w:before="0" w:after="0" w:line="520" w:lineRule="atLeast"/>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（3）当特定资产占前一估值日基金资产净值50%以上的，经与基金托管人协商确认后，基金管理人应当暂停估值；</w:t>
      </w:r>
    </w:p>
    <w:p w14:paraId="585ED87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（4）法律法规、中国证监会规定和基金合同认定的其他情形。</w:t>
      </w:r>
    </w:p>
    <w:p w14:paraId="0C78BF5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8.7特殊情况的处理</w:t>
      </w:r>
      <w:r>
        <w:rPr>
          <w:rFonts w:hint="eastAsia" w:cs="Calibri" w:asciiTheme="minorEastAsia" w:hAnsiTheme="minorEastAsia" w:eastAsiaTheme="minorEastAsia"/>
          <w:szCs w:val="24"/>
        </w:rPr>
        <w:t> </w:t>
      </w:r>
    </w:p>
    <w:p w14:paraId="660B1F3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（1）基金管理人或基金托管人按估值方法的第1</w:t>
      </w:r>
      <w:r>
        <w:rPr>
          <w:rFonts w:asciiTheme="minorEastAsia" w:hAnsiTheme="minorEastAsia" w:eastAsiaTheme="minorEastAsia"/>
          <w:szCs w:val="24"/>
        </w:rPr>
        <w:t>2项</w:t>
      </w:r>
      <w:r>
        <w:rPr>
          <w:rFonts w:hint="eastAsia" w:asciiTheme="minorEastAsia" w:hAnsiTheme="minorEastAsia" w:eastAsiaTheme="minorEastAsia"/>
          <w:szCs w:val="24"/>
        </w:rPr>
        <w:t>进行估值时，所造成的误差不作为基金资产估值错误处理。</w:t>
      </w:r>
      <w:r>
        <w:rPr>
          <w:rFonts w:hint="eastAsia" w:cs="Calibri" w:asciiTheme="minorEastAsia" w:hAnsiTheme="minorEastAsia" w:eastAsiaTheme="minorEastAsia"/>
          <w:szCs w:val="24"/>
        </w:rPr>
        <w:t> </w:t>
      </w:r>
    </w:p>
    <w:p w14:paraId="2D3ACB54">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w:t>
      </w:r>
      <w:r>
        <w:rPr>
          <w:rFonts w:hint="eastAsia"/>
          <w:bCs/>
        </w:rPr>
        <w:t>或未能避免错误发生或虽发现错误但因前述原因无法及时更正</w:t>
      </w:r>
      <w:r>
        <w:rPr>
          <w:rFonts w:hint="eastAsia" w:asciiTheme="minorEastAsia" w:hAnsiTheme="minorEastAsia" w:eastAsiaTheme="minorEastAsia"/>
          <w:szCs w:val="24"/>
        </w:rPr>
        <w:t>的，由此造成的基金资产估值错误，基金管理人和基金托管人免除赔偿责任。但基金管理人、基金托管人应当积极采取必要的措施减轻或消除由此造成的影响。</w:t>
      </w:r>
    </w:p>
    <w:p w14:paraId="7FCC17A1">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B7D6FD6">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33" w:name="_Toc296551345"/>
      <w:bookmarkStart w:id="34" w:name="_Toc44321708"/>
      <w:r>
        <w:rPr>
          <w:rFonts w:hint="eastAsia" w:asciiTheme="minorEastAsia" w:hAnsiTheme="minorEastAsia" w:eastAsiaTheme="minorEastAsia"/>
          <w:bCs/>
          <w:color w:val="auto"/>
          <w:szCs w:val="24"/>
        </w:rPr>
        <w:t>第九条 基金收益分配</w:t>
      </w:r>
      <w:bookmarkEnd w:id="33"/>
      <w:bookmarkEnd w:id="34"/>
    </w:p>
    <w:p w14:paraId="198DE93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9.1基金利润的构成</w:t>
      </w:r>
    </w:p>
    <w:p w14:paraId="67D0411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基金利润指基金利息收入、投资收益、公允价值变动收益和其他收入扣除相关费用后的余额</w:t>
      </w:r>
      <w:r>
        <w:rPr>
          <w:rFonts w:asciiTheme="minorEastAsia" w:hAnsiTheme="minorEastAsia" w:eastAsiaTheme="minorEastAsia"/>
          <w:szCs w:val="24"/>
        </w:rPr>
        <w:t>，</w:t>
      </w:r>
      <w:r>
        <w:rPr>
          <w:rFonts w:hint="eastAsia" w:asciiTheme="minorEastAsia" w:hAnsiTheme="minorEastAsia" w:eastAsiaTheme="minorEastAsia"/>
          <w:szCs w:val="24"/>
        </w:rPr>
        <w:t>基金已实现收益指基金利润减去公允价值变动收益后的余额。</w:t>
      </w:r>
    </w:p>
    <w:p w14:paraId="54A0CC5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9.2基金可供分配利润</w:t>
      </w:r>
    </w:p>
    <w:p w14:paraId="5DE9C57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基金可供分配利润指截至收益分配基准日基金未分配利润与未分配利润中已实现收益的孰低数。</w:t>
      </w:r>
    </w:p>
    <w:p w14:paraId="5C89FA1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9.3收益分配原则</w:t>
      </w:r>
    </w:p>
    <w:p w14:paraId="39B27159">
      <w:pPr>
        <w:adjustRightInd w:val="0"/>
        <w:snapToGrid w:val="0"/>
        <w:spacing w:line="520" w:lineRule="atLeast"/>
        <w:ind w:firstLine="540" w:firstLineChars="225"/>
        <w:rPr>
          <w:rFonts w:asciiTheme="minorEastAsia" w:hAnsiTheme="minorEastAsia" w:eastAsiaTheme="minorEastAsia"/>
          <w:sz w:val="24"/>
          <w:szCs w:val="24"/>
        </w:rPr>
      </w:pPr>
      <w:r>
        <w:rPr>
          <w:rFonts w:hint="eastAsia" w:asciiTheme="minorEastAsia" w:hAnsiTheme="minorEastAsia" w:eastAsiaTheme="minorEastAsia"/>
          <w:bCs/>
          <w:sz w:val="24"/>
          <w:szCs w:val="24"/>
        </w:rPr>
        <w:t>（1）在符合有关基金分红条件的前提下，本基金管理人可以根据实际情况进行收益分配，具体分配方案以公告为准，若《基金合同》生效不满3个月可不进行收益分配</w:t>
      </w:r>
      <w:r>
        <w:rPr>
          <w:rFonts w:hint="eastAsia" w:asciiTheme="minorEastAsia" w:hAnsiTheme="minorEastAsia" w:eastAsiaTheme="minorEastAsia"/>
          <w:sz w:val="24"/>
          <w:szCs w:val="24"/>
        </w:rPr>
        <w:t>；</w:t>
      </w:r>
    </w:p>
    <w:p w14:paraId="4E410F2B">
      <w:pPr>
        <w:adjustRightInd w:val="0"/>
        <w:snapToGrid w:val="0"/>
        <w:spacing w:line="520" w:lineRule="atLeast"/>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（2）本基金收益分配方式分两种：现金分红与红利再投资，投资者可选择现金红利或将现金红利自动转为相应类别的基金份额进行再投资；若投资者不选择，本基金默认的收益分配方式是现金分红；</w:t>
      </w:r>
    </w:p>
    <w:p w14:paraId="71863C5B">
      <w:pPr>
        <w:adjustRightInd w:val="0"/>
        <w:snapToGrid w:val="0"/>
        <w:spacing w:line="520" w:lineRule="atLeast"/>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（3）基金收益分配后各类基金份额净值不能低于面值；即基金收益分配基准日的各类基金份额净值减去每单位基金份额收益分配金额后不能低于面值；</w:t>
      </w:r>
    </w:p>
    <w:p w14:paraId="6F3508CE">
      <w:pPr>
        <w:adjustRightInd w:val="0"/>
        <w:snapToGrid w:val="0"/>
        <w:spacing w:line="520" w:lineRule="atLeast"/>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（4）由于本基金A类基金份额不收取销售服务费，C类基金份额收取销售服务费，各基金份额类别对应的可分配收益将有所不同。本基金同一基金份额类别的每一基金份额享有同等分配权；</w:t>
      </w:r>
    </w:p>
    <w:p w14:paraId="7A69218D">
      <w:pPr>
        <w:adjustRightInd w:val="0"/>
        <w:snapToGrid w:val="0"/>
        <w:spacing w:line="520" w:lineRule="atLeast"/>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（5）法律法规或监管机关另有规定的，从其规定。</w:t>
      </w:r>
    </w:p>
    <w:p w14:paraId="08D0115C">
      <w:pPr>
        <w:adjustRightInd w:val="0"/>
        <w:snapToGrid w:val="0"/>
        <w:spacing w:line="520" w:lineRule="atLeast"/>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3C3EB44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9.4收益分配方案</w:t>
      </w:r>
    </w:p>
    <w:p w14:paraId="23EC2D5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基金收益分配方案中应载明截止收益分配基准日的可供分配利润、基金收益分配对象、分配时间、分配数额及比例、分配方式等内容。</w:t>
      </w:r>
    </w:p>
    <w:p w14:paraId="076E0D8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9.5收益分配的时间和程序</w:t>
      </w:r>
    </w:p>
    <w:p w14:paraId="79CA9AE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9.5.1本基金收益分配方案由基金管理人拟定，并由基金托管人复核，按照《信息披露办法》有关规定在规定媒介公告</w:t>
      </w:r>
    </w:p>
    <w:p w14:paraId="737814B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14:paraId="6EDF54B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9.5.3法律法规或监管机关另有规定的，从其规定。</w:t>
      </w:r>
    </w:p>
    <w:p w14:paraId="0E06709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9.6基金收益分配中发生的费用</w:t>
      </w:r>
    </w:p>
    <w:p w14:paraId="53641E9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asciiTheme="minorEastAsia" w:hAnsiTheme="minorEastAsia" w:eastAsiaTheme="minorEastAsia"/>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6A14DAA">
      <w:pPr>
        <w:pStyle w:val="5"/>
        <w:adjustRightInd w:val="0"/>
        <w:snapToGrid w:val="0"/>
        <w:spacing w:before="0" w:after="0" w:line="520" w:lineRule="atLeast"/>
        <w:ind w:left="0" w:firstLine="480" w:firstLineChars="200"/>
        <w:rPr>
          <w:rFonts w:asciiTheme="minorEastAsia" w:hAnsiTheme="minorEastAsia" w:eastAsiaTheme="minorEastAsia"/>
          <w:szCs w:val="24"/>
        </w:rPr>
      </w:pPr>
    </w:p>
    <w:p w14:paraId="1F4CE5B7">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35" w:name="_Toc296551346"/>
      <w:bookmarkStart w:id="36" w:name="_Toc44321709"/>
      <w:r>
        <w:rPr>
          <w:rFonts w:hint="eastAsia" w:asciiTheme="minorEastAsia" w:hAnsiTheme="minorEastAsia" w:eastAsiaTheme="minorEastAsia"/>
          <w:bCs/>
          <w:color w:val="auto"/>
          <w:szCs w:val="24"/>
        </w:rPr>
        <w:t>第十条 信息披露</w:t>
      </w:r>
      <w:bookmarkEnd w:id="35"/>
      <w:bookmarkEnd w:id="36"/>
    </w:p>
    <w:p w14:paraId="44B55D6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10.1保密义务</w:t>
      </w:r>
    </w:p>
    <w:p w14:paraId="0847E23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24F230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（1）非因基金管理人和基金托管人的原因导致保密信息被披露、泄露或公开；</w:t>
      </w:r>
    </w:p>
    <w:p w14:paraId="4C70314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（2）基金管理人和基金托管人为遵守和服从法院判决或裁定、仲裁裁决或中国证监会等监管机构的命令、决定所做出的信息披露或公开。</w:t>
      </w:r>
    </w:p>
    <w:p w14:paraId="2F0C6B5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（3）基金管理人和基金托管人在要求保密的前提下对自身聘请的外部法律顾问、财务顾问、审计人员、技术顾问等做出的必要信息披露。</w:t>
      </w:r>
    </w:p>
    <w:p w14:paraId="1D93A8E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10.2基金管理人和基金托管人在信息披露中的职责和信息披露程序</w:t>
      </w:r>
    </w:p>
    <w:p w14:paraId="6D1BA2C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433E60D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10.2.2本基金信息披露的文件主要包括基金招募说明书、基金产品资料概要、基金合同、基金托管协议、基金份额发售公告、基金合同生效公告、基金净值信息、基金份额申购赎回价格、基金定期报告（包括基金年度报告、基金中期报告和基金季度报告）、临时报告、澄清公告、基金份额持有人大会决议、实施侧袋机制期间的信息披露、基金投资股指期货的信息披露、基金投资资产支持证券的信息披露、基金投资国债期货的信息披露、基金参与融资业务的信息披露、投资流通受限证券信息披露、基金参与股票期权交易的信息披露、基金参与港股通标的股票（包括沪港通股票及深港通股票）投资的信息披露、清算报告以及中国证监会规定的其他信息。</w:t>
      </w:r>
    </w:p>
    <w:p w14:paraId="521E52DF">
      <w:pPr>
        <w:pStyle w:val="5"/>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10.2.3基金募集申请经中国证监会注册后，基金管理人应当在基金份额发售的三日前，将基金份额发售公告、基金招募说明书提示性公告和基金合同提示性公告登载在</w:t>
      </w:r>
      <w:r>
        <w:rPr>
          <w:rFonts w:asciiTheme="minorEastAsia" w:hAnsiTheme="minorEastAsia" w:eastAsiaTheme="minorEastAsia"/>
          <w:szCs w:val="24"/>
        </w:rPr>
        <w:t>规定</w:t>
      </w:r>
      <w:r>
        <w:rPr>
          <w:rFonts w:hint="eastAsia" w:asciiTheme="minorEastAsia" w:hAnsiTheme="minorEastAsia" w:eastAsiaTheme="minorEastAsia"/>
          <w:szCs w:val="24"/>
        </w:rPr>
        <w:t>报刊上，将基金份额发售公告、基金招募说明书、基金产品资料概要、基金合同和基金托管协议登载在规定网站上，</w:t>
      </w:r>
      <w:r>
        <w:rPr>
          <w:rFonts w:hint="eastAsia" w:asciiTheme="minorEastAsia" w:hAnsiTheme="minorEastAsia" w:eastAsiaTheme="minorEastAsia"/>
          <w:bCs/>
          <w:szCs w:val="24"/>
        </w:rPr>
        <w:t>并将基金产品资料概要登载在基金销售机构网站或营业网点上</w:t>
      </w:r>
      <w:r>
        <w:rPr>
          <w:rFonts w:hint="eastAsia" w:asciiTheme="minorEastAsia" w:hAnsiTheme="minorEastAsia" w:eastAsiaTheme="minorEastAsia"/>
          <w:szCs w:val="24"/>
        </w:rPr>
        <w:t>；基金托管人应当同时将基金合同、基金托管协议登载在规定网站上。</w:t>
      </w:r>
    </w:p>
    <w:p w14:paraId="2BF8DE7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10.2.4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出具书面或者电子确认。</w:t>
      </w:r>
    </w:p>
    <w:p w14:paraId="0794985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10.2.5基金年度报告中的财务报告部分，经符合《中华人民共和国证券法》规定的会计师事务所审计后，方可披露。</w:t>
      </w:r>
    </w:p>
    <w:p w14:paraId="70A11AE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10.2.6基金管理人应当在中国证监会规定的时间内，将应予披露的基金信息通过</w:t>
      </w:r>
      <w:r>
        <w:rPr>
          <w:rFonts w:asciiTheme="minorEastAsia" w:hAnsiTheme="minorEastAsia" w:eastAsiaTheme="minorEastAsia"/>
          <w:szCs w:val="24"/>
        </w:rPr>
        <w:t>规</w:t>
      </w:r>
      <w:r>
        <w:rPr>
          <w:rFonts w:hint="eastAsia" w:asciiTheme="minorEastAsia" w:hAnsiTheme="minorEastAsia" w:eastAsiaTheme="minorEastAsia"/>
          <w:szCs w:val="24"/>
        </w:rPr>
        <w:t>定媒介披露。根据法律法规应由基金托管人公开披露的信息，基金托管人将通过</w:t>
      </w:r>
      <w:r>
        <w:rPr>
          <w:rFonts w:asciiTheme="minorEastAsia" w:hAnsiTheme="minorEastAsia" w:eastAsiaTheme="minorEastAsia"/>
          <w:szCs w:val="24"/>
        </w:rPr>
        <w:t>规</w:t>
      </w:r>
      <w:r>
        <w:rPr>
          <w:rFonts w:hint="eastAsia" w:asciiTheme="minorEastAsia" w:hAnsiTheme="minorEastAsia" w:eastAsiaTheme="minorEastAsia"/>
          <w:szCs w:val="24"/>
        </w:rPr>
        <w:t>定媒介公开披露。</w:t>
      </w:r>
    </w:p>
    <w:p w14:paraId="7C35F82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10.2.7予以披露的信息文本，存放在基金管理人和基金托管人处，投资人可以免费查阅。在支付工本费后可在合理时间获得上述文件的复制件或复印件。基金管理人和基金托管人应保证文本的内容与所公告的内容完全一致。</w:t>
      </w:r>
    </w:p>
    <w:p w14:paraId="42CFF9A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10.3暂停或延迟信息披露的情形</w:t>
      </w:r>
    </w:p>
    <w:p w14:paraId="0E5DEE4C">
      <w:pPr>
        <w:pStyle w:val="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（1）不可抗力；</w:t>
      </w:r>
    </w:p>
    <w:p w14:paraId="41870095">
      <w:pPr>
        <w:pStyle w:val="5"/>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（2）基金投资所涉及的证券、期货交易市场或外汇市场遇法定节假日或因其他原因暂停营业时；</w:t>
      </w:r>
    </w:p>
    <w:p w14:paraId="3F5B8315">
      <w:pPr>
        <w:pStyle w:val="5"/>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（3）基金合同约定的暂停估值的情形；</w:t>
      </w:r>
    </w:p>
    <w:p w14:paraId="38BED26C">
      <w:pPr>
        <w:pStyle w:val="5"/>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（4）法律法规、基金合同或中国证监会规定的情况。</w:t>
      </w:r>
    </w:p>
    <w:p w14:paraId="54FF592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10.4基金托管人报告</w:t>
      </w:r>
    </w:p>
    <w:p w14:paraId="385B13DF">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托管人应按《基金法》、《运作办法》、《信息披露办法》和其他有关法律法规的规定于每个上半年度结束后两个月内、每个会计年度结束后三个月内在基金中期报告及年度报告中分别出具基金托管人报告，并提交给基金管理人。</w:t>
      </w:r>
    </w:p>
    <w:p w14:paraId="41CBF47D">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62649D2">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37" w:name="_Toc296551347"/>
      <w:bookmarkStart w:id="38" w:name="_Toc44321710"/>
      <w:r>
        <w:rPr>
          <w:rFonts w:hint="eastAsia" w:asciiTheme="minorEastAsia" w:hAnsiTheme="minorEastAsia" w:eastAsiaTheme="minorEastAsia"/>
          <w:bCs/>
          <w:color w:val="auto"/>
          <w:szCs w:val="24"/>
        </w:rPr>
        <w:t>第十一条 基金费用</w:t>
      </w:r>
      <w:bookmarkEnd w:id="37"/>
      <w:bookmarkEnd w:id="38"/>
    </w:p>
    <w:p w14:paraId="1BFCE83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11.1基金管理费的计提比例和计提方法</w:t>
      </w:r>
    </w:p>
    <w:p w14:paraId="398AFC9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本基金的管理费按前一日基金资产净值的1.20%年费率计提。管理费的计算方法如下：</w:t>
      </w:r>
    </w:p>
    <w:p w14:paraId="69203BE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H＝E×1.20%÷当年天数</w:t>
      </w:r>
    </w:p>
    <w:p w14:paraId="2276EFB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H为每日应计提的基金管理费</w:t>
      </w:r>
    </w:p>
    <w:p w14:paraId="2F74378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E为前一日的基金资产净值</w:t>
      </w:r>
    </w:p>
    <w:p w14:paraId="5FD6D9C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基金管理费每日计</w:t>
      </w:r>
      <w:r>
        <w:rPr>
          <w:rFonts w:asciiTheme="minorEastAsia" w:hAnsiTheme="minorEastAsia" w:eastAsiaTheme="minorEastAsia"/>
          <w:szCs w:val="24"/>
        </w:rPr>
        <w:t>提</w:t>
      </w:r>
      <w:r>
        <w:rPr>
          <w:rFonts w:hint="eastAsia" w:asciiTheme="minorEastAsia" w:hAnsiTheme="minorEastAsia" w:eastAsiaTheme="minorEastAsia"/>
          <w:szCs w:val="24"/>
        </w:rPr>
        <w:t>，逐日累计至每月月末，按月支付，由基金管理人与基金托管人核对一致后，基金托管人按照与基金管理人协商一致的方式于次月首日起5个工作日内从基金财产中一次性支付给基金管理人。若遇法定节假日、休息日或不可抗力致使无法按时支付的，支付日期顺延。</w:t>
      </w:r>
    </w:p>
    <w:p w14:paraId="5959718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11.2基金托管费的计提比例和计提方法</w:t>
      </w:r>
    </w:p>
    <w:p w14:paraId="275908B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本基金的托管费按前一日基金资产净值的0.20%的年费率计提。托管费的计算方法如下：</w:t>
      </w:r>
    </w:p>
    <w:p w14:paraId="4D558B1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H＝E×0.20%÷当年天数</w:t>
      </w:r>
    </w:p>
    <w:p w14:paraId="116701B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H为每日应计提的基金托管费</w:t>
      </w:r>
    </w:p>
    <w:p w14:paraId="6BFD73B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E为前一日的基金资产净值</w:t>
      </w:r>
    </w:p>
    <w:p w14:paraId="649881A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基金托管费每日计</w:t>
      </w:r>
      <w:r>
        <w:rPr>
          <w:rFonts w:asciiTheme="minorEastAsia" w:hAnsiTheme="minorEastAsia" w:eastAsiaTheme="minorEastAsia"/>
          <w:szCs w:val="24"/>
        </w:rPr>
        <w:t>提</w:t>
      </w:r>
      <w:r>
        <w:rPr>
          <w:rFonts w:hint="eastAsia" w:asciiTheme="minorEastAsia" w:hAnsiTheme="minorEastAsia" w:eastAsiaTheme="minorEastAsia"/>
          <w:szCs w:val="24"/>
        </w:rPr>
        <w:t>，逐日累计至每月月末，按月支付，由基金管理人与基金托管人核对一致后，基金托管人按照与基金管理人协商一致的方式于次月</w:t>
      </w:r>
      <w:r>
        <w:rPr>
          <w:rFonts w:asciiTheme="minorEastAsia" w:hAnsiTheme="minorEastAsia" w:eastAsiaTheme="minorEastAsia"/>
          <w:szCs w:val="24"/>
        </w:rPr>
        <w:t>首日起</w:t>
      </w:r>
      <w:r>
        <w:rPr>
          <w:rFonts w:hint="eastAsia" w:asciiTheme="minorEastAsia" w:hAnsiTheme="minorEastAsia" w:eastAsiaTheme="minorEastAsia"/>
          <w:szCs w:val="24"/>
        </w:rPr>
        <w:t>5个工作日内从基金财产中一次性支取。若遇法定节假日、休息日或不可抗力致使无法按时支付的，支付日期顺延。</w:t>
      </w:r>
    </w:p>
    <w:p w14:paraId="68888D5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11.3销售服务费的计提比例和计提方法</w:t>
      </w:r>
    </w:p>
    <w:p w14:paraId="082C908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本基金A类基金份额不收取销售服务费，C类基金份额的销售服务费年费率为0.</w:t>
      </w:r>
      <w:r>
        <w:rPr>
          <w:rFonts w:asciiTheme="minorEastAsia" w:hAnsiTheme="minorEastAsia" w:eastAsiaTheme="minorEastAsia"/>
          <w:szCs w:val="24"/>
        </w:rPr>
        <w:t>40</w:t>
      </w:r>
      <w:r>
        <w:rPr>
          <w:rFonts w:hint="eastAsia" w:asciiTheme="minorEastAsia" w:hAnsiTheme="minorEastAsia" w:eastAsiaTheme="minorEastAsia"/>
          <w:szCs w:val="24"/>
        </w:rPr>
        <w:t xml:space="preserve">%。本基金销售服务费将专门用于本基金的销售与基金份额持有人服务，基金管理人将在基金年度报告中对该项费用的列支情况作专项说明。销售服务费的计算方法如下： </w:t>
      </w:r>
    </w:p>
    <w:p w14:paraId="1421CBE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H＝E×0.40%÷当年天数 </w:t>
      </w:r>
    </w:p>
    <w:p w14:paraId="78363E3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H为C类基金份额每日应计提的销售服务费 </w:t>
      </w:r>
    </w:p>
    <w:p w14:paraId="5CEB5CB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E为C类基金份额前一日基金资产净值 </w:t>
      </w:r>
    </w:p>
    <w:p w14:paraId="4112CE7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销售服务费每日计提，逐日累计至每月月末，按月支付。由基金管理人与基金托管人核对一致后，基金托管人按照与基金管理人协商一致的方式于次月首日起5个工作日内从基金财产中一次性支付给登记机构，由登记机构代付给销售机构。若遇法定节假日、休息日或不可抗力致使无法按时支付的，支付日期顺延。</w:t>
      </w:r>
    </w:p>
    <w:p w14:paraId="4071B98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11.4</w:t>
      </w:r>
      <w:r>
        <w:rPr>
          <w:rFonts w:hint="eastAsia" w:asciiTheme="minorEastAsia" w:hAnsiTheme="minorEastAsia" w:eastAsiaTheme="minorEastAsia"/>
          <w:bCs/>
          <w:szCs w:val="24"/>
        </w:rPr>
        <w:t>基金相关的开户费用、账户维护费用</w:t>
      </w:r>
      <w:r>
        <w:rPr>
          <w:rFonts w:hint="eastAsia" w:asciiTheme="minorEastAsia" w:hAnsiTheme="minorEastAsia" w:eastAsiaTheme="minorEastAsia"/>
          <w:szCs w:val="24"/>
        </w:rPr>
        <w:t>、基金的证券、期货、期权交易费用、基金合同生效后与基金相关的信息披露费用、基金份额持有人大会费用、基金合同生效后与基金相关的会计师费、律师费</w:t>
      </w:r>
      <w:r>
        <w:rPr>
          <w:rFonts w:hint="eastAsia" w:asciiTheme="minorEastAsia" w:hAnsiTheme="minorEastAsia" w:eastAsiaTheme="minorEastAsia"/>
          <w:bCs/>
          <w:szCs w:val="24"/>
        </w:rPr>
        <w:t>、仲裁费和诉讼费、基金的银行汇划费用</w:t>
      </w:r>
      <w:r>
        <w:rPr>
          <w:rFonts w:asciiTheme="minorEastAsia" w:hAnsiTheme="minorEastAsia" w:eastAsiaTheme="minorEastAsia"/>
          <w:bCs/>
          <w:szCs w:val="24"/>
        </w:rPr>
        <w:t>、</w:t>
      </w:r>
      <w:r>
        <w:rPr>
          <w:rFonts w:hint="eastAsia" w:asciiTheme="minorEastAsia" w:hAnsiTheme="minorEastAsia" w:eastAsiaTheme="minorEastAsia"/>
          <w:bCs/>
          <w:szCs w:val="24"/>
        </w:rPr>
        <w:t>基金投资港股通标的股票的合理费用</w:t>
      </w:r>
      <w:r>
        <w:rPr>
          <w:rFonts w:hint="eastAsia" w:asciiTheme="minorEastAsia" w:hAnsiTheme="minorEastAsia" w:eastAsiaTheme="minorEastAsia"/>
          <w:szCs w:val="24"/>
        </w:rPr>
        <w:t>等根据有关法律法规、基金合同及相应协议的规定，由基金托管人按基金管理人的划款指令并根据费用实际支出金额支付，列入或摊入当期基金费用。</w:t>
      </w:r>
    </w:p>
    <w:p w14:paraId="3059E5C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11.5不列入基金费用的项目</w:t>
      </w:r>
    </w:p>
    <w:p w14:paraId="129BB39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5FE3CEC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11.6基金管理费、基金托管费和销售服务费的调整</w:t>
      </w:r>
    </w:p>
    <w:p w14:paraId="0365E802">
      <w:pPr>
        <w:adjustRightInd w:val="0"/>
        <w:snapToGrid w:val="0"/>
        <w:spacing w:line="520" w:lineRule="atLeas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在不对基金份额持有人权益产生实质性不利影响的情况下，基金管理人和基金托管人协商一致且在履行适当程序后，可按照基金发展情况，并根据法律法规规定和基金合同约定酌情调整基金管理费率、基金托管费率、销售服务费率等相关费率。</w:t>
      </w:r>
    </w:p>
    <w:p w14:paraId="3363D7B2">
      <w:pPr>
        <w:adjustRightInd w:val="0"/>
        <w:snapToGrid w:val="0"/>
        <w:spacing w:line="520" w:lineRule="atLeas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基金管理人必须于新的费率实施日前依照《信息披露办法》的规定在</w:t>
      </w:r>
      <w:r>
        <w:rPr>
          <w:rFonts w:asciiTheme="minorEastAsia" w:hAnsiTheme="minorEastAsia" w:eastAsiaTheme="minorEastAsia"/>
          <w:bCs/>
          <w:sz w:val="24"/>
          <w:szCs w:val="24"/>
        </w:rPr>
        <w:t>规</w:t>
      </w:r>
      <w:r>
        <w:rPr>
          <w:rFonts w:hint="eastAsia" w:asciiTheme="minorEastAsia" w:hAnsiTheme="minorEastAsia" w:eastAsiaTheme="minorEastAsia"/>
          <w:bCs/>
          <w:sz w:val="24"/>
          <w:szCs w:val="24"/>
        </w:rPr>
        <w:t>定媒介上公告。</w:t>
      </w:r>
    </w:p>
    <w:p w14:paraId="24F13835">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11.7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320BB66C">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1C355793">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39" w:name="_Toc296551348"/>
      <w:bookmarkStart w:id="40" w:name="_Toc44321711"/>
      <w:r>
        <w:rPr>
          <w:rFonts w:hint="eastAsia" w:asciiTheme="minorEastAsia" w:hAnsiTheme="minorEastAsia" w:eastAsiaTheme="minorEastAsia"/>
          <w:bCs/>
          <w:color w:val="auto"/>
          <w:szCs w:val="24"/>
        </w:rPr>
        <w:t>第十二条 基金份额持有人名册的保管</w:t>
      </w:r>
      <w:bookmarkEnd w:id="39"/>
      <w:bookmarkEnd w:id="40"/>
    </w:p>
    <w:p w14:paraId="4D380DD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12.1基金管理人和基金托管人须分别妥善保管基金份额持有人名册，基金份额持有人名册的内容必须包括基金份额持有人的名称和持有的基金份额。</w:t>
      </w:r>
    </w:p>
    <w:p w14:paraId="1686D14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为法律法规规定的最低期限，法律法规或监管规则另有规定的，从其规定。</w:t>
      </w:r>
    </w:p>
    <w:p w14:paraId="4CE39594">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12.3若基金管理人或基金托管人由于自身原因无法妥善保管基金份额持有人名册，应按有关法规规定各自承担相应的责任。</w:t>
      </w:r>
    </w:p>
    <w:p w14:paraId="376F50DB">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551F115A">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41" w:name="_Toc44321712"/>
      <w:bookmarkStart w:id="42" w:name="_Toc296551349"/>
      <w:r>
        <w:rPr>
          <w:rFonts w:hint="eastAsia" w:asciiTheme="minorEastAsia" w:hAnsiTheme="minorEastAsia" w:eastAsiaTheme="minorEastAsia"/>
          <w:bCs/>
          <w:color w:val="auto"/>
          <w:szCs w:val="24"/>
        </w:rPr>
        <w:t>第十三条 基金有关文件和档案的保存</w:t>
      </w:r>
      <w:bookmarkEnd w:id="41"/>
      <w:bookmarkEnd w:id="42"/>
    </w:p>
    <w:p w14:paraId="374186E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13.1基金管理人、基金托管人按各自职责完整保存原始凭证、记账凭证、基金账册、交易记录和重要合同等，保存期限不少于法律法规规定的最低期限，对相关信息负有保密义务，但本协议另有约定或根据有关法律法规规定或有权机关要求披露的除外。其中，基金管理人应保存基金财产管理业务活动的记录、账册、报表和其他相关资料，基金托管人应保存基金托管业务活动的记录、账册、报表和其他相关资料。</w:t>
      </w:r>
    </w:p>
    <w:p w14:paraId="3B44C61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13.2基金管理人签署重大合同文本后，应及时将合同文本正本送达基金托管人处。基金管理人应及时将与本基金账务处理、资金划拨等有关的合同、协议传真给基金托管人。</w:t>
      </w:r>
    </w:p>
    <w:p w14:paraId="4125BA31">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13.3基金管理人或基金托管人变更后，未变更的一方有义务协助接任人接受基金的有关文件。</w:t>
      </w:r>
    </w:p>
    <w:p w14:paraId="78CC8741">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7EEF17D5">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43" w:name="_Toc44321713"/>
      <w:bookmarkStart w:id="44" w:name="_Toc296551350"/>
      <w:r>
        <w:rPr>
          <w:rFonts w:hint="eastAsia" w:asciiTheme="minorEastAsia" w:hAnsiTheme="minorEastAsia" w:eastAsiaTheme="minorEastAsia"/>
          <w:bCs/>
          <w:color w:val="auto"/>
          <w:szCs w:val="24"/>
        </w:rPr>
        <w:t>第十四条 基金管理人和基金托管人的更换</w:t>
      </w:r>
      <w:bookmarkEnd w:id="43"/>
      <w:bookmarkEnd w:id="44"/>
    </w:p>
    <w:p w14:paraId="6235BC5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14.1基金管理人的更换</w:t>
      </w:r>
    </w:p>
    <w:p w14:paraId="7D51A5B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14.1.1基金管理人的更换条件</w:t>
      </w:r>
    </w:p>
    <w:p w14:paraId="16A3B16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有下列情形之一的，基金管理人职责终止：</w:t>
      </w:r>
    </w:p>
    <w:p w14:paraId="202AD42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（1）基金管理人被依法取消基金管理资格；</w:t>
      </w:r>
    </w:p>
    <w:p w14:paraId="465AE92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（2）基金管理人依法解散、被依法撤销或者被依法宣告破产；</w:t>
      </w:r>
    </w:p>
    <w:p w14:paraId="48C01AA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（3）基金管理人被基金份额持有人大会解任；</w:t>
      </w:r>
    </w:p>
    <w:p w14:paraId="58A2750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w:t>
      </w:r>
      <w:r>
        <w:rPr>
          <w:rFonts w:hint="eastAsia" w:asciiTheme="minorEastAsia" w:hAnsiTheme="minorEastAsia" w:eastAsiaTheme="minorEastAsia"/>
          <w:bCs/>
          <w:szCs w:val="24"/>
        </w:rPr>
        <w:t>及中国证监会规定的</w:t>
      </w:r>
      <w:r>
        <w:rPr>
          <w:rFonts w:hint="eastAsia" w:asciiTheme="minorEastAsia" w:hAnsiTheme="minorEastAsia" w:eastAsiaTheme="minorEastAsia"/>
          <w:szCs w:val="24"/>
        </w:rPr>
        <w:t>和基金合同规定的其他情形。</w:t>
      </w:r>
    </w:p>
    <w:p w14:paraId="6083C97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14.1.2基金管理人的更换程序</w:t>
      </w:r>
    </w:p>
    <w:p w14:paraId="613D0AF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更换基金管理人必须依照如下程序进行：</w:t>
      </w:r>
    </w:p>
    <w:p w14:paraId="33501B2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013AF9F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7191E1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 </w:t>
      </w:r>
    </w:p>
    <w:p w14:paraId="18C1582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(4)备案：基金份额持有人大会更换基金管理人的决议须报中国证监会备案；</w:t>
      </w:r>
    </w:p>
    <w:p w14:paraId="0933B65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(5)公告：基金管理人更换后，由基金托管人在更换基金管理人的基金份额持有人大会决议生效后2日内在规定媒介公告。</w:t>
      </w:r>
    </w:p>
    <w:p w14:paraId="1757F82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14:paraId="04CBE50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2C922AF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(8)基金名称变更：基金管理人更换后，如果原任或新任基金管理人要求，应按其要求替换或删除基金名称中与原基金管理人有关的名称字样。</w:t>
      </w:r>
    </w:p>
    <w:p w14:paraId="40E5D40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14.2基金托管人的更换</w:t>
      </w:r>
    </w:p>
    <w:p w14:paraId="145021C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14.2.1基金托管人的更换条件</w:t>
      </w:r>
    </w:p>
    <w:p w14:paraId="5EEC207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有下列情形之一的，基金托管人职责终止：</w:t>
      </w:r>
    </w:p>
    <w:p w14:paraId="0C81BE7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（1）基金托管人被依法取消基金托管资格；</w:t>
      </w:r>
    </w:p>
    <w:p w14:paraId="2CFA3A2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（2）基金托管人依法解散、被依法撤销或者被依法宣</w:t>
      </w:r>
      <w:r>
        <w:rPr>
          <w:rFonts w:asciiTheme="minorEastAsia" w:hAnsiTheme="minorEastAsia" w:eastAsiaTheme="minorEastAsia"/>
          <w:szCs w:val="24"/>
        </w:rPr>
        <w:t>告</w:t>
      </w:r>
      <w:r>
        <w:rPr>
          <w:rFonts w:hint="eastAsia" w:asciiTheme="minorEastAsia" w:hAnsiTheme="minorEastAsia" w:eastAsiaTheme="minorEastAsia"/>
          <w:szCs w:val="24"/>
        </w:rPr>
        <w:t>破产；</w:t>
      </w:r>
    </w:p>
    <w:p w14:paraId="6F1502B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（3）基金托管人被基金份额持有人大会解任；</w:t>
      </w:r>
    </w:p>
    <w:p w14:paraId="6D7A8FF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w:t>
      </w:r>
      <w:r>
        <w:rPr>
          <w:rFonts w:hint="eastAsia" w:asciiTheme="minorEastAsia" w:hAnsiTheme="minorEastAsia" w:eastAsiaTheme="minorEastAsia"/>
          <w:bCs/>
          <w:szCs w:val="24"/>
        </w:rPr>
        <w:t>及中国证监会规定的</w:t>
      </w:r>
      <w:r>
        <w:rPr>
          <w:rFonts w:hint="eastAsia" w:asciiTheme="minorEastAsia" w:hAnsiTheme="minorEastAsia" w:eastAsiaTheme="minorEastAsia"/>
          <w:szCs w:val="24"/>
        </w:rPr>
        <w:t>和基金合同规定的其他情形。</w:t>
      </w:r>
    </w:p>
    <w:p w14:paraId="47683D8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14.2.2基金托管人的更换程序</w:t>
      </w:r>
    </w:p>
    <w:p w14:paraId="298AB75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（1）提名：新任基金托管人由基金管理人或由单独或合计持有10%以上（含10%）基金份额的基金份额持有人提名；</w:t>
      </w:r>
    </w:p>
    <w:p w14:paraId="79836D1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1E6CC1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（3）临时基金托管人：新任基金托管人产生之前，由中国证监会指定临时基金托管人；</w:t>
      </w:r>
    </w:p>
    <w:p w14:paraId="0E3B457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bCs/>
          <w:szCs w:val="24"/>
        </w:rPr>
        <w:t xml:space="preserve">备案：基金份额持有人大会更换基金托管人的决议须报中国证监会备案；   </w:t>
      </w:r>
    </w:p>
    <w:p w14:paraId="16F8BE0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（5）公告：基金托管人更换后，由基金管理人在</w:t>
      </w:r>
      <w:r>
        <w:rPr>
          <w:rFonts w:hint="eastAsia" w:asciiTheme="minorEastAsia" w:hAnsiTheme="minorEastAsia" w:eastAsiaTheme="minorEastAsia"/>
          <w:bCs/>
          <w:szCs w:val="24"/>
        </w:rPr>
        <w:t>更换基金托管人的基金份额持有人大会决议生效后</w:t>
      </w:r>
      <w:r>
        <w:rPr>
          <w:rFonts w:hint="eastAsia" w:asciiTheme="minorEastAsia" w:hAnsiTheme="minorEastAsia" w:eastAsiaTheme="minorEastAsia"/>
          <w:szCs w:val="24"/>
        </w:rPr>
        <w:t>2日内</w:t>
      </w:r>
      <w:r>
        <w:rPr>
          <w:rFonts w:hint="eastAsia" w:asciiTheme="minorEastAsia" w:hAnsiTheme="minorEastAsia" w:eastAsiaTheme="minorEastAsia"/>
          <w:bCs/>
          <w:szCs w:val="24"/>
        </w:rPr>
        <w:t>在规定媒介公告</w:t>
      </w:r>
      <w:r>
        <w:rPr>
          <w:rFonts w:hint="eastAsia" w:asciiTheme="minorEastAsia" w:hAnsiTheme="minorEastAsia" w:eastAsiaTheme="minorEastAsia"/>
          <w:szCs w:val="24"/>
        </w:rPr>
        <w:t>；</w:t>
      </w:r>
    </w:p>
    <w:p w14:paraId="322E6D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60FEBFA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0B9345E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14.3基金管理人与基金托管人同时更换</w:t>
      </w:r>
    </w:p>
    <w:p w14:paraId="58FFD9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14.3.1提名：如果基金管理人和基金托管人同时更换，由单独或合计持有基金总份额10%以上</w:t>
      </w:r>
      <w:r>
        <w:rPr>
          <w:rFonts w:hint="eastAsia" w:asciiTheme="minorEastAsia" w:hAnsiTheme="minorEastAsia" w:eastAsiaTheme="minorEastAsia"/>
          <w:bCs/>
          <w:szCs w:val="24"/>
        </w:rPr>
        <w:t>（含10%）</w:t>
      </w:r>
      <w:r>
        <w:rPr>
          <w:rFonts w:hint="eastAsia" w:asciiTheme="minorEastAsia" w:hAnsiTheme="minorEastAsia" w:eastAsiaTheme="minorEastAsia"/>
          <w:szCs w:val="24"/>
        </w:rPr>
        <w:t>的基金份额持有人提名新的基金管理人和基金托管人。</w:t>
      </w:r>
    </w:p>
    <w:p w14:paraId="31A880F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14.3.2基金管理人和基金托管人的更换分别按上述程序进行。</w:t>
      </w:r>
    </w:p>
    <w:p w14:paraId="30E8863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14.3.3公告：新任基金管理人和新任基金托管人应在更换基金管理人和基金托管人的基金份额持有人大会决议生效后2日内在</w:t>
      </w:r>
      <w:r>
        <w:rPr>
          <w:rFonts w:asciiTheme="minorEastAsia" w:hAnsiTheme="minorEastAsia" w:eastAsiaTheme="minorEastAsia"/>
          <w:szCs w:val="24"/>
        </w:rPr>
        <w:t>规</w:t>
      </w:r>
      <w:r>
        <w:rPr>
          <w:rFonts w:hint="eastAsia" w:asciiTheme="minorEastAsia" w:hAnsiTheme="minorEastAsia" w:eastAsiaTheme="minorEastAsia"/>
          <w:szCs w:val="24"/>
        </w:rPr>
        <w:t>定媒介上联合公告。</w:t>
      </w:r>
    </w:p>
    <w:p w14:paraId="36F25230">
      <w:pPr>
        <w:pStyle w:val="5"/>
        <w:adjustRightInd w:val="0"/>
        <w:snapToGrid w:val="0"/>
        <w:spacing w:before="0" w:after="0" w:line="520" w:lineRule="atLeast"/>
        <w:ind w:left="0" w:firstLine="480" w:firstLineChars="200"/>
        <w:rPr>
          <w:rFonts w:asciiTheme="minorEastAsia" w:hAnsiTheme="minorEastAsia" w:eastAsiaTheme="minorEastAsia"/>
          <w:bCs/>
          <w:szCs w:val="24"/>
        </w:rPr>
      </w:pPr>
      <w:r>
        <w:rPr>
          <w:rFonts w:hint="eastAsia" w:asciiTheme="minorEastAsia" w:hAnsiTheme="minorEastAsia" w:eastAsiaTheme="minorEastAsia"/>
          <w:szCs w:val="24"/>
        </w:rPr>
        <w:t>14.4新任或临时基金管理人</w:t>
      </w:r>
      <w:r>
        <w:rPr>
          <w:rFonts w:hint="eastAsia" w:asciiTheme="minorEastAsia" w:hAnsiTheme="minorEastAsia" w:eastAsiaTheme="minorEastAsia"/>
          <w:bCs/>
          <w:szCs w:val="24"/>
        </w:rPr>
        <w:t>接收</w:t>
      </w:r>
      <w:r>
        <w:rPr>
          <w:rFonts w:hint="eastAsia" w:asciiTheme="minorEastAsia" w:hAnsiTheme="minorEastAsia" w:eastAsiaTheme="minorEastAsia"/>
          <w:szCs w:val="24"/>
        </w:rPr>
        <w:t>基金管理业务或新任或临时基金托管人</w:t>
      </w:r>
      <w:r>
        <w:rPr>
          <w:rFonts w:hint="eastAsia" w:asciiTheme="minorEastAsia" w:hAnsiTheme="minorEastAsia" w:eastAsiaTheme="minorEastAsia"/>
          <w:bCs/>
          <w:szCs w:val="24"/>
        </w:rPr>
        <w:t>接</w:t>
      </w:r>
      <w:r>
        <w:rPr>
          <w:rFonts w:asciiTheme="minorEastAsia" w:hAnsiTheme="minorEastAsia" w:eastAsiaTheme="minorEastAsia"/>
          <w:bCs/>
          <w:szCs w:val="24"/>
        </w:rPr>
        <w:t>收</w:t>
      </w:r>
      <w:r>
        <w:rPr>
          <w:rFonts w:hint="eastAsia" w:asciiTheme="minorEastAsia" w:hAnsiTheme="minorEastAsia" w:eastAsiaTheme="minorEastAsia"/>
          <w:szCs w:val="24"/>
        </w:rPr>
        <w:t>基金财产和基金托管业务前，原基金管理人或原基金托管人应</w:t>
      </w:r>
      <w:r>
        <w:rPr>
          <w:rFonts w:hint="eastAsia" w:asciiTheme="minorEastAsia" w:hAnsiTheme="minorEastAsia" w:eastAsiaTheme="minorEastAsia"/>
          <w:bCs/>
          <w:szCs w:val="24"/>
        </w:rPr>
        <w:t>依据法律法规和基金合同的规定</w:t>
      </w:r>
      <w:r>
        <w:rPr>
          <w:rFonts w:hint="eastAsia" w:asciiTheme="minorEastAsia" w:hAnsiTheme="minorEastAsia" w:eastAsiaTheme="minorEastAsia"/>
          <w:szCs w:val="24"/>
        </w:rPr>
        <w:t>继续履行相关职责，并保证不对基金份额持有人的利益造成损害。</w:t>
      </w:r>
      <w:r>
        <w:rPr>
          <w:rFonts w:hint="eastAsia" w:asciiTheme="minorEastAsia" w:hAnsiTheme="minorEastAsia" w:eastAsiaTheme="minorEastAsia"/>
          <w:bCs/>
          <w:szCs w:val="24"/>
        </w:rPr>
        <w:t>原基金管理人或原基金托管人在继续履行相关职责期间，仍有权按照基金合同的规定收取基金管理费或基金托管费。</w:t>
      </w:r>
    </w:p>
    <w:p w14:paraId="61CAA6FE">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14.5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AB1E28B">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38AAECED">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45" w:name="_Toc44321714"/>
      <w:bookmarkStart w:id="46" w:name="_Toc296551351"/>
      <w:r>
        <w:rPr>
          <w:rFonts w:hint="eastAsia" w:asciiTheme="minorEastAsia" w:hAnsiTheme="minorEastAsia" w:eastAsiaTheme="minorEastAsia"/>
          <w:bCs/>
          <w:color w:val="auto"/>
          <w:szCs w:val="24"/>
        </w:rPr>
        <w:t>第十五条 禁止行为</w:t>
      </w:r>
      <w:bookmarkEnd w:id="45"/>
      <w:bookmarkEnd w:id="46"/>
    </w:p>
    <w:p w14:paraId="5A93368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15.1基金管理人、基金托管人禁止从事的行为，包括但不限于：</w:t>
      </w:r>
    </w:p>
    <w:p w14:paraId="3260030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15.1.1基金管理人、基金托管人将其固有财产或者他人财产混同于基金财产从事证券投资。</w:t>
      </w:r>
    </w:p>
    <w:p w14:paraId="4A80156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15.1.2基金管理人不公平地对待其管理的不同基金财产，基金托管人不公平地对待其托管的不同基金财产。</w:t>
      </w:r>
    </w:p>
    <w:p w14:paraId="1E278FC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15.1.3基金管理人、基金托管人利用基金财产或职务之便为基金份额持有人以外的第三人牟取利益。</w:t>
      </w:r>
    </w:p>
    <w:p w14:paraId="3FE8194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15.1.4基金管理人、基金托管人向基金份额持有人违规承诺收益或者承担损失。</w:t>
      </w:r>
    </w:p>
    <w:p w14:paraId="46E214C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15.1.5基金管理人、基金托管人对他人泄露基金运作和管理过程中任何尚未按法律法规规定的方式公开披露的信息。</w:t>
      </w:r>
    </w:p>
    <w:p w14:paraId="02DD8E8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15.1.6基金管理人在没有充足资金的情况下向基金托管人发出投资指令和赎回、分红资金的划拨指令，或违规向基金托管人发出指令。</w:t>
      </w:r>
    </w:p>
    <w:p w14:paraId="47EAF29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15.1.7基金管理人、基金托管人在行政上、财务上不独立，其高级管理人员和其他从业人员相互兼职。</w:t>
      </w:r>
    </w:p>
    <w:p w14:paraId="7FAC408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15.1.8基金托管人私自动用或处分基金财产，根据基金管理人的合法指令、基金合同或本协议的规定进行处分的除外。</w:t>
      </w:r>
    </w:p>
    <w:p w14:paraId="736831B3">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15.1.9基金财产用于下列投资或者活动：</w:t>
      </w:r>
    </w:p>
    <w:p w14:paraId="2F1C192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（1）承销证券；</w:t>
      </w:r>
    </w:p>
    <w:p w14:paraId="6D9A1FC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bCs/>
          <w:szCs w:val="24"/>
        </w:rPr>
        <w:t>违反规定</w:t>
      </w:r>
      <w:r>
        <w:rPr>
          <w:rFonts w:hint="eastAsia" w:asciiTheme="minorEastAsia" w:hAnsiTheme="minorEastAsia" w:eastAsiaTheme="minorEastAsia"/>
          <w:szCs w:val="24"/>
        </w:rPr>
        <w:t>向他人贷款或者提供担保；</w:t>
      </w:r>
    </w:p>
    <w:p w14:paraId="5F6E57B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（3）从事承担无限责任的投资；</w:t>
      </w:r>
    </w:p>
    <w:p w14:paraId="4F9CCAE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（4）买卖其他基金份额，但是中国证监会另有规定的除外；</w:t>
      </w:r>
    </w:p>
    <w:p w14:paraId="12228DD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（5）向其基金管理人、基金托管人出资；</w:t>
      </w:r>
    </w:p>
    <w:p w14:paraId="3F9BA64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（6）从事内幕交易、操纵证券交易价格及其他不正当的证券交易活动；</w:t>
      </w:r>
    </w:p>
    <w:p w14:paraId="0CDE0C4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bCs/>
          <w:szCs w:val="24"/>
        </w:rPr>
        <w:t>（7）法律、行政法规和中国证监会规定禁止的其他活动</w:t>
      </w:r>
      <w:r>
        <w:rPr>
          <w:rFonts w:hint="eastAsia" w:asciiTheme="minorEastAsia" w:hAnsiTheme="minorEastAsia" w:eastAsiaTheme="minorEastAsia"/>
          <w:szCs w:val="24"/>
        </w:rPr>
        <w:t>。</w:t>
      </w:r>
    </w:p>
    <w:p w14:paraId="4764D2A4">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15.1.10如法律法规或监管部门取消</w:t>
      </w:r>
      <w:r>
        <w:rPr>
          <w:rFonts w:hint="eastAsia" w:asciiTheme="minorEastAsia" w:hAnsiTheme="minorEastAsia" w:eastAsiaTheme="minorEastAsia"/>
          <w:bCs/>
          <w:szCs w:val="24"/>
        </w:rPr>
        <w:t>或变更</w:t>
      </w:r>
      <w:r>
        <w:rPr>
          <w:rFonts w:hint="eastAsia" w:asciiTheme="minorEastAsia" w:hAnsiTheme="minorEastAsia" w:eastAsiaTheme="minorEastAsia"/>
          <w:szCs w:val="24"/>
        </w:rPr>
        <w:t>上述限制，如适用于本基金，</w:t>
      </w:r>
      <w:r>
        <w:rPr>
          <w:rFonts w:hint="eastAsia" w:asciiTheme="minorEastAsia" w:hAnsiTheme="minorEastAsia" w:eastAsiaTheme="minorEastAsia"/>
          <w:bCs/>
          <w:szCs w:val="24"/>
        </w:rPr>
        <w:t>基金管理人在履行适当程序后，</w:t>
      </w:r>
      <w:r>
        <w:rPr>
          <w:rFonts w:hint="eastAsia" w:asciiTheme="minorEastAsia" w:hAnsiTheme="minorEastAsia" w:eastAsiaTheme="minorEastAsia"/>
          <w:szCs w:val="24"/>
        </w:rPr>
        <w:t>则本基金投资不再受相关限制</w:t>
      </w:r>
      <w:r>
        <w:rPr>
          <w:rFonts w:hint="eastAsia" w:asciiTheme="minorEastAsia" w:hAnsiTheme="minorEastAsia" w:eastAsiaTheme="minorEastAsia"/>
          <w:bCs/>
          <w:szCs w:val="24"/>
        </w:rPr>
        <w:t>，或以变更后的规定为准，不需要经基金份额持有人大会审议，但须提前在规定媒介上公告</w:t>
      </w:r>
      <w:r>
        <w:rPr>
          <w:rFonts w:hint="eastAsia" w:asciiTheme="minorEastAsia" w:hAnsiTheme="minorEastAsia" w:eastAsiaTheme="minorEastAsia"/>
          <w:szCs w:val="24"/>
        </w:rPr>
        <w:t>。</w:t>
      </w:r>
    </w:p>
    <w:p w14:paraId="5AB4362C">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3A31BBDD">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47" w:name="_Toc44321715"/>
      <w:bookmarkStart w:id="48" w:name="_Toc296551352"/>
      <w:r>
        <w:rPr>
          <w:rFonts w:hint="eastAsia" w:asciiTheme="minorEastAsia" w:hAnsiTheme="minorEastAsia" w:eastAsiaTheme="minorEastAsia"/>
          <w:bCs/>
          <w:color w:val="auto"/>
          <w:szCs w:val="24"/>
        </w:rPr>
        <w:t>第十六条 本协议的变更、终止与基金财产的清算</w:t>
      </w:r>
      <w:bookmarkEnd w:id="47"/>
      <w:bookmarkEnd w:id="48"/>
    </w:p>
    <w:p w14:paraId="787B7DB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16.1本协议的变更与终止</w:t>
      </w:r>
    </w:p>
    <w:p w14:paraId="3BD16B7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16.1.1本协议的变更程序</w:t>
      </w:r>
    </w:p>
    <w:p w14:paraId="1A77BE4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本协议双方当事人经协商一致，可以对协议的内容进行变更。变更后的托管协议，其内容不得与基金合同的规定有任何冲突。</w:t>
      </w:r>
    </w:p>
    <w:p w14:paraId="6163CAF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16.1.2本协议终止的情形</w:t>
      </w:r>
    </w:p>
    <w:p w14:paraId="6BCD425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发生以下情况，本协议终止：</w:t>
      </w:r>
    </w:p>
    <w:p w14:paraId="1CA4DA7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（1）基金合同终止；</w:t>
      </w:r>
    </w:p>
    <w:p w14:paraId="0DE47E7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（2）基金托管人解散、依法被撤销、破产或由其他基金托管人接管基金资产；</w:t>
      </w:r>
    </w:p>
    <w:p w14:paraId="4997C6B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（3）基金管理人解散、依法被撤销、破产或由其他基金管理人接管基金管理权；</w:t>
      </w:r>
    </w:p>
    <w:p w14:paraId="122FAA6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（4）发生法律法规或基金合同规定的终止事项。</w:t>
      </w:r>
    </w:p>
    <w:p w14:paraId="6BFA7BFA">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16.2基金财产的清算</w:t>
      </w:r>
    </w:p>
    <w:p w14:paraId="4993FCA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16.2.1基金财产清算小组</w:t>
      </w:r>
    </w:p>
    <w:p w14:paraId="1438E81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（1）自出现基金合同终止事由之日起30个工作日内成立基金财产清算小组，基金管理人</w:t>
      </w:r>
      <w:r>
        <w:rPr>
          <w:rFonts w:hint="eastAsia" w:asciiTheme="minorEastAsia" w:hAnsiTheme="minorEastAsia" w:eastAsiaTheme="minorEastAsia"/>
          <w:bCs/>
          <w:szCs w:val="24"/>
        </w:rPr>
        <w:t>或临时基金管理人</w:t>
      </w:r>
      <w:r>
        <w:rPr>
          <w:rFonts w:hint="eastAsia" w:asciiTheme="minorEastAsia" w:hAnsiTheme="minorEastAsia" w:eastAsiaTheme="minorEastAsia"/>
          <w:szCs w:val="24"/>
        </w:rPr>
        <w:t>组织基金财产清算小组并在中国证监会的监督下进行基金清算。</w:t>
      </w:r>
    </w:p>
    <w:p w14:paraId="2E5ED96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（2）基金财产清算小组成员由基金管理人</w:t>
      </w:r>
      <w:r>
        <w:rPr>
          <w:rFonts w:hint="eastAsia" w:asciiTheme="minorEastAsia" w:hAnsiTheme="minorEastAsia" w:eastAsiaTheme="minorEastAsia"/>
          <w:bCs/>
          <w:szCs w:val="24"/>
        </w:rPr>
        <w:t>或临时基金管理人</w:t>
      </w:r>
      <w:r>
        <w:rPr>
          <w:rFonts w:hint="eastAsia" w:asciiTheme="minorEastAsia" w:hAnsiTheme="minorEastAsia" w:eastAsiaTheme="minorEastAsia"/>
          <w:szCs w:val="24"/>
        </w:rPr>
        <w:t>、基金托管人、符合《中华人民共和国证券法》规定的注册会计师、律师以及中国证监会指定的人员组成。基金财产清算小组可以聘用必要的工作人员。</w:t>
      </w:r>
    </w:p>
    <w:p w14:paraId="544FBC6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（3）在基金财产清算过程中，基金管理人和基金托管人应各自履行职责，继续忠实、勤勉、尽责地履行基金合同和本协议规定的义务，维护基金份额持有人的合法权益。</w:t>
      </w:r>
    </w:p>
    <w:p w14:paraId="7C1C20E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（4）基金财产清算小组负责基金财产的保管、清理、估价、变现和分配。基金财产清算小组可以依法进行必要的民事活动。</w:t>
      </w:r>
    </w:p>
    <w:p w14:paraId="3ADD3B5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16.2.2基金财产清算程序</w:t>
      </w:r>
    </w:p>
    <w:p w14:paraId="7234E2D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基金合同终止，应当按法律法规和基金合同的有关规定对基金财产进行清算。基金财产清算程序主要包括：</w:t>
      </w:r>
    </w:p>
    <w:p w14:paraId="5EAD17F0">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（1）基金合同终止情形出现时，由基金财产清算小组统一接管基金财产；</w:t>
      </w:r>
    </w:p>
    <w:p w14:paraId="5D3CAFE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（2）对基金财产和债权债务进行清理和确认；</w:t>
      </w:r>
    </w:p>
    <w:p w14:paraId="42C7514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（3）对基金财产进行估值和变现；</w:t>
      </w:r>
    </w:p>
    <w:p w14:paraId="0893D1F1">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（4）制作清算报告；</w:t>
      </w:r>
    </w:p>
    <w:p w14:paraId="568EF0D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（5）聘请会计师事务所对清算报告进行外部审计，聘请律师事务所对清算报告出具法律意见书；</w:t>
      </w:r>
    </w:p>
    <w:p w14:paraId="0D0CED9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（6）将清算报告报中国证监会备案并公告；</w:t>
      </w:r>
    </w:p>
    <w:p w14:paraId="7C78C1D9">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（7）对基金剩余财产进行分配。</w:t>
      </w:r>
    </w:p>
    <w:p w14:paraId="2EBDF2C3">
      <w:pPr>
        <w:pStyle w:val="5"/>
        <w:adjustRightInd w:val="0"/>
        <w:snapToGrid w:val="0"/>
        <w:spacing w:before="0" w:after="0" w:line="520" w:lineRule="atLeast"/>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基金财产清算的期限为6个月，但因本基金所持证券的流动性受到限制而不能及时变现的，清算期限相应顺延。</w:t>
      </w:r>
    </w:p>
    <w:p w14:paraId="0EC5FAA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16.2.3清算费用</w:t>
      </w:r>
    </w:p>
    <w:p w14:paraId="7E16971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清算费用是指基金财产清算小组在进行基金财产清算过程中发生的所有合理费用，清算费用由基金财产清算小组优先从基金剩余财产中支付。</w:t>
      </w:r>
    </w:p>
    <w:p w14:paraId="2C6C369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16.2.4基金财产按下列顺序清偿：</w:t>
      </w:r>
    </w:p>
    <w:p w14:paraId="3FE2ABA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（1）支付清算费用；</w:t>
      </w:r>
    </w:p>
    <w:p w14:paraId="717EDCB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（2）交纳所欠税款；</w:t>
      </w:r>
    </w:p>
    <w:p w14:paraId="1508A0E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（3）清偿基金债务；</w:t>
      </w:r>
    </w:p>
    <w:p w14:paraId="2DC83E8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14:paraId="0B43E118">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基金财产未按前款（1）－（3）项规定清偿前，不分配给基金份额持有人。</w:t>
      </w:r>
    </w:p>
    <w:p w14:paraId="47917D12">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16.2.5基金财产清算的公告</w:t>
      </w:r>
    </w:p>
    <w:p w14:paraId="01546FE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Cs w:val="24"/>
        </w:rPr>
        <w:t>5</w:t>
      </w:r>
      <w:r>
        <w:rPr>
          <w:rFonts w:hint="eastAsia" w:asciiTheme="minorEastAsia" w:hAnsiTheme="minorEastAsia" w:eastAsiaTheme="minorEastAsia"/>
          <w:szCs w:val="24"/>
        </w:rPr>
        <w:t>个工作日内由基金财产清算小组进行公告。基金财产清算小组应当将清算报告登载在规定网站上，并将清算报告提示性公告登载在规定报刊上。</w:t>
      </w:r>
    </w:p>
    <w:p w14:paraId="305E15C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16.2.6基金财产清算账册及文件的保存</w:t>
      </w:r>
    </w:p>
    <w:p w14:paraId="3DC820A6">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基金财产清算账册及有关文件由基金托管人保存，</w:t>
      </w:r>
      <w:r>
        <w:rPr>
          <w:rFonts w:asciiTheme="minorEastAsia" w:hAnsiTheme="minorEastAsia" w:eastAsiaTheme="minorEastAsia"/>
          <w:szCs w:val="24"/>
        </w:rPr>
        <w:t>保存年限不低于法律法规规定的最低期限。</w:t>
      </w:r>
      <w:bookmarkStart w:id="49" w:name="_Toc296551353"/>
    </w:p>
    <w:p w14:paraId="2EBF566D">
      <w:pPr>
        <w:pStyle w:val="5"/>
        <w:adjustRightInd w:val="0"/>
        <w:snapToGrid w:val="0"/>
        <w:spacing w:before="0" w:after="0" w:line="520" w:lineRule="atLeast"/>
        <w:ind w:left="0" w:firstLine="480" w:firstLineChars="200"/>
        <w:rPr>
          <w:rFonts w:asciiTheme="minorEastAsia" w:hAnsiTheme="minorEastAsia" w:eastAsiaTheme="minorEastAsia"/>
          <w:szCs w:val="24"/>
        </w:rPr>
      </w:pPr>
    </w:p>
    <w:p w14:paraId="1B348160">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50" w:name="_Toc44321716"/>
      <w:r>
        <w:rPr>
          <w:rFonts w:hint="eastAsia" w:asciiTheme="minorEastAsia" w:hAnsiTheme="minorEastAsia" w:eastAsiaTheme="minorEastAsia"/>
          <w:bCs/>
          <w:color w:val="auto"/>
          <w:szCs w:val="24"/>
        </w:rPr>
        <w:t>第十七条 违约责任</w:t>
      </w:r>
      <w:bookmarkEnd w:id="49"/>
      <w:bookmarkEnd w:id="50"/>
    </w:p>
    <w:p w14:paraId="2BF820E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17.1如果基金管理人或基金托管人不履行本协议或者履行本协议不符合约定的，应当承担违约责任。</w:t>
      </w:r>
    </w:p>
    <w:p w14:paraId="71CF23F7">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17.2</w:t>
      </w:r>
      <w:r>
        <w:rPr>
          <w:rFonts w:hint="eastAsia" w:asciiTheme="minorEastAsia" w:hAnsiTheme="minorEastAsia" w:eastAsiaTheme="minor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Pr>
          <w:rFonts w:hint="eastAsia" w:asciiTheme="minorEastAsia" w:hAnsiTheme="minorEastAsia" w:eastAsiaTheme="minorEastAsia"/>
          <w:szCs w:val="24"/>
        </w:rPr>
        <w:t>但是发生下列情况，当事人免责：</w:t>
      </w:r>
    </w:p>
    <w:p w14:paraId="4C1B236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（1）不可抗力；</w:t>
      </w:r>
    </w:p>
    <w:p w14:paraId="0C9C5F0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w:t>
      </w:r>
      <w:r>
        <w:rPr>
          <w:rFonts w:hint="eastAsia" w:asciiTheme="minorEastAsia" w:hAnsiTheme="minorEastAsia" w:eastAsiaTheme="minorEastAsia"/>
          <w:bCs/>
          <w:szCs w:val="24"/>
        </w:rPr>
        <w:t>和/或</w:t>
      </w:r>
      <w:r>
        <w:rPr>
          <w:rFonts w:hint="eastAsia" w:asciiTheme="minorEastAsia" w:hAnsiTheme="minorEastAsia" w:eastAsiaTheme="minorEastAsia"/>
          <w:szCs w:val="24"/>
        </w:rPr>
        <w:t>基金托管人按照</w:t>
      </w:r>
      <w:r>
        <w:rPr>
          <w:rFonts w:hint="eastAsia" w:asciiTheme="minorEastAsia" w:hAnsiTheme="minorEastAsia" w:eastAsiaTheme="minorEastAsia"/>
          <w:bCs/>
          <w:szCs w:val="24"/>
        </w:rPr>
        <w:t>届时</w:t>
      </w:r>
      <w:r>
        <w:rPr>
          <w:rFonts w:hint="eastAsia" w:asciiTheme="minorEastAsia" w:hAnsiTheme="minorEastAsia" w:eastAsiaTheme="minorEastAsia"/>
          <w:szCs w:val="24"/>
        </w:rPr>
        <w:t>有效的法律法规或中国证监会的规定作为或不作为而造成的损失等；</w:t>
      </w:r>
    </w:p>
    <w:p w14:paraId="51D4C7E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（3）基金管理人由于按照基金合同规定的投资原则</w:t>
      </w:r>
      <w:r>
        <w:rPr>
          <w:rFonts w:hint="eastAsia" w:asciiTheme="minorEastAsia" w:hAnsiTheme="minorEastAsia" w:eastAsiaTheme="minorEastAsia"/>
          <w:bCs/>
          <w:szCs w:val="24"/>
        </w:rPr>
        <w:t>投资或不投资</w:t>
      </w:r>
      <w:r>
        <w:rPr>
          <w:rFonts w:hint="eastAsia" w:asciiTheme="minorEastAsia" w:hAnsiTheme="minorEastAsia" w:eastAsiaTheme="minorEastAsia"/>
          <w:szCs w:val="24"/>
        </w:rPr>
        <w:t>而造成的损失等。</w:t>
      </w:r>
    </w:p>
    <w:p w14:paraId="765B56A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14:paraId="01BFA1F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D5BAA54">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17.5违约行为虽已发生，但本协议能够继续履行的，在最大限度地保护基金份额持有人利益的前提下，基金管理人和基金托管人应当继续履行本协议。</w:t>
      </w:r>
    </w:p>
    <w:p w14:paraId="4D93F47B">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17.6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基金份额持有人损失，基金管理人和基金托管人免除赔偿责任。但是基金管理人和基金托管人应积极采取必要的措施减轻或消除由此造成的影响。</w:t>
      </w:r>
    </w:p>
    <w:p w14:paraId="60D5C455">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17.7本协议所指损失均为直接损失。</w:t>
      </w:r>
    </w:p>
    <w:p w14:paraId="799ACEE6">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DF8EADD">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51" w:name="_Toc44321717"/>
      <w:bookmarkStart w:id="52" w:name="_Toc296551354"/>
      <w:r>
        <w:rPr>
          <w:rFonts w:hint="eastAsia" w:asciiTheme="minorEastAsia" w:hAnsiTheme="minorEastAsia" w:eastAsiaTheme="minorEastAsia"/>
          <w:bCs/>
          <w:color w:val="auto"/>
          <w:szCs w:val="24"/>
        </w:rPr>
        <w:t>第十八条 法律适用和争议解决</w:t>
      </w:r>
      <w:bookmarkEnd w:id="51"/>
      <w:bookmarkEnd w:id="52"/>
    </w:p>
    <w:p w14:paraId="589AE89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14:paraId="49CAE34A">
      <w:pPr>
        <w:pStyle w:val="5"/>
        <w:adjustRightInd w:val="0"/>
        <w:snapToGrid w:val="0"/>
        <w:spacing w:before="0" w:after="0" w:line="520" w:lineRule="atLeast"/>
        <w:ind w:left="0"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凡因本协议产生的及与本协议有关的争议，双方均应协商解决；协商不成的，双方均同意采取以下方式解决：</w:t>
      </w:r>
    </w:p>
    <w:p w14:paraId="4D2E27E6">
      <w:pPr>
        <w:pStyle w:val="5"/>
        <w:adjustRightInd w:val="0"/>
        <w:snapToGrid w:val="0"/>
        <w:spacing w:before="0" w:after="0" w:line="520" w:lineRule="atLeast"/>
        <w:ind w:left="0" w:firstLine="482" w:firstLineChars="200"/>
        <w:rPr>
          <w:rFonts w:asciiTheme="minorEastAsia" w:hAnsiTheme="minorEastAsia" w:eastAsiaTheme="minorEastAsia"/>
          <w:b/>
          <w:bCs/>
          <w:szCs w:val="24"/>
        </w:rPr>
      </w:pPr>
      <w:r>
        <w:rPr>
          <w:rFonts w:asciiTheme="minorEastAsia" w:hAnsiTheme="minorEastAsia" w:eastAsiaTheme="minorEastAsia"/>
          <w:b/>
          <w:bCs/>
          <w:szCs w:val="24"/>
        </w:rPr>
        <w:t>向</w:t>
      </w:r>
      <w:r>
        <w:rPr>
          <w:rFonts w:hint="eastAsia" w:asciiTheme="minorEastAsia" w:hAnsiTheme="minorEastAsia" w:eastAsiaTheme="minorEastAsia"/>
          <w:b/>
          <w:bCs/>
          <w:szCs w:val="24"/>
        </w:rPr>
        <w:t>中国国际经济贸易仲裁委员会申请仲裁，</w:t>
      </w:r>
      <w:bookmarkStart w:id="53" w:name="OLE_LINK36"/>
      <w:bookmarkStart w:id="54" w:name="OLE_LINK37"/>
      <w:r>
        <w:rPr>
          <w:rFonts w:hint="eastAsia" w:asciiTheme="minorEastAsia" w:hAnsiTheme="minorEastAsia" w:eastAsiaTheme="minorEastAsia"/>
          <w:b/>
          <w:bCs/>
          <w:szCs w:val="24"/>
        </w:rPr>
        <w:t>仲裁地为北京市</w:t>
      </w:r>
      <w:bookmarkEnd w:id="53"/>
      <w:bookmarkEnd w:id="54"/>
      <w:r>
        <w:rPr>
          <w:rFonts w:hint="eastAsia" w:asciiTheme="minorEastAsia" w:hAnsiTheme="minorEastAsia" w:eastAsiaTheme="minorEastAsia"/>
          <w:b/>
          <w:bCs/>
          <w:szCs w:val="24"/>
        </w:rPr>
        <w:t>，并适用申请仲裁时该仲裁机构现行有效的仲裁规则；仲裁裁决是终局的，对当事人均有约束力。除非仲裁裁决另有决定，仲裁费由败诉方承担。</w:t>
      </w:r>
    </w:p>
    <w:p w14:paraId="3DD9C12F">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争议处理期间，双方当事人应恪守基金管理人和基金托管人职责，继续忠实、勤勉、尽责地履行基金合同和本协议规定的义务，维护基金份额持有人的合法权益。</w:t>
      </w:r>
    </w:p>
    <w:p w14:paraId="6609E675">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217D0BFF">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55" w:name="_Toc296551355"/>
      <w:bookmarkStart w:id="56" w:name="_Toc44321718"/>
      <w:r>
        <w:rPr>
          <w:rFonts w:hint="eastAsia" w:asciiTheme="minorEastAsia" w:hAnsiTheme="minorEastAsia" w:eastAsiaTheme="minorEastAsia"/>
          <w:bCs/>
          <w:color w:val="auto"/>
          <w:szCs w:val="24"/>
        </w:rPr>
        <w:t>第十九条 本协议的效力</w:t>
      </w:r>
      <w:bookmarkEnd w:id="55"/>
      <w:bookmarkEnd w:id="56"/>
    </w:p>
    <w:p w14:paraId="0EF6AE7D">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19.1基金管理人在向中国证监会申请基金募集注册时提交的托管协议草案，应经托管协议当事人加盖公章或合同专用章以及双方法定代表人或授权</w:t>
      </w:r>
      <w:r>
        <w:rPr>
          <w:rFonts w:asciiTheme="minorEastAsia" w:hAnsiTheme="minorEastAsia" w:eastAsiaTheme="minorEastAsia"/>
          <w:szCs w:val="24"/>
        </w:rPr>
        <w:t>代表</w:t>
      </w:r>
      <w:r>
        <w:rPr>
          <w:rFonts w:hint="eastAsia" w:asciiTheme="minorEastAsia" w:hAnsiTheme="minorEastAsia" w:eastAsiaTheme="minorEastAsia"/>
          <w:szCs w:val="24"/>
        </w:rPr>
        <w:t>签章（签字或加盖名章），本协议当事人双方可能不时根据中国证监会的意见修改托管协议草案。本协议以中国证监会注册的最终文本为正式文本。</w:t>
      </w:r>
    </w:p>
    <w:p w14:paraId="2AF97E2C">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19.2本协议自双方签订且基金合同成立之日起成立，自基金合同生效之日起生效。本协议的有效期自其生效之日起至该基金财产清算结果报中国证监会备案并公告之日止。</w:t>
      </w:r>
    </w:p>
    <w:p w14:paraId="330BAA5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19.3本协议自生效之日起对双方具有同等的法律约束力。</w:t>
      </w:r>
    </w:p>
    <w:p w14:paraId="016E2F05">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19.4本协议正本一式三份，除上报有关监管机构一份外，基金管理人和基金托管人分别持有一份，每份具有同等的法律效力。</w:t>
      </w:r>
    </w:p>
    <w:p w14:paraId="544A1862">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49A9C740">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57" w:name="_Toc296551356"/>
      <w:bookmarkStart w:id="58" w:name="_Toc44321719"/>
      <w:r>
        <w:rPr>
          <w:rFonts w:hint="eastAsia" w:asciiTheme="minorEastAsia" w:hAnsiTheme="minorEastAsia" w:eastAsiaTheme="minorEastAsia"/>
          <w:bCs/>
          <w:color w:val="auto"/>
          <w:szCs w:val="24"/>
        </w:rPr>
        <w:t>第二十条 本协议的签订</w:t>
      </w:r>
      <w:bookmarkEnd w:id="57"/>
      <w:bookmarkEnd w:id="58"/>
    </w:p>
    <w:p w14:paraId="1B8F1C4F">
      <w:pPr>
        <w:adjustRightInd w:val="0"/>
        <w:snapToGrid w:val="0"/>
        <w:spacing w:line="52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20.1本协议经基金管理人和基金托管人认可后，由双方当事人在本协议上加盖公章或合同专用章，并由各自的法定代表人或授权代表签章（签字或加盖名章），并注明本托管协议的签订地点和签订日期。</w:t>
      </w:r>
    </w:p>
    <w:p w14:paraId="53C2E518">
      <w:pPr>
        <w:adjustRightInd w:val="0"/>
        <w:snapToGrid w:val="0"/>
        <w:spacing w:line="520" w:lineRule="atLeast"/>
        <w:ind w:firstLine="480" w:firstLineChars="200"/>
        <w:rPr>
          <w:rFonts w:hint="eastAsia" w:asciiTheme="minorEastAsia" w:hAnsiTheme="minorEastAsia" w:eastAsiaTheme="minorEastAsia"/>
          <w:sz w:val="24"/>
          <w:szCs w:val="24"/>
        </w:rPr>
      </w:pPr>
    </w:p>
    <w:p w14:paraId="547A5136">
      <w:pPr>
        <w:pStyle w:val="2"/>
        <w:adjustRightInd w:val="0"/>
        <w:spacing w:line="520" w:lineRule="atLeast"/>
        <w:ind w:firstLine="482" w:firstLineChars="200"/>
        <w:jc w:val="center"/>
        <w:rPr>
          <w:rFonts w:asciiTheme="minorEastAsia" w:hAnsiTheme="minorEastAsia" w:eastAsiaTheme="minorEastAsia"/>
          <w:bCs/>
          <w:color w:val="auto"/>
          <w:szCs w:val="24"/>
        </w:rPr>
      </w:pPr>
      <w:bookmarkStart w:id="59" w:name="_Toc44321720"/>
      <w:r>
        <w:rPr>
          <w:rFonts w:hint="eastAsia" w:asciiTheme="minorEastAsia" w:hAnsiTheme="minorEastAsia" w:eastAsiaTheme="minorEastAsia"/>
          <w:bCs/>
          <w:color w:val="auto"/>
          <w:szCs w:val="24"/>
        </w:rPr>
        <w:t>第二十一条 不可抗力</w:t>
      </w:r>
      <w:bookmarkEnd w:id="59"/>
    </w:p>
    <w:p w14:paraId="53B1DE6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21.1如果本协议任何一方因受不可抗力事件影响而未能履行其在本协议下的全部或部分义务，该义务的履行在不可抗力事件妨碍其履行期间应予中止。</w:t>
      </w:r>
    </w:p>
    <w:p w14:paraId="54A219DF">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484B9685">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21.3不可抗力事件发生时，双方应立即通过友好协商决定如何执行本协议。不可抗力事件或其影响终止或消除后，双方须立即恢复履行各自在本协议项下的各项义务。</w:t>
      </w:r>
    </w:p>
    <w:p w14:paraId="576DACB0">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21.4本条所述的不可抗力事件是指不能预见、不能避免并不能克服的客观情况。</w:t>
      </w:r>
    </w:p>
    <w:p w14:paraId="4142BA8D">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3CF44894">
      <w:pPr>
        <w:pStyle w:val="2"/>
        <w:adjustRightInd w:val="0"/>
        <w:spacing w:line="520" w:lineRule="atLeast"/>
        <w:ind w:firstLine="482" w:firstLineChars="200"/>
        <w:jc w:val="center"/>
        <w:rPr>
          <w:rFonts w:asciiTheme="minorEastAsia" w:hAnsiTheme="minorEastAsia" w:eastAsiaTheme="minorEastAsia"/>
          <w:bCs/>
          <w:szCs w:val="24"/>
        </w:rPr>
      </w:pPr>
      <w:bookmarkStart w:id="60" w:name="_Toc132794324"/>
      <w:bookmarkEnd w:id="60"/>
      <w:bookmarkStart w:id="61" w:name="_Toc132794326"/>
      <w:bookmarkEnd w:id="61"/>
      <w:bookmarkStart w:id="62" w:name="_Toc132794328"/>
      <w:bookmarkEnd w:id="62"/>
      <w:bookmarkStart w:id="63" w:name="_Toc132794330"/>
      <w:bookmarkEnd w:id="63"/>
      <w:bookmarkStart w:id="64" w:name="_Toc132794327"/>
      <w:bookmarkEnd w:id="64"/>
      <w:bookmarkStart w:id="65" w:name="_Toc132794325"/>
      <w:bookmarkEnd w:id="65"/>
      <w:bookmarkStart w:id="66" w:name="_Toc132794329"/>
      <w:bookmarkEnd w:id="66"/>
      <w:bookmarkStart w:id="67" w:name="_Toc44321721"/>
      <w:r>
        <w:rPr>
          <w:rFonts w:hint="eastAsia" w:asciiTheme="minorEastAsia" w:hAnsiTheme="minorEastAsia" w:eastAsiaTheme="minorEastAsia"/>
          <w:bCs/>
          <w:color w:val="auto"/>
          <w:szCs w:val="24"/>
        </w:rPr>
        <w:t>第二十二条 可分割性</w:t>
      </w:r>
      <w:bookmarkEnd w:id="67"/>
    </w:p>
    <w:p w14:paraId="088E9E33">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22.1如果本协议任何约定依现行法律被确定为无效或无法实施，本协议的其他条款将继续有效。此种情况下，双方将积极协商</w:t>
      </w:r>
      <w:bookmarkStart w:id="68" w:name="OLE_LINK42"/>
      <w:bookmarkStart w:id="69" w:name="OLE_LINK43"/>
      <w:r>
        <w:rPr>
          <w:rFonts w:hint="eastAsia" w:asciiTheme="minorEastAsia" w:hAnsiTheme="minorEastAsia" w:eastAsiaTheme="minorEastAsia"/>
          <w:szCs w:val="24"/>
        </w:rPr>
        <w:t>解决并另行签署书面协议予以明确</w:t>
      </w:r>
      <w:bookmarkEnd w:id="68"/>
      <w:bookmarkEnd w:id="69"/>
      <w:r>
        <w:rPr>
          <w:rFonts w:hint="eastAsia" w:asciiTheme="minorEastAsia" w:hAnsiTheme="minorEastAsia" w:eastAsiaTheme="minorEastAsia"/>
          <w:szCs w:val="24"/>
        </w:rPr>
        <w:t>，且该协议应尽可能接近原规定和本协议相应的精神和宗旨。</w:t>
      </w:r>
    </w:p>
    <w:p w14:paraId="0BCC7760">
      <w:pPr>
        <w:pStyle w:val="5"/>
        <w:adjustRightInd w:val="0"/>
        <w:snapToGrid w:val="0"/>
        <w:spacing w:before="0" w:after="0" w:line="520" w:lineRule="atLeast"/>
        <w:ind w:left="0" w:firstLine="480" w:firstLineChars="200"/>
        <w:rPr>
          <w:rFonts w:hint="eastAsia" w:asciiTheme="minorEastAsia" w:hAnsiTheme="minorEastAsia" w:eastAsiaTheme="minorEastAsia"/>
          <w:szCs w:val="24"/>
        </w:rPr>
      </w:pPr>
    </w:p>
    <w:p w14:paraId="154FB21F">
      <w:pPr>
        <w:pStyle w:val="2"/>
        <w:adjustRightInd w:val="0"/>
        <w:spacing w:line="520" w:lineRule="atLeast"/>
        <w:ind w:firstLine="482" w:firstLineChars="200"/>
        <w:jc w:val="center"/>
        <w:rPr>
          <w:rFonts w:asciiTheme="minorEastAsia" w:hAnsiTheme="minorEastAsia" w:eastAsiaTheme="minorEastAsia"/>
          <w:bCs/>
          <w:szCs w:val="24"/>
        </w:rPr>
      </w:pPr>
      <w:bookmarkStart w:id="70" w:name="_Toc44321722"/>
      <w:r>
        <w:rPr>
          <w:rFonts w:hint="eastAsia" w:asciiTheme="minorEastAsia" w:hAnsiTheme="minorEastAsia" w:eastAsiaTheme="minorEastAsia"/>
          <w:bCs/>
          <w:color w:val="auto"/>
          <w:szCs w:val="24"/>
        </w:rPr>
        <w:t>第二十三条 通知与送达</w:t>
      </w:r>
      <w:bookmarkEnd w:id="70"/>
    </w:p>
    <w:p w14:paraId="5E06B4A9">
      <w:pPr>
        <w:pStyle w:val="5"/>
        <w:adjustRightInd w:val="0"/>
        <w:snapToGrid w:val="0"/>
        <w:spacing w:before="0" w:after="0" w:line="520" w:lineRule="atLeast"/>
        <w:ind w:left="0" w:firstLine="480" w:firstLineChars="200"/>
        <w:rPr>
          <w:rFonts w:asciiTheme="minorEastAsia" w:hAnsiTheme="minorEastAsia" w:eastAsiaTheme="minorEastAsia"/>
          <w:szCs w:val="24"/>
        </w:rPr>
      </w:pPr>
      <w:bookmarkStart w:id="71" w:name="OLE_LINK47"/>
      <w:bookmarkStart w:id="72" w:name="OLE_LINK46"/>
      <w:r>
        <w:rPr>
          <w:rFonts w:hint="eastAsia" w:asciiTheme="minorEastAsia" w:hAnsiTheme="minorEastAsia" w:eastAsiaTheme="minorEastAsia"/>
          <w:szCs w:val="24"/>
        </w:rPr>
        <w:t>23.1除本协议另有约定外，双方就本协议中涉及各类通知、函件、附件、协议等文件以及就本协议发生纠纷时相关文件和法律文书送达时的送达地址（含联系方式，下同）及法律后果作如下约定：</w:t>
      </w:r>
    </w:p>
    <w:p w14:paraId="496771DE">
      <w:pPr>
        <w:pStyle w:val="5"/>
        <w:adjustRightInd w:val="0"/>
        <w:snapToGrid w:val="0"/>
        <w:spacing w:before="0" w:after="0" w:line="520" w:lineRule="atLeast"/>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23.1.1除本协议另有约定外，本协议项下的通知、要求、诉讼（仲裁）的法律文书或其他通信可交付或发送至本协议首部所约定的地址或联系方式。</w:t>
      </w:r>
    </w:p>
    <w:p w14:paraId="2C579A45">
      <w:pPr>
        <w:snapToGrid w:val="0"/>
        <w:spacing w:line="52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3.1.2</w:t>
      </w:r>
      <w:r>
        <w:rPr>
          <w:rFonts w:hint="eastAsia" w:asciiTheme="minorEastAsia" w:hAnsiTheme="minorEastAsia" w:eastAsiaTheme="minorEastAsia"/>
          <w:sz w:val="24"/>
          <w:szCs w:val="24"/>
        </w:rPr>
        <w:t>双方确认的送达地址如发生变更的，应当在发生变更之日起三日内通过书面方式通知对方</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rPr>
        <w:t>在涉及仲裁及民事诉讼、执行程序时，任何一方送达地址发生变更的，应当在发生变更当日通过书面方式告知仲裁机构、法院。</w:t>
      </w:r>
      <w:r>
        <w:rPr>
          <w:rFonts w:hint="eastAsia" w:asciiTheme="minorEastAsia" w:hAnsiTheme="minorEastAsia" w:eastAsiaTheme="minorEastAsia"/>
          <w:b/>
          <w:bCs/>
          <w:sz w:val="24"/>
          <w:szCs w:val="24"/>
        </w:rPr>
        <w:t>任何一方未按前述方式履行通知、告知义务的，该方所确认的送达地址仍视为有效送达地址。</w:t>
      </w:r>
    </w:p>
    <w:p w14:paraId="00275B2D">
      <w:pPr>
        <w:snapToGrid w:val="0"/>
        <w:spacing w:line="520" w:lineRule="atLeas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3.1.3</w:t>
      </w:r>
      <w:r>
        <w:rPr>
          <w:rFonts w:hint="eastAsia" w:asciiTheme="minorEastAsia" w:hAnsiTheme="minorEastAsia" w:eastAsiaTheme="minorEastAsia"/>
          <w:sz w:val="24"/>
          <w:szCs w:val="24"/>
        </w:rPr>
        <w:t xml:space="preserve"> 双方确认的送达地址适用范围包括双方在履行本协议过程中的各类通知、函件、附件、协议等文件以及就本协议发生纠纷时相关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Pr>
          <w:rFonts w:hint="eastAsia" w:asciiTheme="minorEastAsia" w:hAnsiTheme="minorEastAsia" w:eastAsiaTheme="minorEastAsia"/>
          <w:b/>
          <w:bCs/>
          <w:sz w:val="24"/>
          <w:szCs w:val="24"/>
        </w:rPr>
        <w:t>除第</w:t>
      </w:r>
      <w:r>
        <w:rPr>
          <w:rFonts w:asciiTheme="minorEastAsia" w:hAnsiTheme="minorEastAsia" w:eastAsiaTheme="minorEastAsia"/>
          <w:b/>
          <w:bCs/>
          <w:sz w:val="24"/>
          <w:szCs w:val="24"/>
        </w:rPr>
        <w:t>23.1.2</w:t>
      </w:r>
      <w:r>
        <w:rPr>
          <w:rFonts w:hint="eastAsia" w:asciiTheme="minorEastAsia" w:hAnsiTheme="minorEastAsia" w:eastAsiaTheme="minorEastAsia"/>
          <w:b/>
          <w:bCs/>
          <w:sz w:val="24"/>
          <w:szCs w:val="24"/>
        </w:rPr>
        <w:t>条另有约定外，一方按照送达地址发送上述文件，即应视作在下列日期被送达：</w:t>
      </w:r>
    </w:p>
    <w:p w14:paraId="1A591A2D">
      <w:pPr>
        <w:snapToGrid w:val="0"/>
        <w:spacing w:line="520" w:lineRule="atLeas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（1）邮递（包括特快专递、平信邮寄、挂号邮寄），以投递之日后的第三日视为送达日；</w:t>
      </w:r>
    </w:p>
    <w:p w14:paraId="6E1D3A1B">
      <w:pPr>
        <w:snapToGrid w:val="0"/>
        <w:spacing w:line="520" w:lineRule="atLeas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（2）电话、传真、电子邮箱、微信或其他电子通讯方式，以发送之日视为送达日；</w:t>
      </w:r>
    </w:p>
    <w:p w14:paraId="0535EC36">
      <w:pPr>
        <w:snapToGrid w:val="0"/>
        <w:spacing w:line="520" w:lineRule="atLeas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（3）专人送达，以收件人签收之日视为送达日；收件人拒收或无人接收的，送达人可采取拍照、录像方式记录送达过程，并将文书留置，亦视为送达；</w:t>
      </w:r>
    </w:p>
    <w:p w14:paraId="1728B801">
      <w:pPr>
        <w:snapToGrid w:val="0"/>
        <w:spacing w:line="520" w:lineRule="atLeas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（4）同时采用上述几种方式的，以其中最快达到对方者为准。</w:t>
      </w:r>
    </w:p>
    <w:p w14:paraId="2DD19661">
      <w:pPr>
        <w:snapToGrid w:val="0"/>
        <w:spacing w:line="520" w:lineRule="atLeas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p>
    <w:p w14:paraId="71EAC895">
      <w:pPr>
        <w:snapToGrid w:val="0"/>
        <w:spacing w:line="520" w:lineRule="atLeast"/>
        <w:ind w:firstLine="482" w:firstLineChars="200"/>
        <w:rPr>
          <w:rFonts w:asciiTheme="minorEastAsia" w:hAnsiTheme="minorEastAsia" w:eastAsiaTheme="minorEastAsia"/>
          <w:b/>
          <w:bCs/>
          <w:sz w:val="28"/>
          <w:szCs w:val="28"/>
        </w:rPr>
      </w:pP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3.1.4</w:t>
      </w:r>
      <w:r>
        <w:rPr>
          <w:rFonts w:hint="eastAsia" w:asciiTheme="minorEastAsia" w:hAnsiTheme="minorEastAsia" w:eastAsiaTheme="minorEastAsia"/>
          <w:b/>
          <w:bCs/>
          <w:sz w:val="24"/>
          <w:szCs w:val="24"/>
        </w:rPr>
        <w:t>本条约定内容为本协议双方均明确同意的特别条款，效力独立于本协议其他条款。不论本协议其他条款因为任何原因被法院、仲裁机关或其他有权机关认定为无效或者被撤销，本条约定内容均为有效。</w:t>
      </w:r>
    </w:p>
    <w:bookmarkEnd w:id="71"/>
    <w:bookmarkEnd w:id="72"/>
    <w:p w14:paraId="5E5B7078">
      <w:pPr>
        <w:pStyle w:val="5"/>
        <w:adjustRightInd w:val="0"/>
        <w:snapToGrid w:val="0"/>
        <w:spacing w:before="0" w:after="0" w:line="520" w:lineRule="atLeast"/>
        <w:ind w:left="0"/>
        <w:rPr>
          <w:rFonts w:asciiTheme="minorEastAsia" w:hAnsiTheme="minorEastAsia" w:eastAsiaTheme="minorEastAsia"/>
          <w:szCs w:val="24"/>
        </w:rPr>
      </w:pPr>
    </w:p>
    <w:p w14:paraId="1E0D261E">
      <w:pPr>
        <w:pStyle w:val="2"/>
        <w:adjustRightInd w:val="0"/>
        <w:spacing w:line="520" w:lineRule="atLeast"/>
        <w:ind w:firstLine="482" w:firstLineChars="200"/>
        <w:jc w:val="center"/>
        <w:rPr>
          <w:rFonts w:asciiTheme="minorEastAsia" w:hAnsiTheme="minorEastAsia" w:eastAsiaTheme="minorEastAsia"/>
          <w:bCs/>
          <w:szCs w:val="24"/>
        </w:rPr>
      </w:pPr>
      <w:bookmarkStart w:id="73" w:name="_Toc44321723"/>
      <w:r>
        <w:rPr>
          <w:rFonts w:hint="eastAsia" w:asciiTheme="minorEastAsia" w:hAnsiTheme="minorEastAsia" w:eastAsiaTheme="minorEastAsia"/>
          <w:bCs/>
          <w:color w:val="auto"/>
          <w:szCs w:val="24"/>
        </w:rPr>
        <w:t>第二十四条 其他约定事项</w:t>
      </w:r>
      <w:bookmarkEnd w:id="73"/>
    </w:p>
    <w:p w14:paraId="1A84DE18">
      <w:pPr>
        <w:pStyle w:val="5"/>
        <w:adjustRightInd w:val="0"/>
        <w:snapToGrid w:val="0"/>
        <w:spacing w:before="0" w:after="0" w:line="520" w:lineRule="atLeast"/>
        <w:ind w:left="0" w:firstLine="480"/>
        <w:rPr>
          <w:rFonts w:asciiTheme="minorEastAsia" w:hAnsiTheme="minorEastAsia" w:eastAsiaTheme="minorEastAsia"/>
          <w:szCs w:val="24"/>
        </w:rPr>
      </w:pPr>
      <w:r>
        <w:rPr>
          <w:rFonts w:hint="eastAsia" w:asciiTheme="minorEastAsia" w:hAnsiTheme="minorEastAsia" w:eastAsiaTheme="minorEastAsia"/>
          <w:szCs w:val="24"/>
        </w:rPr>
        <w:t>如发生有权司法机关依法冻结基金份额持有人的基金份额时，基金管理人、基金托管人应予以配合，承担司法协助义务。</w:t>
      </w:r>
    </w:p>
    <w:p w14:paraId="294A3CA4">
      <w:pPr>
        <w:pStyle w:val="5"/>
        <w:adjustRightInd w:val="0"/>
        <w:snapToGrid w:val="0"/>
        <w:spacing w:before="0" w:after="0" w:line="520" w:lineRule="atLeast"/>
        <w:ind w:left="0" w:firstLine="480"/>
        <w:rPr>
          <w:rFonts w:asciiTheme="minorEastAsia" w:hAnsiTheme="minorEastAsia" w:eastAsiaTheme="minorEastAsia"/>
          <w:szCs w:val="24"/>
        </w:rPr>
      </w:pPr>
      <w:r>
        <w:rPr>
          <w:rFonts w:hint="eastAsia" w:asciiTheme="minorEastAsia" w:hAnsiTheme="minorEastAsia" w:eastAsiaTheme="minorEastAsia"/>
          <w:szCs w:val="24"/>
        </w:rPr>
        <w:t>除本协议有明确定义外，本协议的用语定义适用基金合同的约定。本协议未尽事宜，当事人依据基金合同、有关法律法规等规定协商办理。</w:t>
      </w:r>
    </w:p>
    <w:p w14:paraId="006782D7">
      <w:pPr>
        <w:pStyle w:val="5"/>
        <w:adjustRightInd w:val="0"/>
        <w:snapToGrid w:val="0"/>
        <w:spacing w:before="0" w:after="0" w:line="520" w:lineRule="atLeast"/>
        <w:ind w:left="0" w:firstLine="480"/>
        <w:rPr>
          <w:rFonts w:asciiTheme="minorEastAsia" w:hAnsiTheme="minorEastAsia" w:eastAsiaTheme="minorEastAsia"/>
          <w:szCs w:val="24"/>
        </w:rPr>
      </w:pPr>
      <w:r>
        <w:rPr>
          <w:rFonts w:hint="eastAsia" w:asciiTheme="minorEastAsia" w:hAnsiTheme="minorEastAsia" w:eastAsiaTheme="minorEastAsia"/>
          <w:szCs w:val="24"/>
        </w:rPr>
        <w:t>本协议附件构成本协议不可分割的组成部分。</w:t>
      </w:r>
    </w:p>
    <w:p w14:paraId="26444F28">
      <w:pPr>
        <w:pStyle w:val="5"/>
        <w:adjustRightInd w:val="0"/>
        <w:snapToGrid w:val="0"/>
        <w:spacing w:before="0" w:after="0" w:line="520" w:lineRule="atLeast"/>
        <w:ind w:left="0" w:firstLine="480"/>
        <w:rPr>
          <w:rFonts w:asciiTheme="minorEastAsia" w:hAnsiTheme="minorEastAsia" w:eastAsiaTheme="minorEastAsia"/>
          <w:b/>
          <w:bCs/>
          <w:szCs w:val="24"/>
        </w:rPr>
      </w:pPr>
      <w:r>
        <w:rPr>
          <w:rFonts w:hint="eastAsia" w:asciiTheme="minorEastAsia" w:hAnsiTheme="minorEastAsia" w:eastAsiaTheme="minorEastAsia"/>
          <w:b/>
          <w:bCs/>
          <w:szCs w:val="24"/>
        </w:rPr>
        <w:t>如本条约定与其他条款约定冲突的，应以本条约定为准。</w:t>
      </w:r>
    </w:p>
    <w:p w14:paraId="7BD8084C">
      <w:pPr>
        <w:pStyle w:val="5"/>
        <w:adjustRightInd w:val="0"/>
        <w:snapToGrid w:val="0"/>
        <w:spacing w:before="0" w:after="0" w:line="520" w:lineRule="atLeast"/>
        <w:ind w:left="0" w:firstLine="480"/>
        <w:rPr>
          <w:rFonts w:hint="eastAsia" w:asciiTheme="minorEastAsia" w:hAnsiTheme="minorEastAsia" w:eastAsiaTheme="minorEastAsia"/>
          <w:b/>
          <w:bCs/>
          <w:szCs w:val="24"/>
        </w:rPr>
      </w:pPr>
      <w:r>
        <w:rPr>
          <w:rFonts w:hint="eastAsia" w:asciiTheme="minorEastAsia" w:hAnsiTheme="minorEastAsia" w:eastAsiaTheme="minorEastAsia"/>
          <w:b/>
          <w:bCs/>
          <w:szCs w:val="24"/>
        </w:rPr>
        <w:t>基金托管人已采取文字加粗、加黑、突出显示等合理方式提请基金管理人注意本协议项下免除或限制其责任的条款，并按基金管理人要求对有关条款予以充分说明。基金管理人已阅读本协议所有条款，对本协议条款的含义及相应的法律后果已全部通晓并充分理解，同意遵守以上条款。双方对本协议所有条款内容的理解不存在异议。</w:t>
      </w:r>
    </w:p>
    <w:p w14:paraId="79006D54">
      <w:pPr>
        <w:pStyle w:val="5"/>
        <w:adjustRightInd w:val="0"/>
        <w:snapToGrid w:val="0"/>
        <w:spacing w:before="0" w:after="0" w:line="520" w:lineRule="atLeast"/>
        <w:ind w:left="0" w:firstLine="480"/>
        <w:rPr>
          <w:rFonts w:hint="eastAsia" w:asciiTheme="minorEastAsia" w:hAnsiTheme="minorEastAsia" w:eastAsiaTheme="minorEastAsia"/>
          <w:b/>
          <w:bCs/>
          <w:szCs w:val="24"/>
        </w:rPr>
      </w:pPr>
    </w:p>
    <w:p w14:paraId="23C08FFC">
      <w:pPr>
        <w:widowControl/>
        <w:adjustRightInd w:val="0"/>
        <w:snapToGrid w:val="0"/>
        <w:spacing w:line="520" w:lineRule="atLeast"/>
        <w:ind w:firstLine="240" w:firstLineChars="1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（以下无正文）</w:t>
      </w:r>
    </w:p>
    <w:p w14:paraId="25CE9975"/>
    <w:sectPr>
      <w:footerReference r:id="rId3" w:type="default"/>
      <w:footerReference r:id="rId4" w:type="even"/>
      <w:pgSz w:w="11907" w:h="16840"/>
      <w:pgMar w:top="1090" w:right="1678" w:bottom="935" w:left="1678"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BB60">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407F028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39C">
    <w:pPr>
      <w:pStyle w:val="7"/>
      <w:framePr w:wrap="around" w:vAnchor="text" w:hAnchor="margin" w:xAlign="center" w:y="1"/>
      <w:rPr>
        <w:rStyle w:val="13"/>
      </w:rPr>
    </w:pPr>
    <w:r>
      <w:fldChar w:fldCharType="begin"/>
    </w:r>
    <w:r>
      <w:rPr>
        <w:rStyle w:val="13"/>
      </w:rPr>
      <w:instrText xml:space="preserve">PAGE  </w:instrText>
    </w:r>
    <w:r>
      <w:fldChar w:fldCharType="end"/>
    </w:r>
  </w:p>
  <w:p w14:paraId="7B98E58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A4A8C"/>
    <w:rsid w:val="00001CC1"/>
    <w:rsid w:val="0000297F"/>
    <w:rsid w:val="000236F4"/>
    <w:rsid w:val="000D3A76"/>
    <w:rsid w:val="001056F9"/>
    <w:rsid w:val="00152C47"/>
    <w:rsid w:val="0017579F"/>
    <w:rsid w:val="001A75B9"/>
    <w:rsid w:val="001C6D64"/>
    <w:rsid w:val="001F5CB5"/>
    <w:rsid w:val="00252CAC"/>
    <w:rsid w:val="00276F19"/>
    <w:rsid w:val="002968A6"/>
    <w:rsid w:val="002A67B5"/>
    <w:rsid w:val="002B708B"/>
    <w:rsid w:val="002E1987"/>
    <w:rsid w:val="003712CC"/>
    <w:rsid w:val="00372ACC"/>
    <w:rsid w:val="003B05D4"/>
    <w:rsid w:val="003C4137"/>
    <w:rsid w:val="003D34E1"/>
    <w:rsid w:val="003D6D69"/>
    <w:rsid w:val="00411AFC"/>
    <w:rsid w:val="004C6CF2"/>
    <w:rsid w:val="004D4F7B"/>
    <w:rsid w:val="005139E7"/>
    <w:rsid w:val="005A3408"/>
    <w:rsid w:val="005D4851"/>
    <w:rsid w:val="006106A7"/>
    <w:rsid w:val="0067098E"/>
    <w:rsid w:val="00714A84"/>
    <w:rsid w:val="00733A34"/>
    <w:rsid w:val="007D0226"/>
    <w:rsid w:val="00837FEA"/>
    <w:rsid w:val="008643D7"/>
    <w:rsid w:val="00873526"/>
    <w:rsid w:val="00903C49"/>
    <w:rsid w:val="0094591A"/>
    <w:rsid w:val="009B457C"/>
    <w:rsid w:val="00A070F4"/>
    <w:rsid w:val="00A10EA2"/>
    <w:rsid w:val="00A52B00"/>
    <w:rsid w:val="00A85D1E"/>
    <w:rsid w:val="00AA2704"/>
    <w:rsid w:val="00AA7A92"/>
    <w:rsid w:val="00B80154"/>
    <w:rsid w:val="00B854FB"/>
    <w:rsid w:val="00B93562"/>
    <w:rsid w:val="00BF17C9"/>
    <w:rsid w:val="00C36016"/>
    <w:rsid w:val="00C61C49"/>
    <w:rsid w:val="00C8459A"/>
    <w:rsid w:val="00CB3426"/>
    <w:rsid w:val="00CC1F99"/>
    <w:rsid w:val="00D0449D"/>
    <w:rsid w:val="00D402D3"/>
    <w:rsid w:val="00D45FC4"/>
    <w:rsid w:val="00D74113"/>
    <w:rsid w:val="00DE507F"/>
    <w:rsid w:val="00E2276F"/>
    <w:rsid w:val="00E309A9"/>
    <w:rsid w:val="00E5012B"/>
    <w:rsid w:val="00EC7108"/>
    <w:rsid w:val="00EC7C74"/>
    <w:rsid w:val="00F06A76"/>
    <w:rsid w:val="00FD2E32"/>
    <w:rsid w:val="00FF0633"/>
    <w:rsid w:val="0FE51601"/>
    <w:rsid w:val="139D3D4D"/>
    <w:rsid w:val="1720040C"/>
    <w:rsid w:val="19F329AB"/>
    <w:rsid w:val="1A9B020F"/>
    <w:rsid w:val="1AF67683"/>
    <w:rsid w:val="1C501614"/>
    <w:rsid w:val="21EC0B68"/>
    <w:rsid w:val="22884F2F"/>
    <w:rsid w:val="23331961"/>
    <w:rsid w:val="297D16A4"/>
    <w:rsid w:val="2ADE7F6A"/>
    <w:rsid w:val="2D073FEB"/>
    <w:rsid w:val="32DE3938"/>
    <w:rsid w:val="331A4A8C"/>
    <w:rsid w:val="347D683D"/>
    <w:rsid w:val="35D72A92"/>
    <w:rsid w:val="383F5C75"/>
    <w:rsid w:val="3845787C"/>
    <w:rsid w:val="3B013ECB"/>
    <w:rsid w:val="3C0706A6"/>
    <w:rsid w:val="3E0D1668"/>
    <w:rsid w:val="3EA95EEA"/>
    <w:rsid w:val="3F442375"/>
    <w:rsid w:val="45901770"/>
    <w:rsid w:val="4CD04AE4"/>
    <w:rsid w:val="4DFD777C"/>
    <w:rsid w:val="4FA03191"/>
    <w:rsid w:val="52210F45"/>
    <w:rsid w:val="5A2F11A8"/>
    <w:rsid w:val="5C116217"/>
    <w:rsid w:val="5D68544F"/>
    <w:rsid w:val="5D9A3C31"/>
    <w:rsid w:val="5E5827B2"/>
    <w:rsid w:val="5F3625AD"/>
    <w:rsid w:val="5F573441"/>
    <w:rsid w:val="62C90F25"/>
    <w:rsid w:val="656B02E4"/>
    <w:rsid w:val="6AFD7D86"/>
    <w:rsid w:val="6CA675F0"/>
    <w:rsid w:val="6F543F1B"/>
    <w:rsid w:val="710B44B6"/>
    <w:rsid w:val="71A43B94"/>
    <w:rsid w:val="71FF7FBD"/>
    <w:rsid w:val="72F26E2B"/>
    <w:rsid w:val="772F17F2"/>
    <w:rsid w:val="77E325ED"/>
    <w:rsid w:val="79812E76"/>
    <w:rsid w:val="7A907ACC"/>
    <w:rsid w:val="7FA3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ind w:firstLine="541"/>
      <w:outlineLvl w:val="0"/>
    </w:pPr>
    <w:rPr>
      <w:rFonts w:ascii="宋体" w:hAnsi="宋体"/>
      <w:b/>
      <w:color w:val="00000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qFormat/>
    <w:uiPriority w:val="0"/>
    <w:rPr>
      <w:rFonts w:ascii="Microsoft YaHei UI" w:eastAsia="Microsoft YaHei UI"/>
      <w:sz w:val="18"/>
      <w:szCs w:val="18"/>
    </w:rPr>
  </w:style>
  <w:style w:type="paragraph" w:styleId="4">
    <w:name w:val="annotation text"/>
    <w:basedOn w:val="1"/>
    <w:link w:val="17"/>
    <w:qFormat/>
    <w:uiPriority w:val="0"/>
    <w:pPr>
      <w:jc w:val="left"/>
    </w:pPr>
  </w:style>
  <w:style w:type="paragraph" w:styleId="5">
    <w:name w:val="Body Text Indent 2"/>
    <w:basedOn w:val="1"/>
    <w:qFormat/>
    <w:uiPriority w:val="0"/>
    <w:pPr>
      <w:spacing w:before="60" w:after="60"/>
      <w:ind w:left="479"/>
    </w:pPr>
    <w:rPr>
      <w:rFonts w:ascii="宋体"/>
      <w:sz w:val="24"/>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hyphen" w:pos="8296"/>
      </w:tabs>
      <w:spacing w:line="360" w:lineRule="auto"/>
    </w:pPr>
    <w:rPr>
      <w:rFonts w:ascii="宋体" w:hAnsi="宋体"/>
      <w:sz w:val="24"/>
      <w:szCs w:val="24"/>
    </w:rPr>
  </w:style>
  <w:style w:type="paragraph" w:styleId="10">
    <w:name w:val="annotation subject"/>
    <w:basedOn w:val="4"/>
    <w:next w:val="4"/>
    <w:link w:val="18"/>
    <w:qFormat/>
    <w:uiPriority w:val="0"/>
    <w:rPr>
      <w:b/>
      <w:bCs/>
    </w:r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批注框文本 Char"/>
    <w:basedOn w:val="12"/>
    <w:link w:val="6"/>
    <w:qFormat/>
    <w:uiPriority w:val="0"/>
    <w:rPr>
      <w:kern w:val="2"/>
      <w:sz w:val="18"/>
      <w:szCs w:val="18"/>
    </w:rPr>
  </w:style>
  <w:style w:type="character" w:customStyle="1" w:styleId="17">
    <w:name w:val="批注文字 Char"/>
    <w:basedOn w:val="12"/>
    <w:link w:val="4"/>
    <w:qFormat/>
    <w:uiPriority w:val="0"/>
    <w:rPr>
      <w:kern w:val="2"/>
      <w:sz w:val="21"/>
    </w:rPr>
  </w:style>
  <w:style w:type="character" w:customStyle="1" w:styleId="18">
    <w:name w:val="批注主题 Char"/>
    <w:basedOn w:val="17"/>
    <w:link w:val="10"/>
    <w:qFormat/>
    <w:uiPriority w:val="0"/>
    <w:rPr>
      <w:b/>
      <w:bCs/>
      <w:kern w:val="2"/>
      <w:sz w:val="21"/>
    </w:rPr>
  </w:style>
  <w:style w:type="character" w:customStyle="1" w:styleId="19">
    <w:name w:val="文档结构图 Char"/>
    <w:basedOn w:val="12"/>
    <w:link w:val="3"/>
    <w:qFormat/>
    <w:uiPriority w:val="0"/>
    <w:rPr>
      <w:rFonts w:ascii="Microsoft YaHei UI" w:eastAsia="Microsoft YaHei UI"/>
      <w:kern w:val="2"/>
      <w:sz w:val="18"/>
      <w:szCs w:val="18"/>
    </w:rPr>
  </w:style>
  <w:style w:type="character" w:customStyle="1" w:styleId="20">
    <w:name w:val="页眉 Char"/>
    <w:basedOn w:val="12"/>
    <w:link w:val="8"/>
    <w:qFormat/>
    <w:uiPriority w:val="0"/>
    <w:rPr>
      <w:kern w:val="2"/>
      <w:sz w:val="18"/>
      <w:szCs w:val="18"/>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中信银行</Company>
  <Pages>47</Pages>
  <Words>10177</Words>
  <Characters>10485</Characters>
  <Lines>263</Lines>
  <Paragraphs>74</Paragraphs>
  <TotalTime>32</TotalTime>
  <ScaleCrop>false</ScaleCrop>
  <LinksUpToDate>false</LinksUpToDate>
  <CharactersWithSpaces>10839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2021-02-23T03:48:00Z</dcterms:created>
  <dc:creator>陈莹</dc:creator>
  <cp:lastModifiedBy>聪子</cp:lastModifiedBy>
  <dcterms:modified xsi:type="dcterms:W3CDTF">2025-05-28T08:44:04Z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6B845392DA9849AA8449C1E673CE2B13</vt:lpwstr>
  </property>
  <property fmtid="{D5CDD505-2E9C-101B-9397-08002B2CF9AE}" pid="4" name="KSOTemplateDocerSaveRecord">
    <vt:lpwstr>eyJoZGlkIjoiNDlmZDQ1NzE5ZjE5YTIwNzY1NzE5N2I3MjBkYWExNjEiLCJ1c2VySWQiOiIxMDI2NTI0Njg4In0=</vt:lpwstr>
  </property>
</Properties>
</file>