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6F530">
      <w:pPr>
        <w:pStyle w:val="2"/>
        <w:jc w:val="center"/>
      </w:pPr>
      <w:r>
        <w:rPr>
          <w:rFonts w:ascii="宋体" w:hAnsi="宋体" w:eastAsia="宋体" w:cs="宋体"/>
        </w:rPr>
        <w:t>东方阿尔法产业先锋混合型发起式证券投资基金（C类份额）基金产品资料概要更新</w:t>
      </w:r>
    </w:p>
    <w:p w14:paraId="1FB63998">
      <w:pPr>
        <w:jc w:val="right"/>
      </w:pPr>
      <w:r>
        <w:rPr>
          <w:rFonts w:ascii="宋体" w:hAnsi="宋体" w:eastAsia="宋体" w:cs="宋体"/>
          <w:b w:val="0"/>
        </w:rPr>
        <w:t>编制日期：2025年07月02日</w:t>
      </w:r>
    </w:p>
    <w:p w14:paraId="315932C5">
      <w:pPr>
        <w:jc w:val="center"/>
      </w:pPr>
      <w:r>
        <w:rPr>
          <w:rFonts w:ascii="宋体" w:hAnsi="宋体" w:eastAsia="宋体" w:cs="宋体"/>
          <w:b w:val="0"/>
        </w:rPr>
        <w:t>送出日期：2025年07月03日</w:t>
      </w:r>
    </w:p>
    <w:p w14:paraId="30AD42B2">
      <w:pPr>
        <w:jc w:val="center"/>
      </w:pPr>
      <w:r>
        <w:rPr>
          <w:rFonts w:ascii="宋体" w:hAnsi="宋体" w:eastAsia="宋体" w:cs="宋体"/>
          <w:b/>
        </w:rPr>
        <w:t>本概要提供本基金的重要信息，是招募说明书的一部分。</w:t>
      </w:r>
    </w:p>
    <w:p w14:paraId="21B13BFE">
      <w:pPr>
        <w:jc w:val="center"/>
      </w:pPr>
      <w:r>
        <w:rPr>
          <w:rFonts w:ascii="宋体" w:hAnsi="宋体" w:eastAsia="宋体" w:cs="宋体"/>
          <w:b/>
        </w:rPr>
        <w:t>作出投资决定前，请阅读完整的招募说明书等销售文件。</w:t>
      </w:r>
    </w:p>
    <w:p w14:paraId="694F7C9C">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14:paraId="736A1E94">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31A1F3FA">
            <w:pPr>
              <w:spacing w:line="240" w:lineRule="auto"/>
              <w:jc w:val="left"/>
            </w:pPr>
            <w:r>
              <w:rPr>
                <w:rFonts w:ascii="宋体" w:hAnsi="宋体" w:eastAsia="宋体" w:cs="宋体"/>
                <w:b/>
              </w:rPr>
              <w:t>基金简称</w:t>
            </w:r>
          </w:p>
        </w:tc>
        <w:tc>
          <w:tcPr>
            <w:tcW w:w="1346" w:type="pct"/>
            <w:vAlign w:val="center"/>
          </w:tcPr>
          <w:p w14:paraId="45D405A6">
            <w:pPr>
              <w:spacing w:line="240" w:lineRule="auto"/>
              <w:jc w:val="left"/>
            </w:pPr>
            <w:r>
              <w:rPr>
                <w:rFonts w:ascii="宋体" w:hAnsi="宋体" w:eastAsia="宋体" w:cs="宋体"/>
                <w:b w:val="0"/>
              </w:rPr>
              <w:t>东方阿尔法产业先锋混合</w:t>
            </w:r>
          </w:p>
        </w:tc>
        <w:tc>
          <w:tcPr>
            <w:tcW w:w="1154" w:type="pct"/>
            <w:vAlign w:val="center"/>
          </w:tcPr>
          <w:p w14:paraId="3734575B">
            <w:pPr>
              <w:spacing w:line="240" w:lineRule="auto"/>
              <w:jc w:val="left"/>
            </w:pPr>
            <w:r>
              <w:rPr>
                <w:rFonts w:ascii="宋体" w:hAnsi="宋体" w:eastAsia="宋体" w:cs="宋体"/>
                <w:b/>
              </w:rPr>
              <w:t>基金代码</w:t>
            </w:r>
          </w:p>
        </w:tc>
        <w:tc>
          <w:tcPr>
            <w:tcW w:w="1346" w:type="pct"/>
            <w:vAlign w:val="center"/>
          </w:tcPr>
          <w:p w14:paraId="3FBCDF9F">
            <w:pPr>
              <w:spacing w:line="240" w:lineRule="auto"/>
              <w:jc w:val="left"/>
            </w:pPr>
            <w:r>
              <w:rPr>
                <w:rFonts w:ascii="宋体" w:hAnsi="宋体" w:eastAsia="宋体" w:cs="宋体"/>
                <w:b w:val="0"/>
              </w:rPr>
              <w:t>011704</w:t>
            </w:r>
          </w:p>
        </w:tc>
      </w:tr>
      <w:tr w14:paraId="613144BD">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3EA2A6E0">
            <w:pPr>
              <w:spacing w:line="240" w:lineRule="auto"/>
              <w:jc w:val="left"/>
            </w:pPr>
            <w:r>
              <w:rPr>
                <w:rFonts w:ascii="宋体" w:hAnsi="宋体" w:eastAsia="宋体" w:cs="宋体"/>
                <w:b/>
              </w:rPr>
              <w:t>基金简称C</w:t>
            </w:r>
          </w:p>
        </w:tc>
        <w:tc>
          <w:tcPr>
            <w:tcW w:w="0" w:type="dxa"/>
            <w:vAlign w:val="center"/>
          </w:tcPr>
          <w:p w14:paraId="07B70223">
            <w:pPr>
              <w:spacing w:line="240" w:lineRule="auto"/>
              <w:jc w:val="left"/>
            </w:pPr>
            <w:r>
              <w:rPr>
                <w:rFonts w:ascii="宋体" w:hAnsi="宋体" w:eastAsia="宋体" w:cs="宋体"/>
                <w:b w:val="0"/>
              </w:rPr>
              <w:t>东方阿尔法产业先锋混合C</w:t>
            </w:r>
          </w:p>
        </w:tc>
        <w:tc>
          <w:tcPr>
            <w:tcW w:w="0" w:type="dxa"/>
            <w:vAlign w:val="center"/>
          </w:tcPr>
          <w:p w14:paraId="220F9695">
            <w:pPr>
              <w:spacing w:line="240" w:lineRule="auto"/>
              <w:jc w:val="left"/>
            </w:pPr>
            <w:r>
              <w:rPr>
                <w:rFonts w:ascii="宋体" w:hAnsi="宋体" w:eastAsia="宋体" w:cs="宋体"/>
                <w:b/>
              </w:rPr>
              <w:t>基金代码C</w:t>
            </w:r>
          </w:p>
        </w:tc>
        <w:tc>
          <w:tcPr>
            <w:tcW w:w="0" w:type="dxa"/>
            <w:vAlign w:val="center"/>
          </w:tcPr>
          <w:p w14:paraId="52292E83">
            <w:pPr>
              <w:spacing w:line="240" w:lineRule="auto"/>
              <w:jc w:val="left"/>
            </w:pPr>
            <w:r>
              <w:rPr>
                <w:rFonts w:ascii="宋体" w:hAnsi="宋体" w:eastAsia="宋体" w:cs="宋体"/>
                <w:b w:val="0"/>
              </w:rPr>
              <w:t>011705</w:t>
            </w:r>
          </w:p>
        </w:tc>
      </w:tr>
      <w:tr w14:paraId="091C323D">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6B069FF4">
            <w:pPr>
              <w:spacing w:line="240" w:lineRule="auto"/>
              <w:jc w:val="left"/>
            </w:pPr>
            <w:r>
              <w:rPr>
                <w:rFonts w:ascii="宋体" w:hAnsi="宋体" w:eastAsia="宋体" w:cs="宋体"/>
                <w:b/>
              </w:rPr>
              <w:t>基金管理人</w:t>
            </w:r>
          </w:p>
        </w:tc>
        <w:tc>
          <w:tcPr>
            <w:tcW w:w="0" w:type="dxa"/>
            <w:vAlign w:val="center"/>
          </w:tcPr>
          <w:p w14:paraId="207DE4CA">
            <w:pPr>
              <w:spacing w:line="240" w:lineRule="auto"/>
              <w:jc w:val="left"/>
            </w:pPr>
            <w:r>
              <w:rPr>
                <w:rFonts w:ascii="宋体" w:hAnsi="宋体" w:eastAsia="宋体" w:cs="宋体"/>
                <w:b w:val="0"/>
              </w:rPr>
              <w:t>东方阿尔法基金管理有限公司</w:t>
            </w:r>
          </w:p>
        </w:tc>
        <w:tc>
          <w:tcPr>
            <w:tcW w:w="0" w:type="dxa"/>
            <w:vAlign w:val="center"/>
          </w:tcPr>
          <w:p w14:paraId="231C4072">
            <w:pPr>
              <w:spacing w:line="240" w:lineRule="auto"/>
              <w:jc w:val="left"/>
            </w:pPr>
            <w:r>
              <w:rPr>
                <w:rFonts w:ascii="宋体" w:hAnsi="宋体" w:eastAsia="宋体" w:cs="宋体"/>
                <w:b/>
              </w:rPr>
              <w:t>基金托管人</w:t>
            </w:r>
          </w:p>
        </w:tc>
        <w:tc>
          <w:tcPr>
            <w:tcW w:w="0" w:type="dxa"/>
            <w:vAlign w:val="center"/>
          </w:tcPr>
          <w:p w14:paraId="612788FD">
            <w:pPr>
              <w:spacing w:line="240" w:lineRule="auto"/>
              <w:jc w:val="left"/>
            </w:pPr>
            <w:r>
              <w:rPr>
                <w:rFonts w:ascii="宋体" w:hAnsi="宋体" w:eastAsia="宋体" w:cs="宋体"/>
                <w:b w:val="0"/>
              </w:rPr>
              <w:t>招商银行股份有限公司</w:t>
            </w:r>
          </w:p>
        </w:tc>
      </w:tr>
      <w:tr w14:paraId="6CCAE47A">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42A0E7E9">
            <w:pPr>
              <w:spacing w:line="240" w:lineRule="auto"/>
              <w:jc w:val="left"/>
            </w:pPr>
            <w:r>
              <w:rPr>
                <w:rFonts w:ascii="宋体" w:hAnsi="宋体" w:eastAsia="宋体" w:cs="宋体"/>
                <w:b/>
              </w:rPr>
              <w:t>基金合同生效日</w:t>
            </w:r>
          </w:p>
        </w:tc>
        <w:tc>
          <w:tcPr>
            <w:tcW w:w="0" w:type="dxa"/>
            <w:vAlign w:val="center"/>
          </w:tcPr>
          <w:p w14:paraId="3CAD416B">
            <w:pPr>
              <w:spacing w:line="240" w:lineRule="auto"/>
              <w:jc w:val="left"/>
            </w:pPr>
            <w:r>
              <w:rPr>
                <w:rFonts w:ascii="宋体" w:hAnsi="宋体" w:eastAsia="宋体" w:cs="宋体"/>
                <w:b w:val="0"/>
              </w:rPr>
              <w:t>2021年07月21日</w:t>
            </w:r>
          </w:p>
        </w:tc>
        <w:tc>
          <w:tcPr>
            <w:tcW w:w="0" w:type="dxa"/>
            <w:vAlign w:val="center"/>
          </w:tcPr>
          <w:p w14:paraId="22311C8D">
            <w:pPr>
              <w:spacing w:line="240" w:lineRule="auto"/>
              <w:jc w:val="left"/>
            </w:pPr>
            <w:r>
              <w:rPr>
                <w:rFonts w:ascii="宋体" w:hAnsi="宋体" w:eastAsia="宋体" w:cs="宋体"/>
                <w:b/>
              </w:rPr>
              <w:t>上市交易所及上市日期</w:t>
            </w:r>
          </w:p>
        </w:tc>
        <w:tc>
          <w:tcPr>
            <w:tcW w:w="0" w:type="dxa"/>
            <w:vAlign w:val="center"/>
          </w:tcPr>
          <w:p w14:paraId="761FED52">
            <w:pPr>
              <w:spacing w:line="240" w:lineRule="auto"/>
              <w:jc w:val="left"/>
            </w:pPr>
            <w:r>
              <w:rPr>
                <w:rFonts w:ascii="宋体" w:hAnsi="宋体" w:eastAsia="宋体" w:cs="宋体"/>
                <w:b w:val="0"/>
              </w:rPr>
              <w:t>暂未上市</w:t>
            </w:r>
          </w:p>
        </w:tc>
      </w:tr>
      <w:tr w14:paraId="2D26BD33">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7CDD606B">
            <w:pPr>
              <w:spacing w:line="240" w:lineRule="auto"/>
              <w:jc w:val="left"/>
            </w:pPr>
            <w:r>
              <w:rPr>
                <w:rFonts w:ascii="宋体" w:hAnsi="宋体" w:eastAsia="宋体" w:cs="宋体"/>
                <w:b/>
              </w:rPr>
              <w:t>基金类型</w:t>
            </w:r>
          </w:p>
        </w:tc>
        <w:tc>
          <w:tcPr>
            <w:tcW w:w="0" w:type="dxa"/>
            <w:vAlign w:val="center"/>
          </w:tcPr>
          <w:p w14:paraId="657081D0">
            <w:pPr>
              <w:spacing w:line="240" w:lineRule="auto"/>
              <w:jc w:val="left"/>
            </w:pPr>
            <w:r>
              <w:rPr>
                <w:rFonts w:ascii="宋体" w:hAnsi="宋体" w:eastAsia="宋体" w:cs="宋体"/>
                <w:b w:val="0"/>
              </w:rPr>
              <w:t>混合型</w:t>
            </w:r>
          </w:p>
        </w:tc>
        <w:tc>
          <w:tcPr>
            <w:tcW w:w="0" w:type="dxa"/>
            <w:vAlign w:val="center"/>
          </w:tcPr>
          <w:p w14:paraId="410F34E6">
            <w:pPr>
              <w:spacing w:line="240" w:lineRule="auto"/>
              <w:jc w:val="left"/>
            </w:pPr>
            <w:r>
              <w:rPr>
                <w:rFonts w:ascii="宋体" w:hAnsi="宋体" w:eastAsia="宋体" w:cs="宋体"/>
                <w:b/>
              </w:rPr>
              <w:t>交易币种</w:t>
            </w:r>
          </w:p>
        </w:tc>
        <w:tc>
          <w:tcPr>
            <w:tcW w:w="0" w:type="dxa"/>
            <w:vAlign w:val="center"/>
          </w:tcPr>
          <w:p w14:paraId="3FAB5242">
            <w:pPr>
              <w:spacing w:line="240" w:lineRule="auto"/>
              <w:jc w:val="left"/>
            </w:pPr>
            <w:r>
              <w:rPr>
                <w:rFonts w:ascii="宋体" w:hAnsi="宋体" w:eastAsia="宋体" w:cs="宋体"/>
                <w:b w:val="0"/>
              </w:rPr>
              <w:t>人民币</w:t>
            </w:r>
          </w:p>
        </w:tc>
      </w:tr>
      <w:tr w14:paraId="54D0F623">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525D22ED">
            <w:pPr>
              <w:spacing w:line="240" w:lineRule="auto"/>
              <w:jc w:val="left"/>
            </w:pPr>
            <w:r>
              <w:rPr>
                <w:rFonts w:ascii="宋体" w:hAnsi="宋体" w:eastAsia="宋体" w:cs="宋体"/>
                <w:b/>
              </w:rPr>
              <w:t>运作方式</w:t>
            </w:r>
          </w:p>
        </w:tc>
        <w:tc>
          <w:tcPr>
            <w:tcW w:w="0" w:type="dxa"/>
            <w:vAlign w:val="center"/>
          </w:tcPr>
          <w:p w14:paraId="65473553">
            <w:pPr>
              <w:spacing w:line="240" w:lineRule="auto"/>
              <w:jc w:val="left"/>
            </w:pPr>
            <w:r>
              <w:rPr>
                <w:rFonts w:ascii="宋体" w:hAnsi="宋体" w:eastAsia="宋体" w:cs="宋体"/>
                <w:b w:val="0"/>
              </w:rPr>
              <w:t>普通开放式</w:t>
            </w:r>
          </w:p>
        </w:tc>
        <w:tc>
          <w:tcPr>
            <w:tcW w:w="0" w:type="dxa"/>
            <w:vAlign w:val="center"/>
          </w:tcPr>
          <w:p w14:paraId="6A6BF877">
            <w:pPr>
              <w:spacing w:line="240" w:lineRule="auto"/>
              <w:jc w:val="left"/>
            </w:pPr>
            <w:r>
              <w:rPr>
                <w:rFonts w:ascii="宋体" w:hAnsi="宋体" w:eastAsia="宋体" w:cs="宋体"/>
                <w:b/>
              </w:rPr>
              <w:t>开放频率</w:t>
            </w:r>
          </w:p>
        </w:tc>
        <w:tc>
          <w:tcPr>
            <w:tcW w:w="0" w:type="dxa"/>
            <w:vAlign w:val="center"/>
          </w:tcPr>
          <w:p w14:paraId="33D9F49F">
            <w:pPr>
              <w:spacing w:line="240" w:lineRule="auto"/>
              <w:jc w:val="left"/>
            </w:pPr>
            <w:r>
              <w:rPr>
                <w:rFonts w:ascii="宋体" w:hAnsi="宋体" w:eastAsia="宋体" w:cs="宋体"/>
                <w:b w:val="0"/>
              </w:rPr>
              <w:t>每个开放日</w:t>
            </w:r>
          </w:p>
        </w:tc>
      </w:tr>
      <w:tr w14:paraId="199B6A9E">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14:paraId="599ED1CE">
            <w:pPr>
              <w:spacing w:line="240" w:lineRule="auto"/>
              <w:jc w:val="left"/>
            </w:pPr>
            <w:r>
              <w:rPr>
                <w:rFonts w:ascii="宋体" w:hAnsi="宋体" w:eastAsia="宋体" w:cs="宋体"/>
                <w:b/>
              </w:rPr>
              <w:t>基金经理</w:t>
            </w:r>
          </w:p>
        </w:tc>
        <w:tc>
          <w:tcPr>
            <w:tcW w:w="0" w:type="dxa"/>
            <w:vMerge w:val="restart"/>
            <w:vAlign w:val="center"/>
          </w:tcPr>
          <w:p w14:paraId="6835613E">
            <w:pPr>
              <w:spacing w:line="240" w:lineRule="auto"/>
              <w:jc w:val="left"/>
            </w:pPr>
            <w:r>
              <w:rPr>
                <w:rFonts w:ascii="宋体" w:hAnsi="宋体" w:eastAsia="宋体" w:cs="宋体"/>
                <w:b w:val="0"/>
              </w:rPr>
              <w:t>尹智斌</w:t>
            </w:r>
          </w:p>
        </w:tc>
        <w:tc>
          <w:tcPr>
            <w:tcW w:w="0" w:type="dxa"/>
            <w:vAlign w:val="center"/>
          </w:tcPr>
          <w:p w14:paraId="36EBA81C">
            <w:pPr>
              <w:spacing w:line="240" w:lineRule="auto"/>
              <w:jc w:val="left"/>
            </w:pPr>
            <w:r>
              <w:rPr>
                <w:rFonts w:ascii="宋体" w:hAnsi="宋体" w:eastAsia="宋体" w:cs="宋体"/>
                <w:b/>
              </w:rPr>
              <w:t>开始担任本基金基金经理的日期</w:t>
            </w:r>
          </w:p>
        </w:tc>
        <w:tc>
          <w:tcPr>
            <w:tcW w:w="0" w:type="dxa"/>
            <w:vAlign w:val="center"/>
          </w:tcPr>
          <w:p w14:paraId="0DB9B146">
            <w:pPr>
              <w:spacing w:line="240" w:lineRule="auto"/>
              <w:jc w:val="left"/>
            </w:pPr>
            <w:r>
              <w:rPr>
                <w:rFonts w:ascii="宋体" w:hAnsi="宋体" w:eastAsia="宋体" w:cs="宋体"/>
                <w:b w:val="0"/>
              </w:rPr>
              <w:t>2024年01月30日</w:t>
            </w:r>
          </w:p>
        </w:tc>
      </w:tr>
      <w:tr w14:paraId="6565B062">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14:paraId="653F6988"/>
        </w:tc>
        <w:tc>
          <w:tcPr>
            <w:vMerge w:val="continue"/>
          </w:tcPr>
          <w:p w14:paraId="6AE46C7D"/>
        </w:tc>
        <w:tc>
          <w:tcPr>
            <w:tcW w:w="0" w:type="dxa"/>
            <w:vAlign w:val="center"/>
          </w:tcPr>
          <w:p w14:paraId="57BACB12">
            <w:pPr>
              <w:spacing w:line="240" w:lineRule="auto"/>
              <w:jc w:val="left"/>
            </w:pPr>
            <w:r>
              <w:rPr>
                <w:rFonts w:ascii="宋体" w:hAnsi="宋体" w:eastAsia="宋体" w:cs="宋体"/>
                <w:b/>
              </w:rPr>
              <w:t>证券从业日期</w:t>
            </w:r>
          </w:p>
        </w:tc>
        <w:tc>
          <w:tcPr>
            <w:tcW w:w="0" w:type="dxa"/>
            <w:vAlign w:val="center"/>
          </w:tcPr>
          <w:p w14:paraId="1820A8F5">
            <w:pPr>
              <w:spacing w:line="240" w:lineRule="auto"/>
              <w:jc w:val="left"/>
            </w:pPr>
            <w:r>
              <w:rPr>
                <w:rFonts w:ascii="宋体" w:hAnsi="宋体" w:eastAsia="宋体" w:cs="宋体"/>
                <w:b w:val="0"/>
              </w:rPr>
              <w:t>2018年08月06日</w:t>
            </w:r>
          </w:p>
        </w:tc>
      </w:tr>
      <w:tr w14:paraId="7B2353A2">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14:paraId="14DA9AA7">
            <w:pPr>
              <w:spacing w:line="240" w:lineRule="auto"/>
              <w:jc w:val="left"/>
            </w:pPr>
            <w:r>
              <w:rPr>
                <w:rFonts w:ascii="宋体" w:hAnsi="宋体" w:eastAsia="宋体" w:cs="宋体"/>
                <w:b/>
              </w:rPr>
              <w:t>基金经理</w:t>
            </w:r>
          </w:p>
        </w:tc>
        <w:tc>
          <w:tcPr>
            <w:tcW w:w="0" w:type="dxa"/>
            <w:vMerge w:val="restart"/>
            <w:vAlign w:val="center"/>
          </w:tcPr>
          <w:p w14:paraId="102FE77B">
            <w:pPr>
              <w:spacing w:line="240" w:lineRule="auto"/>
              <w:jc w:val="left"/>
            </w:pPr>
            <w:r>
              <w:rPr>
                <w:rFonts w:ascii="宋体" w:hAnsi="宋体" w:eastAsia="宋体" w:cs="宋体"/>
                <w:b w:val="0"/>
              </w:rPr>
              <w:t>周谧</w:t>
            </w:r>
          </w:p>
        </w:tc>
        <w:tc>
          <w:tcPr>
            <w:tcW w:w="0" w:type="dxa"/>
            <w:vAlign w:val="center"/>
          </w:tcPr>
          <w:p w14:paraId="00E718C7">
            <w:pPr>
              <w:spacing w:line="240" w:lineRule="auto"/>
              <w:jc w:val="left"/>
            </w:pPr>
            <w:r>
              <w:rPr>
                <w:rFonts w:ascii="宋体" w:hAnsi="宋体" w:eastAsia="宋体" w:cs="宋体"/>
                <w:b/>
              </w:rPr>
              <w:t>开始担任本基金基金经理的日期</w:t>
            </w:r>
          </w:p>
        </w:tc>
        <w:tc>
          <w:tcPr>
            <w:tcW w:w="0" w:type="dxa"/>
            <w:vAlign w:val="center"/>
          </w:tcPr>
          <w:p w14:paraId="5C91B505">
            <w:pPr>
              <w:spacing w:line="240" w:lineRule="auto"/>
              <w:jc w:val="left"/>
            </w:pPr>
            <w:r>
              <w:rPr>
                <w:rFonts w:ascii="宋体" w:hAnsi="宋体" w:eastAsia="宋体" w:cs="宋体"/>
                <w:b w:val="0"/>
              </w:rPr>
              <w:t>2025年07月01日</w:t>
            </w:r>
          </w:p>
        </w:tc>
      </w:tr>
      <w:tr w14:paraId="04E2E49D">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14:paraId="327D8D67"/>
        </w:tc>
        <w:tc>
          <w:tcPr>
            <w:vMerge w:val="continue"/>
          </w:tcPr>
          <w:p w14:paraId="339CEC6B"/>
        </w:tc>
        <w:tc>
          <w:tcPr>
            <w:tcW w:w="0" w:type="dxa"/>
            <w:vAlign w:val="center"/>
          </w:tcPr>
          <w:p w14:paraId="4B15E710">
            <w:pPr>
              <w:spacing w:line="240" w:lineRule="auto"/>
              <w:jc w:val="left"/>
            </w:pPr>
            <w:r>
              <w:rPr>
                <w:rFonts w:ascii="宋体" w:hAnsi="宋体" w:eastAsia="宋体" w:cs="宋体"/>
                <w:b/>
              </w:rPr>
              <w:t>证券从业日期</w:t>
            </w:r>
          </w:p>
        </w:tc>
        <w:tc>
          <w:tcPr>
            <w:tcW w:w="0" w:type="dxa"/>
            <w:vAlign w:val="center"/>
          </w:tcPr>
          <w:p w14:paraId="1B455981">
            <w:pPr>
              <w:spacing w:line="240" w:lineRule="auto"/>
              <w:jc w:val="left"/>
            </w:pPr>
            <w:r>
              <w:rPr>
                <w:rFonts w:ascii="宋体" w:hAnsi="宋体" w:eastAsia="宋体" w:cs="宋体"/>
                <w:b w:val="0"/>
              </w:rPr>
              <w:t>2010年07月23日</w:t>
            </w:r>
          </w:p>
        </w:tc>
      </w:tr>
    </w:tbl>
    <w:p w14:paraId="09967E39"/>
    <w:p w14:paraId="3E5D5B36">
      <w:pPr>
        <w:pStyle w:val="3"/>
        <w:jc w:val="left"/>
      </w:pPr>
      <w:r>
        <w:rPr>
          <w:rFonts w:ascii="宋体" w:hAnsi="宋体" w:eastAsia="宋体" w:cs="宋体"/>
        </w:rPr>
        <w:t>二、基金投资与净值表现</w:t>
      </w:r>
    </w:p>
    <w:p w14:paraId="43ADBDEF">
      <w:r>
        <w:rPr>
          <w:rFonts w:ascii="宋体" w:hAnsi="宋体" w:eastAsia="宋体" w:cs="宋体"/>
          <w:b/>
        </w:rPr>
        <w:t>（一）投资目标与投资策略</w:t>
      </w:r>
    </w:p>
    <w:p w14:paraId="58C2F344">
      <w:r>
        <w:rPr>
          <w:rFonts w:ascii="宋体" w:hAnsi="宋体" w:eastAsia="宋体" w:cs="宋体"/>
          <w:b w:val="0"/>
        </w:rPr>
        <w:t xml:space="preserve">    详见《东方阿尔法产业先锋混合型发起式证券投资基金招募说明书》第九部分“基金的投资”。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14:paraId="4FDD380B">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0AFCB5B7">
            <w:pPr>
              <w:spacing w:line="240" w:lineRule="auto"/>
              <w:jc w:val="left"/>
            </w:pPr>
            <w:r>
              <w:rPr>
                <w:rFonts w:ascii="宋体" w:hAnsi="宋体" w:eastAsia="宋体" w:cs="宋体"/>
                <w:b/>
              </w:rPr>
              <w:t>投资目标</w:t>
            </w:r>
          </w:p>
        </w:tc>
        <w:tc>
          <w:tcPr>
            <w:tcW w:w="3846" w:type="pct"/>
            <w:vAlign w:val="center"/>
          </w:tcPr>
          <w:p w14:paraId="118F795F">
            <w:pPr>
              <w:spacing w:line="240" w:lineRule="auto"/>
              <w:jc w:val="left"/>
            </w:pPr>
            <w:r>
              <w:rPr>
                <w:rFonts w:ascii="宋体" w:hAnsi="宋体" w:eastAsia="宋体" w:cs="宋体"/>
                <w:b w:val="0"/>
              </w:rPr>
              <w:t>本基金在严格控制风险的前提下，通过产业精选和个股研究，力求选择景气度上行产业中具有先锋优势的优质个股，力争实现基金资产的持续稳定增值。</w:t>
            </w:r>
          </w:p>
        </w:tc>
      </w:tr>
      <w:tr w14:paraId="2E998D37">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4B056D22">
            <w:pPr>
              <w:spacing w:line="240" w:lineRule="auto"/>
              <w:jc w:val="left"/>
            </w:pPr>
            <w:r>
              <w:rPr>
                <w:rFonts w:ascii="宋体" w:hAnsi="宋体" w:eastAsia="宋体" w:cs="宋体"/>
                <w:b/>
              </w:rPr>
              <w:t>投资范围</w:t>
            </w:r>
          </w:p>
        </w:tc>
        <w:tc>
          <w:tcPr>
            <w:tcW w:w="3846" w:type="pct"/>
            <w:vAlign w:val="center"/>
          </w:tcPr>
          <w:p w14:paraId="2603B813">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14:paraId="4C165AB8">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4BA97FD2">
            <w:pPr>
              <w:spacing w:line="240" w:lineRule="auto"/>
              <w:jc w:val="left"/>
            </w:pPr>
            <w:r>
              <w:rPr>
                <w:rFonts w:ascii="宋体" w:hAnsi="宋体" w:eastAsia="宋体" w:cs="宋体"/>
                <w:b/>
              </w:rPr>
              <w:t>主要投资策略</w:t>
            </w:r>
          </w:p>
        </w:tc>
        <w:tc>
          <w:tcPr>
            <w:tcW w:w="3846" w:type="pct"/>
            <w:vAlign w:val="center"/>
          </w:tcPr>
          <w:p w14:paraId="31F41D41">
            <w:pPr>
              <w:spacing w:line="240" w:lineRule="auto"/>
              <w:jc w:val="left"/>
            </w:pPr>
            <w:r>
              <w:rPr>
                <w:rFonts w:ascii="宋体" w:hAnsi="宋体" w:eastAsia="宋体" w:cs="宋体"/>
                <w:b w:val="0"/>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14:paraId="637486A3">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2752E0F4">
            <w:pPr>
              <w:spacing w:line="240" w:lineRule="auto"/>
              <w:jc w:val="left"/>
            </w:pPr>
            <w:r>
              <w:rPr>
                <w:rFonts w:ascii="宋体" w:hAnsi="宋体" w:eastAsia="宋体" w:cs="宋体"/>
                <w:b/>
              </w:rPr>
              <w:t>业绩比较基准</w:t>
            </w:r>
          </w:p>
        </w:tc>
        <w:tc>
          <w:tcPr>
            <w:tcW w:w="3846" w:type="pct"/>
            <w:vAlign w:val="center"/>
          </w:tcPr>
          <w:p w14:paraId="48AD3EB3">
            <w:pPr>
              <w:spacing w:line="240" w:lineRule="auto"/>
              <w:jc w:val="left"/>
            </w:pPr>
            <w:r>
              <w:rPr>
                <w:rFonts w:ascii="宋体" w:hAnsi="宋体" w:eastAsia="宋体" w:cs="宋体"/>
                <w:b w:val="0"/>
              </w:rPr>
              <w:t>中证800指数收益率×80%+中证综合债券指数收益率×20%</w:t>
            </w:r>
          </w:p>
        </w:tc>
      </w:tr>
      <w:tr w14:paraId="4A061375">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66415442">
            <w:pPr>
              <w:spacing w:line="240" w:lineRule="auto"/>
              <w:jc w:val="left"/>
            </w:pPr>
            <w:r>
              <w:rPr>
                <w:rFonts w:ascii="宋体" w:hAnsi="宋体" w:eastAsia="宋体" w:cs="宋体"/>
                <w:b/>
              </w:rPr>
              <w:t>风险收益特征</w:t>
            </w:r>
          </w:p>
        </w:tc>
        <w:tc>
          <w:tcPr>
            <w:tcW w:w="3846" w:type="pct"/>
            <w:vAlign w:val="center"/>
          </w:tcPr>
          <w:p w14:paraId="1E1E0E59">
            <w:pPr>
              <w:spacing w:line="240" w:lineRule="auto"/>
              <w:jc w:val="left"/>
            </w:pPr>
            <w:r>
              <w:rPr>
                <w:rFonts w:ascii="宋体" w:hAnsi="宋体" w:eastAsia="宋体" w:cs="宋体"/>
                <w:b w:val="0"/>
              </w:rPr>
              <w:t>本基金为混合型基金，其预期收益和风险高于货币型基金、债券型基金。</w:t>
            </w:r>
          </w:p>
        </w:tc>
      </w:tr>
    </w:tbl>
    <w:p w14:paraId="592AA19A">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0BB6180A"/>
    <w:p w14:paraId="4E972D29">
      <w:r>
        <w:rPr>
          <w:rFonts w:ascii="宋体" w:hAnsi="宋体" w:eastAsia="宋体" w:cs="宋体"/>
          <w:b/>
        </w:rPr>
        <w:t>（二）投资组合资产配置图表/区域配置图表</w:t>
      </w:r>
    </w:p>
    <w:p w14:paraId="33808E77">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2AD5B76D"/>
    <w:p w14:paraId="202146A5">
      <w:r>
        <w:rPr>
          <w:rFonts w:ascii="宋体" w:hAnsi="宋体" w:eastAsia="宋体" w:cs="宋体"/>
          <w:b/>
        </w:rPr>
        <w:t>（三）自基金合同生效以来/最近十年（孰短）基金每年的净值增长率及与同期业绩比较基准的比较图</w:t>
      </w:r>
    </w:p>
    <w:p w14:paraId="10AA4DBE">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0EC0252B"/>
    <w:p w14:paraId="0D806885">
      <w:pPr>
        <w:pStyle w:val="3"/>
        <w:jc w:val="left"/>
      </w:pPr>
      <w:r>
        <w:rPr>
          <w:rFonts w:ascii="宋体" w:hAnsi="宋体" w:eastAsia="宋体" w:cs="宋体"/>
        </w:rPr>
        <w:t>三、投资本基金涉及的费用</w:t>
      </w:r>
    </w:p>
    <w:p w14:paraId="5ECD3461">
      <w:r>
        <w:rPr>
          <w:rFonts w:ascii="宋体" w:hAnsi="宋体" w:eastAsia="宋体" w:cs="宋体"/>
          <w:b/>
        </w:rPr>
        <w:t>（一）基金销售相关费用</w:t>
      </w:r>
    </w:p>
    <w:p w14:paraId="33F77CDD">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14:paraId="07E0E116">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14:paraId="45115830">
            <w:pPr>
              <w:spacing w:line="240" w:lineRule="auto"/>
              <w:jc w:val="left"/>
            </w:pPr>
            <w:r>
              <w:rPr>
                <w:rFonts w:ascii="宋体" w:hAnsi="宋体" w:eastAsia="宋体" w:cs="宋体"/>
                <w:b/>
              </w:rPr>
              <w:t>费用类型</w:t>
            </w:r>
          </w:p>
        </w:tc>
        <w:tc>
          <w:tcPr>
            <w:tcW w:w="1923" w:type="pct"/>
            <w:vAlign w:val="center"/>
          </w:tcPr>
          <w:p w14:paraId="0A9A4AD2">
            <w:pPr>
              <w:spacing w:line="240" w:lineRule="auto"/>
              <w:jc w:val="left"/>
            </w:pPr>
            <w:r>
              <w:rPr>
                <w:rFonts w:ascii="宋体" w:hAnsi="宋体" w:eastAsia="宋体" w:cs="宋体"/>
                <w:b/>
              </w:rPr>
              <w:t>份额(S)或金额(M)/持有期限(N)</w:t>
            </w:r>
          </w:p>
        </w:tc>
        <w:tc>
          <w:tcPr>
            <w:tcW w:w="1154" w:type="pct"/>
            <w:vAlign w:val="center"/>
          </w:tcPr>
          <w:p w14:paraId="1AC1424D">
            <w:pPr>
              <w:spacing w:line="240" w:lineRule="auto"/>
              <w:jc w:val="left"/>
            </w:pPr>
            <w:r>
              <w:rPr>
                <w:rFonts w:ascii="宋体" w:hAnsi="宋体" w:eastAsia="宋体" w:cs="宋体"/>
                <w:b/>
              </w:rPr>
              <w:t>收费方式/费率</w:t>
            </w:r>
          </w:p>
        </w:tc>
        <w:tc>
          <w:tcPr>
            <w:tcW w:w="1154" w:type="pct"/>
            <w:vAlign w:val="center"/>
          </w:tcPr>
          <w:p w14:paraId="7B99204F">
            <w:pPr>
              <w:spacing w:line="240" w:lineRule="auto"/>
              <w:jc w:val="left"/>
            </w:pPr>
            <w:r>
              <w:rPr>
                <w:rFonts w:ascii="宋体" w:hAnsi="宋体" w:eastAsia="宋体" w:cs="宋体"/>
                <w:b/>
              </w:rPr>
              <w:t>备注</w:t>
            </w:r>
          </w:p>
        </w:tc>
      </w:tr>
      <w:tr w14:paraId="681DAE7A">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7B297CB5">
            <w:pPr>
              <w:spacing w:line="240" w:lineRule="auto"/>
              <w:jc w:val="left"/>
            </w:pPr>
            <w:r>
              <w:rPr>
                <w:rFonts w:ascii="宋体" w:hAnsi="宋体" w:eastAsia="宋体" w:cs="宋体"/>
                <w:b/>
              </w:rPr>
              <w:t>申购费(前收费)</w:t>
            </w:r>
          </w:p>
        </w:tc>
        <w:tc>
          <w:tcPr>
            <w:tcW w:w="0" w:type="dxa"/>
            <w:vAlign w:val="center"/>
          </w:tcPr>
          <w:p w14:paraId="6BBACC3D">
            <w:pPr>
              <w:spacing w:line="240" w:lineRule="auto"/>
              <w:jc w:val="left"/>
              <w:rPr>
                <w:rFonts w:hint="eastAsia" w:eastAsia="宋体"/>
                <w:lang w:val="en-US" w:eastAsia="zh-CN"/>
              </w:rPr>
            </w:pPr>
            <w:r>
              <w:rPr>
                <w:rFonts w:hint="eastAsia"/>
                <w:lang w:val="en-US" w:eastAsia="zh-CN"/>
              </w:rPr>
              <w:t>-</w:t>
            </w:r>
          </w:p>
        </w:tc>
        <w:tc>
          <w:tcPr>
            <w:tcW w:w="0" w:type="dxa"/>
            <w:vAlign w:val="center"/>
          </w:tcPr>
          <w:p w14:paraId="5BFF0CFB">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14:paraId="238A0A50">
            <w:pPr>
              <w:spacing w:line="240" w:lineRule="auto"/>
              <w:jc w:val="left"/>
            </w:pPr>
            <w:r>
              <w:rPr>
                <w:rFonts w:ascii="宋体" w:hAnsi="宋体" w:eastAsia="宋体" w:cs="宋体"/>
                <w:b w:val="0"/>
              </w:rPr>
              <w:t>C类份额无申购费</w:t>
            </w:r>
          </w:p>
        </w:tc>
      </w:tr>
      <w:tr w14:paraId="54895595">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14:paraId="175D2D37">
            <w:pPr>
              <w:spacing w:line="240" w:lineRule="auto"/>
              <w:jc w:val="left"/>
            </w:pPr>
            <w:r>
              <w:rPr>
                <w:rFonts w:ascii="宋体" w:hAnsi="宋体" w:eastAsia="宋体" w:cs="宋体"/>
                <w:b/>
              </w:rPr>
              <w:t>赎回费</w:t>
            </w:r>
          </w:p>
        </w:tc>
        <w:tc>
          <w:tcPr>
            <w:tcW w:w="0" w:type="dxa"/>
            <w:vAlign w:val="center"/>
          </w:tcPr>
          <w:p w14:paraId="0F3B75CD">
            <w:pPr>
              <w:spacing w:line="240" w:lineRule="auto"/>
              <w:jc w:val="left"/>
            </w:pPr>
            <w:r>
              <w:rPr>
                <w:rFonts w:ascii="宋体" w:hAnsi="宋体" w:eastAsia="宋体" w:cs="宋体"/>
                <w:b w:val="0"/>
              </w:rPr>
              <w:t>N&lt;7天</w:t>
            </w:r>
          </w:p>
        </w:tc>
        <w:tc>
          <w:tcPr>
            <w:tcW w:w="0" w:type="dxa"/>
            <w:vAlign w:val="center"/>
          </w:tcPr>
          <w:p w14:paraId="376796F1">
            <w:pPr>
              <w:spacing w:line="240" w:lineRule="auto"/>
              <w:jc w:val="left"/>
            </w:pPr>
            <w:r>
              <w:rPr>
                <w:rFonts w:ascii="宋体" w:hAnsi="宋体" w:eastAsia="宋体" w:cs="宋体"/>
                <w:b w:val="0"/>
              </w:rPr>
              <w:t>1.50%</w:t>
            </w:r>
          </w:p>
        </w:tc>
        <w:tc>
          <w:tcPr>
            <w:tcW w:w="0" w:type="dxa"/>
            <w:vAlign w:val="center"/>
          </w:tcPr>
          <w:p w14:paraId="08F4A703">
            <w:pPr>
              <w:spacing w:line="240" w:lineRule="auto"/>
              <w:jc w:val="left"/>
            </w:pPr>
          </w:p>
        </w:tc>
      </w:tr>
      <w:tr w14:paraId="0AA41003">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14:paraId="50844B95"/>
        </w:tc>
        <w:tc>
          <w:tcPr>
            <w:tcW w:w="0" w:type="dxa"/>
            <w:vAlign w:val="center"/>
          </w:tcPr>
          <w:p w14:paraId="423BFB33">
            <w:pPr>
              <w:spacing w:line="240" w:lineRule="auto"/>
              <w:jc w:val="left"/>
            </w:pPr>
            <w:r>
              <w:rPr>
                <w:rFonts w:ascii="宋体" w:hAnsi="宋体" w:eastAsia="宋体" w:cs="宋体"/>
                <w:b w:val="0"/>
              </w:rPr>
              <w:t>7天≤N&lt;30天</w:t>
            </w:r>
          </w:p>
        </w:tc>
        <w:tc>
          <w:tcPr>
            <w:tcW w:w="0" w:type="dxa"/>
            <w:vAlign w:val="center"/>
          </w:tcPr>
          <w:p w14:paraId="51FF02BF">
            <w:pPr>
              <w:spacing w:line="240" w:lineRule="auto"/>
              <w:jc w:val="left"/>
            </w:pPr>
            <w:r>
              <w:rPr>
                <w:rFonts w:ascii="宋体" w:hAnsi="宋体" w:eastAsia="宋体" w:cs="宋体"/>
                <w:b w:val="0"/>
              </w:rPr>
              <w:t>0.50%</w:t>
            </w:r>
          </w:p>
        </w:tc>
        <w:tc>
          <w:tcPr>
            <w:tcW w:w="0" w:type="dxa"/>
            <w:vAlign w:val="center"/>
          </w:tcPr>
          <w:p w14:paraId="3B5165A4">
            <w:pPr>
              <w:spacing w:line="240" w:lineRule="auto"/>
              <w:jc w:val="left"/>
            </w:pPr>
          </w:p>
        </w:tc>
      </w:tr>
      <w:tr w14:paraId="6D282B72">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14:paraId="2C3F3065"/>
        </w:tc>
        <w:tc>
          <w:tcPr>
            <w:tcW w:w="0" w:type="dxa"/>
            <w:vAlign w:val="center"/>
          </w:tcPr>
          <w:p w14:paraId="043FA890">
            <w:pPr>
              <w:spacing w:line="240" w:lineRule="auto"/>
              <w:jc w:val="left"/>
            </w:pPr>
            <w:r>
              <w:rPr>
                <w:rFonts w:ascii="宋体" w:hAnsi="宋体" w:eastAsia="宋体" w:cs="宋体"/>
                <w:b w:val="0"/>
              </w:rPr>
              <w:t>N≥30天</w:t>
            </w:r>
          </w:p>
        </w:tc>
        <w:tc>
          <w:tcPr>
            <w:tcW w:w="0" w:type="dxa"/>
            <w:vAlign w:val="center"/>
          </w:tcPr>
          <w:p w14:paraId="6A16F0AB">
            <w:pPr>
              <w:spacing w:line="240" w:lineRule="auto"/>
              <w:jc w:val="left"/>
            </w:pPr>
            <w:r>
              <w:rPr>
                <w:rFonts w:ascii="宋体" w:hAnsi="宋体" w:eastAsia="宋体" w:cs="宋体"/>
                <w:b w:val="0"/>
              </w:rPr>
              <w:t>0.00%</w:t>
            </w:r>
          </w:p>
        </w:tc>
        <w:tc>
          <w:tcPr>
            <w:tcW w:w="0" w:type="dxa"/>
            <w:vAlign w:val="center"/>
          </w:tcPr>
          <w:p w14:paraId="42E115AF">
            <w:pPr>
              <w:spacing w:line="240" w:lineRule="auto"/>
              <w:jc w:val="left"/>
            </w:pPr>
          </w:p>
        </w:tc>
      </w:tr>
    </w:tbl>
    <w:p w14:paraId="7A6DBB26"/>
    <w:p w14:paraId="32266A91">
      <w:r>
        <w:rPr>
          <w:rFonts w:ascii="宋体" w:hAnsi="宋体" w:eastAsia="宋体" w:cs="宋体"/>
          <w:b/>
        </w:rPr>
        <w:t>（二）基金运作相关费用</w:t>
      </w:r>
    </w:p>
    <w:p w14:paraId="7A64F82D">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14:paraId="48C9C075">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14:paraId="61402B0F">
            <w:pPr>
              <w:spacing w:line="240" w:lineRule="auto"/>
              <w:jc w:val="left"/>
            </w:pPr>
            <w:r>
              <w:rPr>
                <w:rFonts w:ascii="宋体" w:hAnsi="宋体" w:eastAsia="宋体" w:cs="宋体"/>
                <w:b/>
              </w:rPr>
              <w:t>费用类别</w:t>
            </w:r>
          </w:p>
        </w:tc>
        <w:tc>
          <w:tcPr>
            <w:tcW w:w="2308" w:type="pct"/>
            <w:vAlign w:val="center"/>
          </w:tcPr>
          <w:p w14:paraId="5E815B01">
            <w:pPr>
              <w:spacing w:line="240" w:lineRule="auto"/>
              <w:jc w:val="left"/>
            </w:pPr>
            <w:r>
              <w:rPr>
                <w:rFonts w:ascii="宋体" w:hAnsi="宋体" w:eastAsia="宋体" w:cs="宋体"/>
                <w:b/>
              </w:rPr>
              <w:t>收费方式/年费率或金额</w:t>
            </w:r>
          </w:p>
        </w:tc>
        <w:tc>
          <w:tcPr>
            <w:tcW w:w="1538" w:type="pct"/>
            <w:vAlign w:val="center"/>
          </w:tcPr>
          <w:p w14:paraId="0C75C734">
            <w:pPr>
              <w:spacing w:line="240" w:lineRule="auto"/>
              <w:jc w:val="left"/>
            </w:pPr>
            <w:r>
              <w:rPr>
                <w:rFonts w:ascii="宋体" w:hAnsi="宋体" w:eastAsia="宋体" w:cs="宋体"/>
                <w:b/>
              </w:rPr>
              <w:t>收取方</w:t>
            </w:r>
          </w:p>
        </w:tc>
      </w:tr>
      <w:tr w14:paraId="2CB2EBCA">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0B4413DE">
            <w:pPr>
              <w:spacing w:line="240" w:lineRule="auto"/>
              <w:jc w:val="left"/>
            </w:pPr>
            <w:r>
              <w:rPr>
                <w:rFonts w:ascii="宋体" w:hAnsi="宋体" w:eastAsia="宋体" w:cs="宋体"/>
                <w:b w:val="0"/>
              </w:rPr>
              <w:t>管理费</w:t>
            </w:r>
          </w:p>
        </w:tc>
        <w:tc>
          <w:tcPr>
            <w:tcW w:w="0" w:type="dxa"/>
            <w:vAlign w:val="center"/>
          </w:tcPr>
          <w:p w14:paraId="53B2D02F">
            <w:pPr>
              <w:spacing w:line="240" w:lineRule="auto"/>
              <w:jc w:val="left"/>
            </w:pPr>
            <w:r>
              <w:rPr>
                <w:rFonts w:ascii="宋体" w:hAnsi="宋体" w:eastAsia="宋体" w:cs="宋体"/>
                <w:b w:val="0"/>
              </w:rPr>
              <w:t>1.20%</w:t>
            </w:r>
          </w:p>
        </w:tc>
        <w:tc>
          <w:tcPr>
            <w:tcW w:w="0" w:type="dxa"/>
            <w:vAlign w:val="center"/>
          </w:tcPr>
          <w:p w14:paraId="692B775F">
            <w:pPr>
              <w:spacing w:line="240" w:lineRule="auto"/>
              <w:jc w:val="left"/>
            </w:pPr>
            <w:r>
              <w:rPr>
                <w:rFonts w:ascii="宋体" w:hAnsi="宋体" w:eastAsia="宋体" w:cs="宋体"/>
                <w:b w:val="0"/>
              </w:rPr>
              <w:t>基金管理人和销售机构</w:t>
            </w:r>
          </w:p>
        </w:tc>
      </w:tr>
      <w:tr w14:paraId="6DA9FDCE">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1343C9CA">
            <w:pPr>
              <w:spacing w:line="240" w:lineRule="auto"/>
              <w:jc w:val="left"/>
            </w:pPr>
            <w:r>
              <w:rPr>
                <w:rFonts w:ascii="宋体" w:hAnsi="宋体" w:eastAsia="宋体" w:cs="宋体"/>
                <w:b w:val="0"/>
              </w:rPr>
              <w:t>托管费</w:t>
            </w:r>
          </w:p>
        </w:tc>
        <w:tc>
          <w:tcPr>
            <w:tcW w:w="0" w:type="dxa"/>
            <w:vAlign w:val="center"/>
          </w:tcPr>
          <w:p w14:paraId="68136320">
            <w:pPr>
              <w:spacing w:line="240" w:lineRule="auto"/>
              <w:jc w:val="left"/>
            </w:pPr>
            <w:r>
              <w:rPr>
                <w:rFonts w:ascii="宋体" w:hAnsi="宋体" w:eastAsia="宋体" w:cs="宋体"/>
                <w:b w:val="0"/>
              </w:rPr>
              <w:t>0.20%</w:t>
            </w:r>
          </w:p>
        </w:tc>
        <w:tc>
          <w:tcPr>
            <w:tcW w:w="0" w:type="dxa"/>
            <w:vAlign w:val="center"/>
          </w:tcPr>
          <w:p w14:paraId="496F97C7">
            <w:pPr>
              <w:spacing w:line="240" w:lineRule="auto"/>
              <w:jc w:val="left"/>
            </w:pPr>
            <w:r>
              <w:rPr>
                <w:rFonts w:ascii="宋体" w:hAnsi="宋体" w:eastAsia="宋体" w:cs="宋体"/>
                <w:b w:val="0"/>
              </w:rPr>
              <w:t>基金托管人</w:t>
            </w:r>
          </w:p>
        </w:tc>
      </w:tr>
      <w:tr w14:paraId="1EC4C8CF">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2F292C12">
            <w:pPr>
              <w:spacing w:line="240" w:lineRule="auto"/>
              <w:jc w:val="left"/>
            </w:pPr>
            <w:r>
              <w:rPr>
                <w:rFonts w:ascii="宋体" w:hAnsi="宋体" w:eastAsia="宋体" w:cs="宋体"/>
                <w:b w:val="0"/>
              </w:rPr>
              <w:t>销售服务费C类</w:t>
            </w:r>
          </w:p>
        </w:tc>
        <w:tc>
          <w:tcPr>
            <w:tcW w:w="0" w:type="dxa"/>
            <w:vAlign w:val="center"/>
          </w:tcPr>
          <w:p w14:paraId="06DEAFAD">
            <w:pPr>
              <w:spacing w:line="240" w:lineRule="auto"/>
              <w:jc w:val="left"/>
            </w:pPr>
            <w:r>
              <w:rPr>
                <w:rFonts w:ascii="宋体" w:hAnsi="宋体" w:eastAsia="宋体" w:cs="宋体"/>
                <w:b w:val="0"/>
              </w:rPr>
              <w:t>0.50%</w:t>
            </w:r>
          </w:p>
        </w:tc>
        <w:tc>
          <w:tcPr>
            <w:tcW w:w="0" w:type="dxa"/>
            <w:vAlign w:val="center"/>
          </w:tcPr>
          <w:p w14:paraId="3ADA3BBB">
            <w:pPr>
              <w:spacing w:line="240" w:lineRule="auto"/>
              <w:jc w:val="left"/>
            </w:pPr>
            <w:r>
              <w:rPr>
                <w:rFonts w:ascii="宋体" w:hAnsi="宋体" w:eastAsia="宋体" w:cs="宋体"/>
                <w:b w:val="0"/>
              </w:rPr>
              <w:t>销售机构</w:t>
            </w:r>
          </w:p>
        </w:tc>
      </w:tr>
      <w:tr w14:paraId="12AB4D30">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204D8FAF">
            <w:pPr>
              <w:spacing w:line="240" w:lineRule="auto"/>
              <w:jc w:val="left"/>
            </w:pPr>
            <w:r>
              <w:rPr>
                <w:rFonts w:ascii="宋体" w:hAnsi="宋体" w:eastAsia="宋体" w:cs="宋体"/>
                <w:b w:val="0"/>
              </w:rPr>
              <w:t>审计费用</w:t>
            </w:r>
          </w:p>
        </w:tc>
        <w:tc>
          <w:tcPr>
            <w:tcW w:w="0" w:type="dxa"/>
            <w:vAlign w:val="center"/>
          </w:tcPr>
          <w:p w14:paraId="6B973AA2">
            <w:pPr>
              <w:spacing w:line="240" w:lineRule="auto"/>
              <w:jc w:val="left"/>
            </w:pPr>
            <w:r>
              <w:rPr>
                <w:rFonts w:ascii="宋体" w:hAnsi="宋体" w:eastAsia="宋体" w:cs="宋体"/>
                <w:b w:val="0"/>
              </w:rPr>
              <w:t>58,000.00</w:t>
            </w:r>
          </w:p>
        </w:tc>
        <w:tc>
          <w:tcPr>
            <w:tcW w:w="0" w:type="dxa"/>
            <w:vAlign w:val="center"/>
          </w:tcPr>
          <w:p w14:paraId="2374C976">
            <w:pPr>
              <w:spacing w:line="240" w:lineRule="auto"/>
              <w:jc w:val="left"/>
            </w:pPr>
            <w:r>
              <w:rPr>
                <w:rFonts w:ascii="宋体" w:hAnsi="宋体" w:eastAsia="宋体" w:cs="宋体"/>
                <w:b w:val="0"/>
              </w:rPr>
              <w:t>会计师事务所</w:t>
            </w:r>
          </w:p>
        </w:tc>
      </w:tr>
      <w:tr w14:paraId="2EE556D3">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062F9216">
            <w:pPr>
              <w:spacing w:line="240" w:lineRule="auto"/>
              <w:jc w:val="left"/>
            </w:pPr>
            <w:r>
              <w:rPr>
                <w:rFonts w:ascii="宋体" w:hAnsi="宋体" w:eastAsia="宋体" w:cs="宋体"/>
                <w:b w:val="0"/>
              </w:rPr>
              <w:t>信息披露费</w:t>
            </w:r>
          </w:p>
        </w:tc>
        <w:tc>
          <w:tcPr>
            <w:tcW w:w="0" w:type="dxa"/>
            <w:vAlign w:val="center"/>
          </w:tcPr>
          <w:p w14:paraId="667CB51D">
            <w:pPr>
              <w:spacing w:line="240" w:lineRule="auto"/>
              <w:jc w:val="left"/>
            </w:pPr>
            <w:r>
              <w:rPr>
                <w:rFonts w:ascii="宋体" w:hAnsi="宋体" w:eastAsia="宋体" w:cs="宋体"/>
                <w:b w:val="0"/>
              </w:rPr>
              <w:t>120,000.00</w:t>
            </w:r>
          </w:p>
        </w:tc>
        <w:tc>
          <w:tcPr>
            <w:tcW w:w="0" w:type="dxa"/>
            <w:vAlign w:val="center"/>
          </w:tcPr>
          <w:p w14:paraId="4D0C9380">
            <w:pPr>
              <w:spacing w:line="240" w:lineRule="auto"/>
              <w:jc w:val="left"/>
            </w:pPr>
            <w:r>
              <w:rPr>
                <w:rFonts w:ascii="宋体" w:hAnsi="宋体" w:eastAsia="宋体" w:cs="宋体"/>
                <w:b w:val="0"/>
              </w:rPr>
              <w:t>规定披露报刊</w:t>
            </w:r>
          </w:p>
        </w:tc>
      </w:tr>
      <w:tr w14:paraId="6C0ABAD8">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5CF27AF6">
            <w:pPr>
              <w:spacing w:line="240" w:lineRule="auto"/>
              <w:jc w:val="left"/>
            </w:pPr>
            <w:r>
              <w:rPr>
                <w:rFonts w:ascii="宋体" w:hAnsi="宋体" w:eastAsia="宋体" w:cs="宋体"/>
                <w:b w:val="0"/>
              </w:rPr>
              <w:t>其他费用</w:t>
            </w:r>
          </w:p>
        </w:tc>
        <w:tc>
          <w:tcPr>
            <w:tcW w:w="0" w:type="dxa"/>
            <w:vAlign w:val="center"/>
          </w:tcPr>
          <w:p w14:paraId="7CAECE74">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按照国家有关规定和《基金合同》约定，可以在基金财产中列支的其他费用。本基金终止清算时所发生费用，按实际支出额从基金财产总值中扣除。</w:t>
            </w:r>
          </w:p>
        </w:tc>
        <w:tc>
          <w:tcPr>
            <w:tcW w:w="0" w:type="dxa"/>
            <w:vAlign w:val="center"/>
          </w:tcPr>
          <w:p w14:paraId="55AD820C">
            <w:pPr>
              <w:spacing w:line="240" w:lineRule="auto"/>
              <w:jc w:val="left"/>
            </w:pPr>
            <w:r>
              <w:rPr>
                <w:rFonts w:ascii="宋体" w:hAnsi="宋体" w:eastAsia="宋体" w:cs="宋体"/>
                <w:b w:val="0"/>
              </w:rPr>
              <w:t>相关服务机构</w:t>
            </w:r>
          </w:p>
        </w:tc>
      </w:tr>
    </w:tbl>
    <w:p w14:paraId="31598AA1">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14:paraId="614D6361"/>
    <w:p w14:paraId="6EA4A9C8">
      <w:r>
        <w:rPr>
          <w:rFonts w:ascii="宋体" w:hAnsi="宋体" w:eastAsia="宋体" w:cs="宋体"/>
          <w:b/>
        </w:rPr>
        <w:t>（三）基金运作综合费用测算</w:t>
      </w:r>
    </w:p>
    <w:p w14:paraId="3143125B">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14:paraId="24CDBC1B">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14:paraId="63C7111E">
            <w:pPr>
              <w:spacing w:line="240" w:lineRule="auto"/>
              <w:jc w:val="center"/>
            </w:pPr>
            <w:r>
              <w:rPr>
                <w:rFonts w:ascii="宋体" w:hAnsi="宋体" w:eastAsia="宋体" w:cs="宋体"/>
                <w:b/>
              </w:rPr>
              <w:t>基金运作综合费用测算明细的类别</w:t>
            </w:r>
          </w:p>
        </w:tc>
        <w:tc>
          <w:tcPr>
            <w:tcW w:w="2462" w:type="pct"/>
            <w:vAlign w:val="center"/>
          </w:tcPr>
          <w:p w14:paraId="14442D71">
            <w:pPr>
              <w:spacing w:line="240" w:lineRule="auto"/>
              <w:jc w:val="center"/>
            </w:pPr>
            <w:r>
              <w:rPr>
                <w:rFonts w:ascii="宋体" w:hAnsi="宋体" w:eastAsia="宋体" w:cs="宋体"/>
                <w:b/>
              </w:rPr>
              <w:t>基金运作综合费率（年化）</w:t>
            </w:r>
          </w:p>
        </w:tc>
      </w:tr>
      <w:tr w14:paraId="5099437D">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14:paraId="7B29EA95">
            <w:pPr>
              <w:spacing w:line="240" w:lineRule="auto"/>
              <w:jc w:val="left"/>
            </w:pPr>
            <w:r>
              <w:rPr>
                <w:rFonts w:ascii="宋体" w:hAnsi="宋体" w:eastAsia="宋体" w:cs="宋体"/>
                <w:b w:val="0"/>
              </w:rPr>
              <w:t>持有期</w:t>
            </w:r>
          </w:p>
        </w:tc>
        <w:tc>
          <w:tcPr>
            <w:tcW w:w="0" w:type="dxa"/>
            <w:vAlign w:val="center"/>
          </w:tcPr>
          <w:p w14:paraId="33C5D4D4">
            <w:pPr>
              <w:spacing w:line="240" w:lineRule="auto"/>
              <w:jc w:val="right"/>
            </w:pPr>
            <w:r>
              <w:rPr>
                <w:rFonts w:ascii="宋体" w:hAnsi="宋体" w:eastAsia="宋体" w:cs="宋体"/>
                <w:b w:val="0"/>
              </w:rPr>
              <w:t>1.92%</w:t>
            </w:r>
          </w:p>
        </w:tc>
      </w:tr>
    </w:tbl>
    <w:p w14:paraId="6B5EC0AB">
      <w:r>
        <w:rPr>
          <w:rFonts w:ascii="宋体" w:hAnsi="宋体" w:eastAsia="宋体" w:cs="宋体"/>
          <w:b w:val="0"/>
        </w:rPr>
        <w:t xml:space="preserve">    基金管理费率、托管费率、销售服务费率（若有）为基金现行费率，其他运作费用以最近一次基金年报披露的相关数据为基准测算。</w:t>
      </w:r>
    </w:p>
    <w:p w14:paraId="0E25B34A"/>
    <w:p w14:paraId="4DFEC8AB">
      <w:pPr>
        <w:pStyle w:val="3"/>
        <w:jc w:val="left"/>
      </w:pPr>
      <w:r>
        <w:rPr>
          <w:rFonts w:ascii="宋体" w:hAnsi="宋体" w:eastAsia="宋体" w:cs="宋体"/>
        </w:rPr>
        <w:t>四、风险揭示与重要提示</w:t>
      </w:r>
    </w:p>
    <w:p w14:paraId="7132F872">
      <w:r>
        <w:rPr>
          <w:rFonts w:ascii="宋体" w:hAnsi="宋体" w:eastAsia="宋体" w:cs="宋体"/>
          <w:b/>
        </w:rPr>
        <w:t>（一）风险揭示</w:t>
      </w:r>
    </w:p>
    <w:p w14:paraId="7D2D8B08">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于本基金《基金合同》界定的产业先锋主题相关证券的比例不低于非现金基金资产的80%；同时，本基金投资于股票的比例占基金资产的60%-95%，投资集中度比较明显，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r>
        <w:rPr>
          <w:rFonts w:ascii="宋体" w:hAnsi="宋体" w:eastAsia="宋体" w:cs="宋体"/>
          <w:b w:val="0"/>
        </w:rPr>
        <w:cr/>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cr/>
      </w:r>
      <w:r>
        <w:rPr>
          <w:rFonts w:ascii="宋体" w:hAnsi="宋体" w:eastAsia="宋体" w:cs="宋体"/>
          <w:b w:val="0"/>
        </w:rPr>
        <w:t xml:space="preserve">    （4）本基金可投资股指期货，可能会出现的风险包括基差风险、合约品种差异造成的风险、标的物风险、衍生品模型风险等。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（5）本基金可投资国债期货，国债期货的风险主要包含市场风险、流动性风险、信用风险、合规性风险以及国债期货实物交割风险等。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（6）本基金可投资资产支持类证券，资产支持证券的风险主要包括信用风险、利率风险、流动性风险、提前偿付风险等。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（7）本基金可投资存托凭证，将面临中国存托凭证价格大幅波动甚至出现较大亏损的风险，以及与中国存托凭证发行机制相关的风险。</w:t>
      </w:r>
      <w:r>
        <w:rPr>
          <w:rFonts w:ascii="宋体" w:hAnsi="宋体" w:eastAsia="宋体" w:cs="宋体"/>
          <w:b w:val="0"/>
        </w:rPr>
        <w:cr/>
      </w:r>
      <w:r>
        <w:rPr>
          <w:rFonts w:ascii="宋体" w:hAnsi="宋体" w:eastAsia="宋体" w:cs="宋体"/>
          <w:b w:val="0"/>
        </w:rPr>
        <w:t xml:space="preserve">    （8）本基金可投资股票期权，股票期权的风险包括市场风险、流动性风险和基差风险。</w:t>
      </w:r>
      <w:r>
        <w:rPr>
          <w:rFonts w:ascii="宋体" w:hAnsi="宋体" w:eastAsia="宋体" w:cs="宋体"/>
          <w:b w:val="0"/>
        </w:rPr>
        <w:cr/>
      </w:r>
      <w:r>
        <w:rPr>
          <w:rFonts w:ascii="宋体" w:hAnsi="宋体" w:eastAsia="宋体" w:cs="宋体"/>
          <w:b w:val="0"/>
        </w:rPr>
        <w:t xml:space="preserve">    （9）本基金可参与融资交易，融资交易的风险主要包括流动性风险、信用风险等，这些风险可能会给基金净值带来一定的负面影响和损失。</w:t>
      </w:r>
      <w:r>
        <w:rPr>
          <w:rFonts w:ascii="宋体" w:hAnsi="宋体" w:eastAsia="宋体" w:cs="宋体"/>
          <w:b w:val="0"/>
        </w:rPr>
        <w:cr/>
      </w:r>
      <w:r>
        <w:rPr>
          <w:rFonts w:ascii="宋体" w:hAnsi="宋体" w:eastAsia="宋体" w:cs="宋体"/>
          <w:b w:val="0"/>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2、开放式基金的共有风险：市场风险、管理风险、职业道德风险、流动性风险、合规风险、投资管理风险、操作和技术风险以及不可抗力可能导致的其他风险。</w:t>
      </w:r>
    </w:p>
    <w:p w14:paraId="2C0957A6"/>
    <w:p w14:paraId="4C98389A">
      <w:r>
        <w:rPr>
          <w:rFonts w:ascii="宋体" w:hAnsi="宋体" w:eastAsia="宋体" w:cs="宋体"/>
          <w:b/>
        </w:rPr>
        <w:t>（二）重要提示</w:t>
      </w:r>
    </w:p>
    <w:p w14:paraId="1C6A5837">
      <w:pPr>
        <w:jc w:val="left"/>
      </w:pPr>
      <w:r>
        <w:rPr>
          <w:rFonts w:ascii="宋体" w:hAnsi="宋体" w:eastAsia="宋体" w:cs="宋体"/>
          <w:b w:val="0"/>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14:paraId="3B609920"/>
    <w:p w14:paraId="756E9977">
      <w:pPr>
        <w:pStyle w:val="3"/>
        <w:jc w:val="left"/>
      </w:pPr>
      <w:r>
        <w:rPr>
          <w:rFonts w:ascii="宋体" w:hAnsi="宋体" w:eastAsia="宋体" w:cs="宋体"/>
        </w:rPr>
        <w:t>五、其他资料查询方式</w:t>
      </w:r>
    </w:p>
    <w:p w14:paraId="34E2050C">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14:paraId="3CB09B6A"/>
    <w:p w14:paraId="212F663B">
      <w:pPr>
        <w:pStyle w:val="3"/>
        <w:jc w:val="left"/>
      </w:pPr>
      <w:r>
        <w:rPr>
          <w:rFonts w:ascii="宋体" w:hAnsi="宋体" w:eastAsia="宋体" w:cs="宋体"/>
        </w:rPr>
        <w:t>六、其他情况说明</w:t>
      </w:r>
    </w:p>
    <w:p w14:paraId="2678890E">
      <w:pPr>
        <w:jc w:val="left"/>
      </w:pPr>
      <w:r>
        <w:rPr>
          <w:rFonts w:ascii="宋体" w:hAnsi="宋体" w:eastAsia="宋体" w:cs="宋体"/>
          <w:b w:val="0"/>
        </w:rPr>
        <w:t xml:space="preserve">    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903D">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B44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701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AB06">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东方阿尔法产业先锋混合型发起式证券投资基金（C类份额）基金产品资料概要更新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91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37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6E00624"/>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1573</Words>
  <Characters>1641</Characters>
  <Lines>1</Lines>
  <Paragraphs>1</Paragraphs>
  <TotalTime>66</TotalTime>
  <ScaleCrop>false</ScaleCrop>
  <LinksUpToDate>false</LinksUpToDate>
  <CharactersWithSpaces>1645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2025-07-02T03:11:28Z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9FC696EA83E54080B37AE951D539CD82_12</vt:lpwstr>
  </property>
</Properties>
</file>