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东方阿尔法科技优选混合型发起式证券投资基金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2025年第2季度报告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2025年06月30日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中信银行股份有限公司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2025年07月12日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基金托管人中信银行股份有限公司根据本基金合同规定，于2025年07月11日复核了本报告中的财务指标、净值表现和投资组合报告等内容，保证复核内容不存在虚假记载、误导性陈述或者重大遗漏。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本报告期自2025年06月06日（基金合同生效日）起至2025年06月30日止。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tcPr>
          <w:p>
            <w:pPr>
              <w:spacing w:line="240" w:lineRule="auto"/>
              <w:jc w:val="left"/>
            </w:pPr>
            <w:r>
              <w:rPr>
                <w:rFonts w:ascii="宋体" w:hAnsi="宋体" w:cs="宋体" w:eastAsia="宋体"/>
                <w:b w:val="false"/>
              </w:rPr>
              <w:t>基金简称</w:t>
            </w:r>
          </w:p>
        </w:tc>
        <w:tc>
          <w:tcPr>
            <w:tcW w:type="pct" w:w="3077"/>
            <w:hMerge w:val="restart"/>
          </w:tcPr>
          <w:p>
            <w:pPr>
              <w:spacing w:line="240" w:lineRule="auto"/>
              <w:jc w:val="left"/>
            </w:pPr>
            <w:r>
              <w:rPr>
                <w:rFonts w:ascii="宋体" w:hAnsi="宋体" w:cs="宋体" w:eastAsia="宋体"/>
                <w:b w:val="false"/>
              </w:rPr>
              <w:t>东方阿尔法科技优选混合发起</w:t>
            </w:r>
          </w:p>
        </w:tc>
        <w:tc>
          <w:tcPr>
            <w:hMerge w:val="continue"/>
          </w:tcPr>
          <w:p/>
        </w:tc>
      </w:tr>
      <w:tr>
        <w:tc>
          <w:tcPr>
            <w:tcW w:type="pct" w:w="1923"/>
          </w:tcPr>
          <w:p>
            <w:pPr>
              <w:spacing w:line="240" w:lineRule="auto"/>
              <w:jc w:val="left"/>
            </w:pPr>
            <w:r>
              <w:rPr>
                <w:rFonts w:ascii="宋体" w:hAnsi="宋体" w:cs="宋体" w:eastAsia="宋体"/>
                <w:b w:val="false"/>
              </w:rPr>
              <w:t>基金主代码</w:t>
            </w:r>
          </w:p>
        </w:tc>
        <w:tc>
          <w:tcPr>
            <w:tcW/>
            <w:hMerge w:val="restart"/>
          </w:tcPr>
          <w:p>
            <w:pPr>
              <w:spacing w:line="240" w:lineRule="auto"/>
              <w:jc w:val="left"/>
            </w:pPr>
            <w:r>
              <w:rPr>
                <w:rFonts w:ascii="宋体" w:hAnsi="宋体" w:cs="宋体" w:eastAsia="宋体"/>
                <w:b w:val="false"/>
              </w:rPr>
              <w:t>024423</w:t>
            </w:r>
          </w:p>
        </w:tc>
        <w:tc>
          <w:tcPr>
            <w:hMerge w:val="continue"/>
          </w:tcPr>
          <w:p/>
        </w:tc>
      </w:tr>
      <w:tr>
        <w:tc>
          <w:tcPr>
            <w:tcW w:type="pct" w:w="1923"/>
          </w:tcPr>
          <w:p>
            <w:pPr>
              <w:spacing w:line="240" w:lineRule="auto"/>
              <w:jc w:val="left"/>
            </w:pPr>
            <w:r>
              <w:rPr>
                <w:rFonts w:ascii="宋体" w:hAnsi="宋体" w:cs="宋体" w:eastAsia="宋体"/>
                <w:b w:val="false"/>
              </w:rPr>
              <w:t>基金运作方式</w:t>
            </w:r>
          </w:p>
        </w:tc>
        <w:tc>
          <w:tcPr>
            <w:tcW/>
            <w:hMerge w:val="restart"/>
          </w:tcPr>
          <w:p>
            <w:pPr>
              <w:spacing w:line="240" w:lineRule="auto"/>
              <w:jc w:val="left"/>
            </w:pPr>
            <w:r>
              <w:rPr>
                <w:rFonts w:ascii="宋体" w:hAnsi="宋体" w:cs="宋体" w:eastAsia="宋体"/>
                <w:b w:val="false"/>
              </w:rPr>
              <w:t>契约型开放式</w:t>
            </w:r>
          </w:p>
        </w:tc>
        <w:tc>
          <w:tcPr>
            <w:hMerge w:val="continue"/>
          </w:tcPr>
          <w:p/>
        </w:tc>
      </w:tr>
      <w:tr>
        <w:tc>
          <w:tcPr>
            <w:tcW w:type="pct" w:w="1923"/>
          </w:tcPr>
          <w:p>
            <w:pPr>
              <w:spacing w:line="240" w:lineRule="auto"/>
              <w:jc w:val="left"/>
            </w:pPr>
            <w:r>
              <w:rPr>
                <w:rFonts w:ascii="宋体" w:hAnsi="宋体" w:cs="宋体" w:eastAsia="宋体"/>
                <w:b w:val="false"/>
              </w:rPr>
              <w:t>基金合同生效日</w:t>
            </w:r>
          </w:p>
        </w:tc>
        <w:tc>
          <w:tcPr>
            <w:tcW/>
            <w:hMerge w:val="restart"/>
          </w:tcPr>
          <w:p>
            <w:pPr>
              <w:spacing w:line="240" w:lineRule="auto"/>
              <w:jc w:val="left"/>
            </w:pPr>
            <w:r>
              <w:rPr>
                <w:rFonts w:ascii="宋体" w:hAnsi="宋体" w:cs="宋体" w:eastAsia="宋体"/>
                <w:b w:val="false"/>
              </w:rPr>
              <w:t>2025年06月06日</w:t>
            </w:r>
          </w:p>
        </w:tc>
        <w:tc>
          <w:tcPr>
            <w:hMerge w:val="continue"/>
          </w:tcPr>
          <w:p/>
        </w:tc>
      </w:tr>
      <w:tr>
        <w:tc>
          <w:tcPr>
            <w:tcW w:type="pct" w:w="1923"/>
          </w:tcPr>
          <w:p>
            <w:pPr>
              <w:spacing w:line="240" w:lineRule="auto"/>
              <w:jc w:val="left"/>
            </w:pPr>
            <w:r>
              <w:rPr>
                <w:rFonts w:ascii="宋体" w:hAnsi="宋体" w:cs="宋体" w:eastAsia="宋体"/>
                <w:b w:val="false"/>
              </w:rPr>
              <w:t>报告期末基金份额总额</w:t>
            </w:r>
          </w:p>
        </w:tc>
        <w:tc>
          <w:tcPr>
            <w:tcW/>
            <w:hMerge w:val="restart"/>
          </w:tcPr>
          <w:p>
            <w:pPr>
              <w:spacing w:line="240" w:lineRule="auto"/>
              <w:jc w:val="left"/>
            </w:pPr>
            <w:r>
              <w:rPr>
                <w:rFonts w:ascii="宋体" w:hAnsi="宋体" w:cs="宋体" w:eastAsia="宋体"/>
                <w:b w:val="false"/>
              </w:rPr>
              <w:t>11,925,107.03份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tcPr>
          <w:p>
            <w:pPr>
              <w:spacing w:line="240" w:lineRule="auto"/>
              <w:jc w:val="left"/>
            </w:pPr>
            <w:r>
              <w:rPr>
                <w:rFonts w:ascii="宋体" w:hAnsi="宋体" w:cs="宋体" w:eastAsia="宋体"/>
                <w:b w:val="false"/>
              </w:rPr>
              <w:t>本基金在严格控制风险并保持良好流动性的前提下，重点投资于科技主题相关证券，力争获取超越业绩比较基准的投资回报，谋求基金资产的长期增值。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1、资产配置策略</w:t>
              <w:br/>
            </w:r>
            <w:r>
              <w:rPr>
                <w:rFonts w:ascii="宋体" w:hAnsi="宋体" w:cs="宋体" w:eastAsia="宋体"/>
                <w:b w:val="false"/>
              </w:rPr>
              <w:t>本基金结合定性与定量分析经济和市场趋势，评估风险和收益，确定股票、债券、现金等资产的配置比例和调整原则，追求稳定增值，同时持续监控风险并适时调整。</w:t>
              <w:br/>
            </w:r>
            <w:r>
              <w:rPr>
                <w:rFonts w:ascii="宋体" w:hAnsi="宋体" w:cs="宋体" w:eastAsia="宋体"/>
                <w:b w:val="false"/>
              </w:rPr>
              <w:t>2、股票投资策略</w:t>
              <w:br/>
            </w:r>
            <w:r>
              <w:rPr>
                <w:rFonts w:ascii="宋体" w:hAnsi="宋体" w:cs="宋体" w:eastAsia="宋体"/>
                <w:b w:val="false"/>
              </w:rPr>
              <w:t>本基金通过定性与定量结合的积极策略，自下而上精选科技主题股票，构建多元资产组合以实现长期稳健增值。</w:t>
              <w:br/>
            </w:r>
            <w:r>
              <w:rPr>
                <w:rFonts w:ascii="宋体" w:hAnsi="宋体" w:cs="宋体" w:eastAsia="宋体"/>
                <w:b w:val="false"/>
              </w:rPr>
              <w:t>3、港股投资策略</w:t>
              <w:br/>
            </w:r>
            <w:r>
              <w:rPr>
                <w:rFonts w:ascii="宋体" w:hAnsi="宋体" w:cs="宋体" w:eastAsia="宋体"/>
                <w:b w:val="false"/>
              </w:rPr>
              <w:t>本基金将通过内地与香港股票市场交易互联互通机制投资于香港股票市场，不使用合格境内机构投资者(QDII)境外投资额度进行境外投资。</w:t>
              <w:br/>
            </w:r>
            <w:r>
              <w:rPr>
                <w:rFonts w:ascii="宋体" w:hAnsi="宋体" w:cs="宋体" w:eastAsia="宋体"/>
                <w:b w:val="false"/>
              </w:rPr>
              <w:t>4、存托凭证投资策略</w:t>
              <w:br/>
            </w:r>
            <w:r>
              <w:rPr>
                <w:rFonts w:ascii="宋体" w:hAnsi="宋体" w:cs="宋体" w:eastAsia="宋体"/>
                <w:b w:val="false"/>
              </w:rPr>
              <w:t>本基金在深入研究的基础上，通过定性分析和定量分析相结合的方式，选择投资价值高的存托凭证进行投资。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6、可转债（含分离交易可转债）及可交换债券投资策略</w:t>
              <w:br/>
            </w:r>
            <w:r>
              <w:rPr>
                <w:rFonts w:ascii="宋体" w:hAnsi="宋体" w:cs="宋体" w:eastAsia="宋体"/>
                <w:b w:val="false"/>
              </w:rPr>
              <w:t>对于可转换债券的投资，本基金在评估其偿债能力的同时兼顾公司的成长性，以期通过转换条款分享因股价上升带来的高收益。</w:t>
              <w:br/>
            </w:r>
            <w:r>
              <w:rPr>
                <w:rFonts w:ascii="宋体" w:hAnsi="宋体" w:cs="宋体" w:eastAsia="宋体"/>
                <w:b w:val="false"/>
              </w:rPr>
              <w:t>7、股指期货投资策略</w:t>
              <w:br/>
            </w:r>
            <w:r>
              <w:rPr>
                <w:rFonts w:ascii="宋体" w:hAnsi="宋体" w:cs="宋体" w:eastAsia="宋体"/>
                <w:b w:val="false"/>
              </w:rPr>
              <w:t>本基金将按照风险管理的原则，以套期保值为主要目的，参与股指期货的投资。此外，本基金还将运用股指期货来管理特殊情况下的流动性风险，如预期大额申购赎回、大量分红等。</w:t>
              <w:br/>
            </w:r>
            <w:r>
              <w:rPr>
                <w:rFonts w:ascii="宋体" w:hAnsi="宋体" w:cs="宋体" w:eastAsia="宋体"/>
                <w:b w:val="false"/>
              </w:rPr>
              <w:t>8、融资业务投资策略</w:t>
              <w:br/>
            </w:r>
            <w:r>
              <w:rPr>
                <w:rFonts w:ascii="宋体" w:hAnsi="宋体" w:cs="宋体" w:eastAsia="宋体"/>
                <w:b w:val="false"/>
              </w:rPr>
              <w:t>本基金参与融资业务，将综合考虑融资成本、保证金比例、冲抵保证金证券折算率、信用资质等条件选择合适的交易对手方。同时，在保障基金投资组合充足流动性以及有效控制融资杠杆风险的前提下，确定融资比例。</w:t>
              <w:br/>
            </w:r>
            <w:r>
              <w:rPr>
                <w:rFonts w:ascii="宋体" w:hAnsi="宋体" w:cs="宋体" w:eastAsia="宋体"/>
                <w:b w:val="false"/>
              </w:rPr>
              <w:t>9、国债期货投资策略</w:t>
              <w:br/>
            </w:r>
            <w:r>
              <w:rPr>
                <w:rFonts w:ascii="宋体" w:hAnsi="宋体" w:cs="宋体" w:eastAsia="宋体"/>
                <w:b w:val="false"/>
              </w:rPr>
              <w:t>本基金以套期保值为主要目的，参与国债期货的投资，管理市场风险，故国债期货空头的合约价值主要与债券组合的多头价值相对应。</w:t>
              <w:br/>
            </w:r>
            <w:r>
              <w:rPr>
                <w:rFonts w:ascii="宋体" w:hAnsi="宋体" w:cs="宋体" w:eastAsia="宋体"/>
                <w:b w:val="false"/>
              </w:rPr>
              <w:t>10、股票期权投资策略</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11、资产支持证券投资策略</w:t>
              <w:br/>
            </w:r>
            <w:r>
              <w:rPr>
                <w:rFonts w:ascii="宋体" w:hAnsi="宋体" w:cs="宋体" w:eastAsia="宋体"/>
                <w:b w:val="false"/>
              </w:rPr>
              <w:t>本基金将综合运用久期管理、收益率曲线、个券选择以及把握市场交易机会等积极策略，在严格控制风险的情况下，结合信用研究和流动性管理，选择风险调整后收益高的品种进行投资，以期获得长期稳定收益。</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tcPr>
          <w:p>
            <w:pPr>
              <w:spacing w:line="240" w:lineRule="auto"/>
              <w:jc w:val="left"/>
            </w:pPr>
            <w:r>
              <w:rPr>
                <w:rFonts w:ascii="宋体" w:hAnsi="宋体" w:cs="宋体" w:eastAsia="宋体"/>
                <w:b w:val="false"/>
              </w:rPr>
              <w:t>中国战略新兴产业成份指数收益率*70%+中债-综合指数(全价)收益率*20%+恒生科技指数收益率(按估值汇率折算)*10%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tcPr>
          <w:p>
            <w:pPr>
              <w:spacing w:line="240" w:lineRule="auto"/>
              <w:jc w:val="left"/>
            </w:pPr>
            <w:r>
              <w:rPr>
                <w:rFonts w:ascii="宋体" w:hAnsi="宋体" w:cs="宋体" w:eastAsia="宋体"/>
                <w:b w:val="false"/>
              </w:rPr>
              <w:t>基金管理人</w:t>
            </w:r>
          </w:p>
        </w:tc>
        <w:tc>
          <w:tcPr>
            <w:tcW/>
            <w:hMerge w:val="restart"/>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tcPr>
          <w:p>
            <w:pPr>
              <w:spacing w:line="240" w:lineRule="auto"/>
              <w:jc w:val="left"/>
            </w:pPr>
            <w:r>
              <w:rPr>
                <w:rFonts w:ascii="宋体" w:hAnsi="宋体" w:cs="宋体" w:eastAsia="宋体"/>
                <w:b w:val="false"/>
              </w:rPr>
              <w:t>基金托管人</w:t>
            </w:r>
          </w:p>
        </w:tc>
        <w:tc>
          <w:tcPr>
            <w:tcW/>
            <w:hMerge w:val="restart"/>
          </w:tcPr>
          <w:p>
            <w:pPr>
              <w:spacing w:line="240" w:lineRule="auto"/>
              <w:jc w:val="left"/>
            </w:pPr>
            <w:r>
              <w:rPr>
                <w:rFonts w:ascii="宋体" w:hAnsi="宋体" w:cs="宋体" w:eastAsia="宋体"/>
                <w:b w:val="false"/>
              </w:rPr>
              <w:t>中信银行股份有限公司</w:t>
            </w:r>
          </w:p>
        </w:tc>
        <w:tc>
          <w:tcPr>
            <w:hMerge w:val="continue"/>
          </w:tcPr>
          <w:p/>
        </w:tc>
      </w:tr>
      <w:tr>
        <w:tc>
          <w:tcPr>
            <w:tcW/>
          </w:tcPr>
          <w:p>
            <w:pPr>
              <w:spacing w:line="240" w:lineRule="auto"/>
              <w:jc w:val="left"/>
            </w:pPr>
            <w:r>
              <w:rPr>
                <w:rFonts w:ascii="宋体" w:hAnsi="宋体" w:cs="宋体" w:eastAsia="宋体"/>
                <w:b w:val="false"/>
              </w:rPr>
              <w:t>下属分级基金的基金简称</w:t>
            </w:r>
          </w:p>
        </w:tc>
        <w:tc>
          <w:tcPr>
            <w:tcW w:type="pct" w:w="1500"/>
          </w:tcPr>
          <w:p>
            <w:pPr>
              <w:spacing w:line="240" w:lineRule="auto"/>
              <w:jc w:val="left"/>
            </w:pPr>
            <w:r>
              <w:rPr>
                <w:rFonts w:ascii="宋体" w:hAnsi="宋体" w:cs="宋体" w:eastAsia="宋体"/>
                <w:b w:val="false"/>
              </w:rPr>
              <w:t>东方阿尔法科技优选混合发起A</w:t>
            </w:r>
          </w:p>
        </w:tc>
        <w:tc>
          <w:tcPr>
            <w:tcW w:type="pct" w:w="1500"/>
          </w:tcPr>
          <w:p>
            <w:pPr>
              <w:spacing w:line="240" w:lineRule="auto"/>
              <w:jc w:val="left"/>
            </w:pPr>
            <w:r>
              <w:rPr>
                <w:rFonts w:ascii="宋体" w:hAnsi="宋体" w:cs="宋体" w:eastAsia="宋体"/>
                <w:b w:val="false"/>
              </w:rPr>
              <w:t>东方阿尔法科技优选混合发起C</w:t>
            </w:r>
          </w:p>
        </w:tc>
      </w:tr>
      <w:tr>
        <w:tc>
          <w:tcPr>
            <w:tcW/>
          </w:tcPr>
          <w:p>
            <w:pPr>
              <w:spacing w:line="240" w:lineRule="auto"/>
              <w:jc w:val="left"/>
            </w:pPr>
            <w:r>
              <w:rPr>
                <w:rFonts w:ascii="宋体" w:hAnsi="宋体" w:cs="宋体" w:eastAsia="宋体"/>
                <w:b w:val="false"/>
              </w:rPr>
              <w:t>下属分级基金的交易代码</w:t>
            </w:r>
          </w:p>
        </w:tc>
        <w:tc>
          <w:tcPr>
            <w:tcW w:type="pct" w:w="1500"/>
          </w:tcPr>
          <w:p>
            <w:pPr>
              <w:spacing w:line="240" w:lineRule="auto"/>
              <w:jc w:val="left"/>
            </w:pPr>
            <w:r>
              <w:rPr>
                <w:rFonts w:ascii="宋体" w:hAnsi="宋体" w:cs="宋体" w:eastAsia="宋体"/>
                <w:b w:val="false"/>
              </w:rPr>
              <w:t>024423</w:t>
            </w:r>
          </w:p>
        </w:tc>
        <w:tc>
          <w:tcPr>
            <w:tcW w:type="pct" w:w="1500"/>
          </w:tcPr>
          <w:p>
            <w:pPr>
              <w:spacing w:line="240" w:lineRule="auto"/>
              <w:jc w:val="left"/>
            </w:pPr>
            <w:r>
              <w:rPr>
                <w:rFonts w:ascii="宋体" w:hAnsi="宋体" w:cs="宋体" w:eastAsia="宋体"/>
                <w:b w:val="false"/>
              </w:rPr>
              <w:t>024424</w:t>
            </w:r>
          </w:p>
        </w:tc>
      </w:tr>
      <w:tr>
        <w:tc>
          <w:tcPr>
            <w:tcW/>
          </w:tcPr>
          <w:p>
            <w:pPr>
              <w:spacing w:line="240" w:lineRule="auto"/>
              <w:jc w:val="left"/>
            </w:pPr>
            <w:r>
              <w:rPr>
                <w:rFonts w:ascii="宋体" w:hAnsi="宋体" w:cs="宋体" w:eastAsia="宋体"/>
                <w:b w:val="false"/>
              </w:rPr>
              <w:t>报告期末下属分级基金的份额总额</w:t>
            </w:r>
          </w:p>
        </w:tc>
        <w:tc>
          <w:tcPr>
            <w:tcW w:type="pct" w:w="1500"/>
          </w:tcPr>
          <w:p>
            <w:pPr>
              <w:spacing w:line="240" w:lineRule="auto"/>
              <w:jc w:val="left"/>
            </w:pPr>
            <w:r>
              <w:rPr>
                <w:rFonts w:ascii="宋体" w:hAnsi="宋体" w:cs="宋体" w:eastAsia="宋体"/>
                <w:b w:val="false"/>
              </w:rPr>
              <w:t>11,871,418.33份</w:t>
            </w:r>
          </w:p>
        </w:tc>
        <w:tc>
          <w:tcPr>
            <w:tcW w:type="pct" w:w="1500"/>
          </w:tcPr>
          <w:p>
            <w:pPr>
              <w:spacing w:line="240" w:lineRule="auto"/>
              <w:jc w:val="left"/>
            </w:pPr>
            <w:r>
              <w:rPr>
                <w:rFonts w:ascii="宋体" w:hAnsi="宋体" w:cs="宋体" w:eastAsia="宋体"/>
                <w:b w:val="false"/>
              </w:rPr>
              <w:t>53,688.70份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tcPr>
          <w:tcPr>
            <w:shd w:fill="d9d9d9"/>
          </w:tcPr>
          <w:p>
            <w:pPr>
              <w:spacing w:line="240" w:lineRule="auto"/>
              <w:jc w:val="center"/>
            </w:pPr>
            <w:r>
              <w:rPr>
                <w:rFonts w:ascii="宋体" w:hAnsi="宋体" w:cs="宋体" w:eastAsia="宋体"/>
                <w:b w:val="false"/>
              </w:rPr>
              <w:t>报告期（2025年06月06日（基金合同生效日）-2025年06月30日）</w:t>
            </w:r>
          </w:p>
        </w:tc>
        <w:tc>
          <w:tcPr>
            <w:hMerge w:val="continue"/>
          </w:tcPr>
          <w:p/>
        </w:tc>
      </w:tr>
      <w:tr>
        <w:tc>
          <w:tcPr>
            <w:vMerge w:val="continue"/>
          </w:tcPr>
          <w:p/>
        </w:tc>
        <w:tc>
          <w:tcPr>
            <w:tcW w:type="pct" w:w="1500"/>
          </w:tcPr>
          <w:tcPr>
            <w:shd w:fill="d9d9d9"/>
          </w:tcPr>
          <w:p>
            <w:pPr>
              <w:spacing w:line="240" w:lineRule="auto"/>
              <w:jc w:val="center"/>
            </w:pPr>
            <w:r>
              <w:rPr>
                <w:rFonts w:ascii="宋体" w:hAnsi="宋体" w:cs="宋体" w:eastAsia="宋体"/>
                <w:b w:val="false"/>
              </w:rPr>
              <w:t>东方阿尔法科技优选混合发起A</w:t>
            </w:r>
          </w:p>
        </w:tc>
        <w:tc>
          <w:tcPr>
            <w:tcW w:type="pct" w:w="1500"/>
          </w:tcPr>
          <w:tcPr>
            <w:shd w:fill="d9d9d9"/>
          </w:tcPr>
          <w:p>
            <w:pPr>
              <w:spacing w:line="240" w:lineRule="auto"/>
              <w:jc w:val="center"/>
            </w:pPr>
            <w:r>
              <w:rPr>
                <w:rFonts w:ascii="宋体" w:hAnsi="宋体" w:cs="宋体" w:eastAsia="宋体"/>
                <w:b w:val="false"/>
              </w:rPr>
              <w:t>东方阿尔法科技优选混合发起C</w:t>
            </w:r>
          </w:p>
        </w:tc>
      </w:tr>
      <w:tr>
        <w:tc>
          <w:tcPr>
            <w:tcW/>
          </w:tcPr>
          <w:p>
            <w:pPr>
              <w:spacing w:line="240" w:lineRule="auto"/>
              <w:jc w:val="left"/>
            </w:pPr>
            <w:r>
              <w:rPr>
                <w:rFonts w:ascii="宋体" w:hAnsi="宋体" w:cs="宋体" w:eastAsia="宋体"/>
                <w:b w:val="false"/>
              </w:rPr>
              <w:t>1.本期已实现收益</w:t>
            </w:r>
          </w:p>
        </w:tc>
        <w:tc>
          <w:tcPr>
            <w:tcW w:type="pct" w:w="1500"/>
          </w:tcPr>
          <w:p>
            <w:pPr>
              <w:spacing w:line="240" w:lineRule="auto"/>
              <w:jc w:val="right"/>
            </w:pPr>
            <w:r>
              <w:rPr>
                <w:rFonts w:ascii="宋体" w:hAnsi="宋体" w:cs="宋体" w:eastAsia="宋体"/>
                <w:b w:val="false"/>
              </w:rPr>
              <w:t>-156,641.79</w:t>
            </w:r>
          </w:p>
        </w:tc>
        <w:tc>
          <w:tcPr>
            <w:tcW w:type="pct" w:w="1500"/>
          </w:tcPr>
          <w:p>
            <w:pPr>
              <w:spacing w:line="240" w:lineRule="auto"/>
              <w:jc w:val="right"/>
            </w:pPr>
            <w:r>
              <w:rPr>
                <w:rFonts w:ascii="宋体" w:hAnsi="宋体" w:cs="宋体" w:eastAsia="宋体"/>
                <w:b w:val="false"/>
              </w:rPr>
              <w:t>-567.48</w:t>
            </w:r>
          </w:p>
        </w:tc>
      </w:tr>
      <w:tr>
        <w:tc>
          <w:tcPr>
            <w:tcW/>
          </w:tcPr>
          <w:p>
            <w:pPr>
              <w:spacing w:line="240" w:lineRule="auto"/>
              <w:jc w:val="left"/>
            </w:pPr>
            <w:r>
              <w:rPr>
                <w:rFonts w:ascii="宋体" w:hAnsi="宋体" w:cs="宋体" w:eastAsia="宋体"/>
                <w:b w:val="false"/>
              </w:rPr>
              <w:t>2.本期利润</w:t>
            </w:r>
          </w:p>
        </w:tc>
        <w:tc>
          <w:tcPr>
            <w:tcW w:type="pct" w:w="1500"/>
          </w:tcPr>
          <w:p>
            <w:pPr>
              <w:spacing w:line="240" w:lineRule="auto"/>
              <w:jc w:val="right"/>
            </w:pPr>
            <w:r>
              <w:rPr>
                <w:rFonts w:ascii="宋体" w:hAnsi="宋体" w:cs="宋体" w:eastAsia="宋体"/>
                <w:b w:val="false"/>
              </w:rPr>
              <w:t>-83,624.29</w:t>
            </w:r>
          </w:p>
        </w:tc>
        <w:tc>
          <w:tcPr>
            <w:tcW w:type="pct" w:w="1500"/>
          </w:tcPr>
          <w:p>
            <w:pPr>
              <w:spacing w:line="240" w:lineRule="auto"/>
              <w:jc w:val="right"/>
            </w:pPr>
            <w:r>
              <w:rPr>
                <w:rFonts w:ascii="宋体" w:hAnsi="宋体" w:cs="宋体" w:eastAsia="宋体"/>
                <w:b w:val="false"/>
              </w:rPr>
              <w:t>378.15</w:t>
            </w:r>
          </w:p>
        </w:tc>
      </w:tr>
      <w:tr>
        <w:tc>
          <w:tcPr>
            <w:tcW/>
          </w:tcPr>
          <w:p>
            <w:pPr>
              <w:spacing w:line="240" w:lineRule="auto"/>
              <w:jc w:val="left"/>
            </w:pPr>
            <w:r>
              <w:rPr>
                <w:rFonts w:ascii="宋体" w:hAnsi="宋体" w:cs="宋体" w:eastAsia="宋体"/>
                <w:b w:val="false"/>
              </w:rPr>
              <w:t>3.加权平均基金份额本期利润</w:t>
            </w:r>
          </w:p>
        </w:tc>
        <w:tc>
          <w:tcPr>
            <w:tcW w:type="pct" w:w="1500"/>
          </w:tcPr>
          <w:p>
            <w:pPr>
              <w:spacing w:line="240" w:lineRule="auto"/>
              <w:jc w:val="right"/>
            </w:pPr>
            <w:r>
              <w:rPr>
                <w:rFonts w:ascii="宋体" w:hAnsi="宋体" w:cs="宋体" w:eastAsia="宋体"/>
                <w:b w:val="false"/>
              </w:rPr>
              <w:t>-0.0070</w:t>
            </w:r>
          </w:p>
        </w:tc>
        <w:tc>
          <w:tcPr>
            <w:tcW w:type="pct" w:w="1500"/>
          </w:tcPr>
          <w:p>
            <w:pPr>
              <w:spacing w:line="240" w:lineRule="auto"/>
              <w:jc w:val="right"/>
            </w:pPr>
            <w:r>
              <w:rPr>
                <w:rFonts w:ascii="宋体" w:hAnsi="宋体" w:cs="宋体" w:eastAsia="宋体"/>
                <w:b w:val="false"/>
              </w:rPr>
              <w:t>0.0285</w:t>
            </w:r>
          </w:p>
        </w:tc>
      </w:tr>
      <w:tr>
        <w:tc>
          <w:tcPr>
            <w:tcW/>
          </w:tcPr>
          <w:p>
            <w:pPr>
              <w:spacing w:line="240" w:lineRule="auto"/>
              <w:jc w:val="left"/>
            </w:pPr>
            <w:r>
              <w:rPr>
                <w:rFonts w:ascii="宋体" w:hAnsi="宋体" w:cs="宋体" w:eastAsia="宋体"/>
                <w:b w:val="false"/>
              </w:rPr>
              <w:t>4.期末基金资产净值</w:t>
            </w:r>
          </w:p>
        </w:tc>
        <w:tc>
          <w:tcPr>
            <w:tcW w:type="pct" w:w="1500"/>
          </w:tcPr>
          <w:p>
            <w:pPr>
              <w:spacing w:line="240" w:lineRule="auto"/>
              <w:jc w:val="right"/>
            </w:pPr>
            <w:r>
              <w:rPr>
                <w:rFonts w:ascii="宋体" w:hAnsi="宋体" w:cs="宋体" w:eastAsia="宋体"/>
                <w:b w:val="false"/>
              </w:rPr>
              <w:t>11,787,830.79</w:t>
            </w:r>
          </w:p>
        </w:tc>
        <w:tc>
          <w:tcPr>
            <w:tcW w:type="pct" w:w="1500"/>
          </w:tcPr>
          <w:p>
            <w:pPr>
              <w:spacing w:line="240" w:lineRule="auto"/>
              <w:jc w:val="right"/>
            </w:pPr>
            <w:r>
              <w:rPr>
                <w:rFonts w:ascii="宋体" w:hAnsi="宋体" w:cs="宋体" w:eastAsia="宋体"/>
                <w:b w:val="false"/>
              </w:rPr>
              <w:t>53,295.26</w:t>
            </w:r>
          </w:p>
        </w:tc>
      </w:tr>
      <w:tr>
        <w:tc>
          <w:tcPr>
            <w:tcW/>
          </w:tcPr>
          <w:p>
            <w:pPr>
              <w:spacing w:line="240" w:lineRule="auto"/>
              <w:jc w:val="left"/>
            </w:pPr>
            <w:r>
              <w:rPr>
                <w:rFonts w:ascii="宋体" w:hAnsi="宋体" w:cs="宋体" w:eastAsia="宋体"/>
                <w:b w:val="false"/>
              </w:rPr>
              <w:t>5.期末基金份额净值</w:t>
            </w:r>
          </w:p>
        </w:tc>
        <w:tc>
          <w:tcPr>
            <w:tcW w:type="pct" w:w="1500"/>
          </w:tcPr>
          <w:p>
            <w:pPr>
              <w:spacing w:line="240" w:lineRule="auto"/>
              <w:jc w:val="right"/>
            </w:pPr>
            <w:r>
              <w:rPr>
                <w:rFonts w:ascii="宋体" w:hAnsi="宋体" w:cs="宋体" w:eastAsia="宋体"/>
                <w:b w:val="false"/>
              </w:rPr>
              <w:t>0.9930</w:t>
            </w:r>
          </w:p>
        </w:tc>
        <w:tc>
          <w:tcPr>
            <w:tcW w:type="pct" w:w="1500"/>
          </w:tcPr>
          <w:p>
            <w:pPr>
              <w:spacing w:line="240" w:lineRule="auto"/>
              <w:jc w:val="right"/>
            </w:pPr>
            <w:r>
              <w:rPr>
                <w:rFonts w:ascii="宋体" w:hAnsi="宋体" w:cs="宋体" w:eastAsia="宋体"/>
                <w:b w:val="false"/>
              </w:rPr>
              <w:t>0.9927</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东方阿尔法科技优选混合发起A净值表现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-0.70%</w:t>
            </w:r>
          </w:p>
        </w:tc>
        <w:tc>
          <w:tcPr>
            <w:tcW/>
            <w:vAlign w:val="center"/>
          </w:tcPr>
          <w:p>
            <w:pPr>
              <w:spacing w:line="240" w:lineRule="auto"/>
              <w:jc w:val="right"/>
            </w:pPr>
            <w:r>
              <w:rPr>
                <w:rFonts w:ascii="宋体" w:hAnsi="宋体" w:cs="宋体" w:eastAsia="宋体"/>
                <w:b w:val="false"/>
              </w:rPr>
              <w:t>1.40%</w:t>
            </w:r>
          </w:p>
        </w:tc>
        <w:tc>
          <w:tcPr>
            <w:tcW/>
            <w:vAlign w:val="center"/>
          </w:tcPr>
          <w:p>
            <w:pPr>
              <w:spacing w:line="240" w:lineRule="auto"/>
              <w:jc w:val="right"/>
            </w:pPr>
            <w:r>
              <w:rPr>
                <w:rFonts w:ascii="宋体" w:hAnsi="宋体" w:cs="宋体" w:eastAsia="宋体"/>
                <w:b w:val="false"/>
              </w:rPr>
              <w:t>3.94%</w:t>
            </w:r>
          </w:p>
        </w:tc>
        <w:tc>
          <w:tcPr>
            <w:tcW/>
            <w:vAlign w:val="center"/>
          </w:tcPr>
          <w:p>
            <w:pPr>
              <w:spacing w:line="240" w:lineRule="auto"/>
              <w:jc w:val="right"/>
            </w:pPr>
            <w:r>
              <w:rPr>
                <w:rFonts w:ascii="宋体" w:hAnsi="宋体" w:cs="宋体" w:eastAsia="宋体"/>
                <w:b w:val="false"/>
              </w:rPr>
              <w:t>0.79%</w:t>
            </w:r>
          </w:p>
        </w:tc>
        <w:tc>
          <w:tcPr>
            <w:tcW/>
            <w:vAlign w:val="center"/>
          </w:tcPr>
          <w:p>
            <w:pPr>
              <w:spacing w:line="240" w:lineRule="auto"/>
              <w:jc w:val="right"/>
            </w:pPr>
            <w:r>
              <w:rPr>
                <w:rFonts w:ascii="宋体" w:hAnsi="宋体" w:cs="宋体" w:eastAsia="宋体"/>
                <w:b w:val="false"/>
              </w:rPr>
              <w:t>-4.64%</w:t>
            </w:r>
          </w:p>
        </w:tc>
        <w:tc>
          <w:tcPr>
            <w:tcW/>
            <w:vAlign w:val="center"/>
          </w:tcPr>
          <w:p>
            <w:pPr>
              <w:spacing w:line="240" w:lineRule="auto"/>
              <w:jc w:val="right"/>
            </w:pPr>
            <w:r>
              <w:rPr>
                <w:rFonts w:ascii="宋体" w:hAnsi="宋体" w:cs="宋体" w:eastAsia="宋体"/>
                <w:b w:val="false"/>
              </w:rPr>
              <w:t>0.61%</w:t>
            </w:r>
          </w:p>
        </w:tc>
      </w:tr>
    </w:tbl>
    <w:p>
      <w:pPr>
        <w:jc w:val="left"/>
      </w:pPr>
      <w:r>
        <w:rPr>
          <w:rFonts w:ascii="宋体" w:hAnsi="宋体" w:cs="宋体" w:eastAsia="宋体"/>
          <w:b w:val="true"/>
        </w:rPr>
        <w:t>东方阿尔法科技优选混合发起C净值表现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-0.73%</w:t>
            </w:r>
          </w:p>
        </w:tc>
        <w:tc>
          <w:tcPr>
            <w:tcW/>
            <w:vAlign w:val="center"/>
          </w:tcPr>
          <w:p>
            <w:pPr>
              <w:spacing w:line="240" w:lineRule="auto"/>
              <w:jc w:val="right"/>
            </w:pPr>
            <w:r>
              <w:rPr>
                <w:rFonts w:ascii="宋体" w:hAnsi="宋体" w:cs="宋体" w:eastAsia="宋体"/>
                <w:b w:val="false"/>
              </w:rPr>
              <w:t>1.39%</w:t>
            </w:r>
          </w:p>
        </w:tc>
        <w:tc>
          <w:tcPr>
            <w:tcW/>
            <w:vAlign w:val="center"/>
          </w:tcPr>
          <w:p>
            <w:pPr>
              <w:spacing w:line="240" w:lineRule="auto"/>
              <w:jc w:val="right"/>
            </w:pPr>
            <w:r>
              <w:rPr>
                <w:rFonts w:ascii="宋体" w:hAnsi="宋体" w:cs="宋体" w:eastAsia="宋体"/>
                <w:b w:val="false"/>
              </w:rPr>
              <w:t>3.94%</w:t>
            </w:r>
          </w:p>
        </w:tc>
        <w:tc>
          <w:tcPr>
            <w:tcW/>
            <w:vAlign w:val="center"/>
          </w:tcPr>
          <w:p>
            <w:pPr>
              <w:spacing w:line="240" w:lineRule="auto"/>
              <w:jc w:val="right"/>
            </w:pPr>
            <w:r>
              <w:rPr>
                <w:rFonts w:ascii="宋体" w:hAnsi="宋体" w:cs="宋体" w:eastAsia="宋体"/>
                <w:b w:val="false"/>
              </w:rPr>
              <w:t>0.79%</w:t>
            </w:r>
          </w:p>
        </w:tc>
        <w:tc>
          <w:tcPr>
            <w:tcW/>
            <w:vAlign w:val="center"/>
          </w:tcPr>
          <w:p>
            <w:pPr>
              <w:spacing w:line="240" w:lineRule="auto"/>
              <w:jc w:val="right"/>
            </w:pPr>
            <w:r>
              <w:rPr>
                <w:rFonts w:ascii="宋体" w:hAnsi="宋体" w:cs="宋体" w:eastAsia="宋体"/>
                <w:b w:val="false"/>
              </w:rPr>
              <w:t>-4.67%</w:t>
            </w:r>
          </w:p>
        </w:tc>
        <w:tc>
          <w:tcPr>
            <w:tcW/>
            <w:vAlign w:val="center"/>
          </w:tcPr>
          <w:p>
            <w:pPr>
              <w:spacing w:line="240" w:lineRule="auto"/>
              <w:jc w:val="right"/>
            </w:pPr>
            <w:r>
              <w:rPr>
                <w:rFonts w:ascii="宋体" w:hAnsi="宋体" w:cs="宋体" w:eastAsia="宋体"/>
                <w:b w:val="false"/>
              </w:rPr>
              <w:t>0.60%</w:t>
            </w:r>
          </w:p>
        </w:tc>
      </w:tr>
    </w:tbl>
    <w:p>
      <w:r>
        <w:rPr>
          <w:rFonts w:ascii="宋体" w:hAnsi="宋体" w:cs="宋体" w:eastAsia="宋体"/>
          <w:b w:val="false"/>
        </w:rPr>
        <w:t xml:space="preserve">    1、本基金的业绩比较基准为：中国战略新兴产业成份指数收益率*70%+中债-综合指数(全价)收益率*20%+恒生科技指数收益率(按估值汇率折算)*10%。</w:t>
        <w:cr/>
      </w:r>
      <w:r>
        <w:rPr>
          <w:rFonts w:ascii="宋体" w:hAnsi="宋体" w:cs="宋体" w:eastAsia="宋体"/>
          <w:b w:val="false"/>
        </w:rPr>
        <w:t xml:space="preserve">    2、本基金自2025年6月6日成立至今尚未满3个月，无过去三个月、六个月、一年、三年和五年的净值表现。</w:t>
      </w:r>
    </w:p>
    <w:p/>
    <w:p>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
      <w:pPr>
        <w:pStyle w:val="2"/>
        <w:jc w:val="left"/>
      </w:pPr>
      <w:r>
        <w:rPr>
          <w:rFonts w:ascii="宋体" w:hAnsi="宋体" w:cs="宋体" w:eastAsia="宋体"/>
        </w:rPr>
        <w:t>3.3 其他指标</w:t>
      </w:r>
    </w:p>
    <w:p>
      <w:r>
        <w:rPr>
          <w:rFonts w:ascii="宋体" w:hAnsi="宋体" w:cs="宋体" w:eastAsia="宋体"/>
          <w:b w:val="false"/>
        </w:rPr>
        <w:t xml:space="preserve">    无。</w:t>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潘令梓</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2025-06-06</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6年</w:t>
            </w:r>
          </w:p>
        </w:tc>
        <w:tc>
          <w:tcPr>
            <w:tcW/>
            <w:vAlign w:val="center"/>
          </w:tcPr>
          <w:p>
            <w:pPr>
              <w:spacing w:line="240" w:lineRule="auto"/>
              <w:jc w:val="left"/>
            </w:pPr>
            <w:r>
              <w:rPr>
                <w:rFonts w:ascii="宋体" w:hAnsi="宋体" w:cs="宋体" w:eastAsia="宋体"/>
                <w:b w:val="false"/>
              </w:rPr>
              <w:t>潘令梓先生，南开大学保险学学士，香港大学会计学硕士，于2019年11月入职东方阿尔法基金管理有限公司，历任研究部研究员、基金经理助理。现任东方阿尔法基金管理有限公司基金经理。</w:t>
            </w:r>
          </w:p>
        </w:tc>
      </w:tr>
      <w:tr>
        <w:tc>
          <w:tcPr>
            <w:tcW/>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2025-06-12</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15年</w:t>
            </w:r>
          </w:p>
        </w:tc>
        <w:tc>
          <w:tcPr>
            <w:tcW/>
            <w:vAlign w:val="center"/>
          </w:tcPr>
          <w:p>
            <w:pPr>
              <w:spacing w:line="240" w:lineRule="auto"/>
              <w:jc w:val="left"/>
            </w:pPr>
            <w:r>
              <w:rPr>
                <w:rFonts w:ascii="宋体" w:hAnsi="宋体" w:cs="宋体" w:eastAsia="宋体"/>
                <w:b w:val="false"/>
              </w:rPr>
              <w:t>周谧先生，中国人民大学应用数学硕士。2008年9月起历任中再资产管理股份有限公司金融工程分析师、平安证券有限责任公司高级量化分析师、国金创新投资有限公司投资经理、深圳铸成投资有限公司投资部副总监、财富证券有限责任公司投资经理、金信基金管理有限公司基金经理。2022年10月加入东方阿尔法基金管理有限公司，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二季度初，因中美谈判中双方加征关税力度超预期导致了较大幅度的波动。当指数下探至3050点附近时，国家队及时采取了有力措施——自4月7日起，中央汇金公司等“国家队”资金持续加码ETF市场，为市场注入了稳定资金；7天回购利率较月初下降了10个基点，进一步降低了市场资金成本；多家央企和国企也纷纷启动了大规模增持和回购计划。在这些积极行动的共同作用下，市场成功守住了3050点的关键支撑位，有效地缓解了市场的恐慌情绪，为后续市场的平稳运行奠定了基础。此后，市场整体呈现出较为稳健的上涨态势。</w:t>
        <w:cr/>
      </w:r>
      <w:r>
        <w:rPr>
          <w:rFonts w:ascii="宋体" w:hAnsi="宋体" w:cs="宋体" w:eastAsia="宋体"/>
          <w:b w:val="false"/>
        </w:rPr>
        <w:t xml:space="preserve">    在此期间，虽然中美谈判的反复、印巴冲突、伊以冲突等事件相继发生，但这些外部因素并未对A股市场造成过大的冲击。A股市场的市值目前大约在100万亿元左右，相较于房地产市场500万亿元的规模而言还比较小，但其对经济的影响却是不容小觑的。</w:t>
        <w:cr/>
      </w:r>
      <w:r>
        <w:rPr>
          <w:rFonts w:ascii="宋体" w:hAnsi="宋体" w:cs="宋体" w:eastAsia="宋体"/>
          <w:b w:val="false"/>
        </w:rPr>
        <w:t xml:space="preserve">    从企业角度来看，企业存在资产和负债的概念，其中负债通常是刚性的，而资产则具有一定的波动性。对于非上市企业而言，其公允价值往往也会参考与自身业务相近的上市公司情况来确定。如果上市公司的股价出现下跌，那么非上市企业的公允价值也可能会受到一定的影响，进而导致整个社会的信用风险有所上升。</w:t>
        <w:cr/>
      </w:r>
      <w:r>
        <w:rPr>
          <w:rFonts w:ascii="宋体" w:hAnsi="宋体" w:cs="宋体" w:eastAsia="宋体"/>
          <w:b w:val="false"/>
        </w:rPr>
        <w:t xml:space="preserve">    从投资者角度来看，中国拥有超过3亿的股民群体，股市走势好坏会直接影响到广大投资者对经济形势的直观感受，并且也会对整个社会的消费偏好产生一定的影响。</w:t>
        <w:cr/>
      </w:r>
      <w:r>
        <w:rPr>
          <w:rFonts w:ascii="宋体" w:hAnsi="宋体" w:cs="宋体" w:eastAsia="宋体"/>
          <w:b w:val="false"/>
        </w:rPr>
        <w:t xml:space="preserve">    从目前的情况来看，二季度初的稳市场举措取得了较为显著的成效。相信有了这次成功案例的经验积累，未来在遇到其他困难和挑战时，我们也将更有信心去积极应对并坚持下来。</w:t>
        <w:cr/>
      </w:r>
      <w:r>
        <w:rPr>
          <w:rFonts w:ascii="宋体" w:hAnsi="宋体" w:cs="宋体" w:eastAsia="宋体"/>
          <w:b w:val="false"/>
        </w:rPr>
        <w:t xml:space="preserve">    本基金在二季度末成立，专注于投资具有技术优势的专精特新企业。在成立初期，我们通过深入研究发现，北交所汇聚了众多此类企业，这促使我们开始重点关注北交所这一市场，并逐渐挖掘出其中蕴含的投资机会。北交所目前正处于快速发展的阶段，为专精特新的中小企业提供了重要的融资渠道，助力它们实现自身的快速成长。在北交所上市的公司中，有许多企业展现出独特的业务模式和核心竞争力，在整个上市公司群体中具有一定的独特性和稀缺性，值得我们深入研究和关注。</w:t>
        <w:cr/>
      </w:r>
      <w:r>
        <w:rPr>
          <w:rFonts w:ascii="宋体" w:hAnsi="宋体" w:cs="宋体" w:eastAsia="宋体"/>
          <w:b w:val="false"/>
        </w:rPr>
        <w:t xml:space="preserve">    展望三季度，我们预计经济有望逐步企稳复苏，同时，市场对美联储降息预期的增强也为我国的政策调整提供了更多空间，国内政策环境可能会更加宽松。在这样的宏观背景下，北交所有望迎来更多的发展机遇。本基金将秉持谨慎、专业的态度，努力挖掘北交所中的优质投资标的，尽力为大家把握其中的机会，为投资者创造价值。市场存在不确定性，我们将持续关注市场动态，灵活调整投资策略，以应对可能出现的各种情况。</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科技优选混合发起A基金份额净值为0.9930元，本报告期内，该类基金份额净值增长率为-0.70%，同期业绩比较基准收益率为3.94%；截至报告期末东方阿尔法科技优选混合发起C基金份额净值为0.9927元，本报告期内，该类基金份额净值增长率为-0.73%，同期业绩比较基准收益率为3.94%。</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无。</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10,924,771.58</w:t>
            </w:r>
          </w:p>
        </w:tc>
        <w:tc>
          <w:tcPr>
            <w:tcW/>
            <w:vAlign w:val="center"/>
          </w:tcPr>
          <w:p>
            <w:pPr>
              <w:spacing w:line="240" w:lineRule="auto"/>
              <w:jc w:val="right"/>
            </w:pPr>
            <w:r>
              <w:rPr>
                <w:rFonts w:ascii="宋体" w:hAnsi="宋体" w:cs="宋体" w:eastAsia="宋体"/>
                <w:b w:val="false"/>
              </w:rPr>
              <w:t>92.12</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10,924,771.58</w:t>
            </w:r>
          </w:p>
        </w:tc>
        <w:tc>
          <w:tcPr>
            <w:tcW/>
            <w:vAlign w:val="center"/>
          </w:tcPr>
          <w:p>
            <w:pPr>
              <w:spacing w:line="240" w:lineRule="auto"/>
              <w:jc w:val="right"/>
            </w:pPr>
            <w:r>
              <w:rPr>
                <w:rFonts w:ascii="宋体" w:hAnsi="宋体" w:cs="宋体" w:eastAsia="宋体"/>
                <w:b w:val="false"/>
              </w:rPr>
              <w:t>92.12</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602,644.44</w:t>
            </w:r>
          </w:p>
        </w:tc>
        <w:tc>
          <w:tcPr>
            <w:tcW/>
            <w:vAlign w:val="center"/>
          </w:tcPr>
          <w:p>
            <w:pPr>
              <w:spacing w:line="240" w:lineRule="auto"/>
              <w:jc w:val="right"/>
            </w:pPr>
            <w:r>
              <w:rPr>
                <w:rFonts w:ascii="宋体" w:hAnsi="宋体" w:cs="宋体" w:eastAsia="宋体"/>
                <w:b w:val="false"/>
              </w:rPr>
              <w:t>5.08</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602,644.44</w:t>
            </w:r>
          </w:p>
        </w:tc>
        <w:tc>
          <w:tcPr>
            <w:tcW/>
            <w:vAlign w:val="center"/>
          </w:tcPr>
          <w:p>
            <w:pPr>
              <w:spacing w:line="240" w:lineRule="auto"/>
              <w:jc w:val="right"/>
            </w:pPr>
            <w:r>
              <w:rPr>
                <w:rFonts w:ascii="宋体" w:hAnsi="宋体" w:cs="宋体" w:eastAsia="宋体"/>
                <w:b w:val="false"/>
              </w:rPr>
              <w:t>5.08</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329,314.21</w:t>
            </w:r>
          </w:p>
        </w:tc>
        <w:tc>
          <w:tcPr>
            <w:tcW/>
            <w:vAlign w:val="center"/>
          </w:tcPr>
          <w:p>
            <w:pPr>
              <w:spacing w:line="240" w:lineRule="auto"/>
              <w:jc w:val="right"/>
            </w:pPr>
            <w:r>
              <w:rPr>
                <w:rFonts w:ascii="宋体" w:hAnsi="宋体" w:cs="宋体" w:eastAsia="宋体"/>
                <w:b w:val="false"/>
              </w:rPr>
              <w:t>2.78</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2,295.41</w:t>
            </w:r>
          </w:p>
        </w:tc>
        <w:tc>
          <w:tcPr>
            <w:tcW/>
            <w:vAlign w:val="center"/>
          </w:tcPr>
          <w:p>
            <w:pPr>
              <w:spacing w:line="240" w:lineRule="auto"/>
              <w:jc w:val="right"/>
            </w:pPr>
            <w:r>
              <w:rPr>
                <w:rFonts w:ascii="宋体" w:hAnsi="宋体" w:cs="宋体" w:eastAsia="宋体"/>
                <w:b w:val="false"/>
              </w:rPr>
              <w:t>0.02</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11,859,025.64</w:t>
            </w:r>
          </w:p>
        </w:tc>
        <w:tc>
          <w:tcPr>
            <w:tcW/>
            <w:vAlign w:val="center"/>
          </w:tcPr>
          <w:p>
            <w:pPr>
              <w:spacing w:line="240" w:lineRule="auto"/>
              <w:jc w:val="right"/>
            </w:pPr>
            <w:r>
              <w:rPr>
                <w:rFonts w:ascii="宋体" w:hAnsi="宋体" w:cs="宋体" w:eastAsia="宋体"/>
                <w:b w:val="false"/>
              </w:rPr>
              <w:t>100.00</w:t>
            </w:r>
          </w:p>
        </w:tc>
      </w:tr>
    </w:tbl>
    <w:p/>
    <w:p>
      <w:pPr>
        <w:pStyle w:val="2"/>
        <w:jc w:val="left"/>
      </w:pPr>
      <w:r>
        <w:rPr>
          <w:rFonts w:ascii="宋体" w:hAnsi="宋体" w:cs="宋体" w:eastAsia="宋体"/>
        </w:rPr>
        <w:t>5.2 报告期末按行业分类的股票投资组合</w:t>
      </w:r>
    </w:p>
    <w:p>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tcPr>
          <w:tcPr>
            <w:shd w:fill="d9d9d9"/>
          </w:tcPr>
          <w:p>
            <w:pPr>
              <w:spacing w:line="240" w:lineRule="auto"/>
              <w:jc w:val="center"/>
            </w:pPr>
            <w:r>
              <w:rPr>
                <w:rFonts w:ascii="宋体" w:hAnsi="宋体" w:cs="宋体" w:eastAsia="宋体"/>
                <w:b w:val="false"/>
              </w:rPr>
              <w:t>代码</w:t>
            </w:r>
          </w:p>
        </w:tc>
        <w:tc>
          <w:tcPr>
            <w:tcW w:type="pct" w:w="1538"/>
          </w:tcPr>
          <w:tcPr>
            <w:shd w:fill="d9d9d9"/>
          </w:tcPr>
          <w:p>
            <w:pPr>
              <w:spacing w:line="240" w:lineRule="auto"/>
              <w:jc w:val="center"/>
            </w:pPr>
            <w:r>
              <w:rPr>
                <w:rFonts w:ascii="宋体" w:hAnsi="宋体" w:cs="宋体" w:eastAsia="宋体"/>
                <w:b w:val="false"/>
              </w:rPr>
              <w:t>行业类别</w:t>
            </w:r>
          </w:p>
        </w:tc>
        <w:tc>
          <w:tcPr>
            <w:tcW w:type="pct" w:w="923"/>
          </w:tcPr>
          <w:tcPr>
            <w:shd w:fill="d9d9d9"/>
          </w:tcPr>
          <w:p>
            <w:pPr>
              <w:spacing w:line="240" w:lineRule="auto"/>
              <w:jc w:val="center"/>
            </w:pPr>
            <w:r>
              <w:rPr>
                <w:rFonts w:ascii="宋体" w:hAnsi="宋体" w:cs="宋体" w:eastAsia="宋体"/>
                <w:b w:val="false"/>
              </w:rPr>
              <w:t>公允价值(元)</w:t>
            </w:r>
          </w:p>
        </w:tc>
        <w:tc>
          <w:tcPr>
            <w:tcW w:type="pct" w:w="1538"/>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A</w:t>
            </w:r>
          </w:p>
        </w:tc>
        <w:tc>
          <w:tcPr>
            <w:tcW/>
          </w:tcPr>
          <w:p>
            <w:pPr>
              <w:spacing w:line="240" w:lineRule="auto"/>
              <w:jc w:val="left"/>
            </w:pPr>
            <w:r>
              <w:rPr>
                <w:rFonts w:ascii="宋体" w:hAnsi="宋体" w:cs="宋体" w:eastAsia="宋体"/>
                <w:b w:val="false"/>
              </w:rPr>
              <w:t>农、林、牧、渔业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B</w:t>
            </w:r>
          </w:p>
        </w:tc>
        <w:tc>
          <w:tcPr>
            <w:tcW/>
          </w:tcPr>
          <w:p>
            <w:pPr>
              <w:spacing w:line="240" w:lineRule="auto"/>
              <w:jc w:val="left"/>
            </w:pPr>
            <w:r>
              <w:rPr>
                <w:rFonts w:ascii="宋体" w:hAnsi="宋体" w:cs="宋体" w:eastAsia="宋体"/>
                <w:b w:val="false"/>
              </w:rPr>
              <w:t>采矿业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C</w:t>
            </w:r>
          </w:p>
        </w:tc>
        <w:tc>
          <w:tcPr>
            <w:tcW/>
          </w:tcPr>
          <w:p>
            <w:pPr>
              <w:spacing w:line="240" w:lineRule="auto"/>
              <w:jc w:val="left"/>
            </w:pPr>
            <w:r>
              <w:rPr>
                <w:rFonts w:ascii="宋体" w:hAnsi="宋体" w:cs="宋体" w:eastAsia="宋体"/>
                <w:b w:val="false"/>
              </w:rPr>
              <w:t>制造业</w:t>
            </w:r>
          </w:p>
        </w:tc>
        <w:tc>
          <w:tcPr>
            <w:tcW/>
          </w:tcPr>
          <w:p>
            <w:pPr>
              <w:spacing w:line="240" w:lineRule="auto"/>
              <w:jc w:val="right"/>
            </w:pPr>
            <w:r>
              <w:rPr>
                <w:rFonts w:ascii="宋体" w:hAnsi="宋体" w:cs="宋体" w:eastAsia="宋体"/>
                <w:b w:val="false"/>
              </w:rPr>
              <w:t>10,732,501.98</w:t>
            </w:r>
          </w:p>
        </w:tc>
        <w:tc>
          <w:tcPr>
            <w:tcW/>
          </w:tcPr>
          <w:p>
            <w:pPr>
              <w:spacing w:line="240" w:lineRule="auto"/>
              <w:jc w:val="right"/>
            </w:pPr>
            <w:r>
              <w:rPr>
                <w:rFonts w:ascii="宋体" w:hAnsi="宋体" w:cs="宋体" w:eastAsia="宋体"/>
                <w:b w:val="false"/>
              </w:rPr>
              <w:t>90.64</w:t>
            </w:r>
          </w:p>
        </w:tc>
      </w:tr>
      <w:tr>
        <w:tc>
          <w:tcPr>
            <w:tcW/>
          </w:tcPr>
          <w:p>
            <w:pPr>
              <w:spacing w:line="240" w:lineRule="auto"/>
              <w:jc w:val="center"/>
            </w:pPr>
            <w:r>
              <w:rPr>
                <w:rFonts w:ascii="宋体" w:hAnsi="宋体" w:cs="宋体" w:eastAsia="宋体"/>
                <w:b w:val="false"/>
              </w:rPr>
              <w:t>D</w:t>
            </w:r>
          </w:p>
        </w:tc>
        <w:tc>
          <w:tcPr>
            <w:tcW/>
          </w:tcPr>
          <w:p>
            <w:pPr>
              <w:spacing w:line="240" w:lineRule="auto"/>
              <w:jc w:val="left"/>
            </w:pPr>
            <w:r>
              <w:rPr>
                <w:rFonts w:ascii="宋体" w:hAnsi="宋体" w:cs="宋体" w:eastAsia="宋体"/>
                <w:b w:val="false"/>
              </w:rPr>
              <w:t>电力、热力、燃气及水生产和供应业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E</w:t>
            </w:r>
          </w:p>
        </w:tc>
        <w:tc>
          <w:tcPr>
            <w:tcW/>
          </w:tcPr>
          <w:p>
            <w:pPr>
              <w:spacing w:line="240" w:lineRule="auto"/>
              <w:jc w:val="left"/>
            </w:pPr>
            <w:r>
              <w:rPr>
                <w:rFonts w:ascii="宋体" w:hAnsi="宋体" w:cs="宋体" w:eastAsia="宋体"/>
                <w:b w:val="false"/>
              </w:rPr>
              <w:t>建筑业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F</w:t>
            </w:r>
          </w:p>
        </w:tc>
        <w:tc>
          <w:tcPr>
            <w:tcW/>
          </w:tcPr>
          <w:p>
            <w:pPr>
              <w:spacing w:line="240" w:lineRule="auto"/>
              <w:jc w:val="left"/>
            </w:pPr>
            <w:r>
              <w:rPr>
                <w:rFonts w:ascii="宋体" w:hAnsi="宋体" w:cs="宋体" w:eastAsia="宋体"/>
                <w:b w:val="false"/>
              </w:rPr>
              <w:t>批发和零售业</w:t>
            </w:r>
          </w:p>
        </w:tc>
        <w:tc>
          <w:tcPr>
            <w:tcW/>
          </w:tcPr>
          <w:p>
            <w:pPr>
              <w:spacing w:line="240" w:lineRule="auto"/>
              <w:jc w:val="right"/>
            </w:pPr>
            <w:r>
              <w:rPr>
                <w:rFonts w:ascii="宋体" w:hAnsi="宋体" w:cs="宋体" w:eastAsia="宋体"/>
                <w:b w:val="false"/>
              </w:rPr>
              <w:t>192,269.60</w:t>
            </w:r>
          </w:p>
        </w:tc>
        <w:tc>
          <w:tcPr>
            <w:tcW/>
          </w:tcPr>
          <w:p>
            <w:pPr>
              <w:spacing w:line="240" w:lineRule="auto"/>
              <w:jc w:val="right"/>
            </w:pPr>
            <w:r>
              <w:rPr>
                <w:rFonts w:ascii="宋体" w:hAnsi="宋体" w:cs="宋体" w:eastAsia="宋体"/>
                <w:b w:val="false"/>
              </w:rPr>
              <w:t>1.62</w:t>
            </w:r>
          </w:p>
        </w:tc>
      </w:tr>
      <w:tr>
        <w:tc>
          <w:tcPr>
            <w:tcW/>
          </w:tcPr>
          <w:p>
            <w:pPr>
              <w:spacing w:line="240" w:lineRule="auto"/>
              <w:jc w:val="center"/>
            </w:pPr>
            <w:r>
              <w:rPr>
                <w:rFonts w:ascii="宋体" w:hAnsi="宋体" w:cs="宋体" w:eastAsia="宋体"/>
                <w:b w:val="false"/>
              </w:rPr>
              <w:t>G</w:t>
            </w:r>
          </w:p>
        </w:tc>
        <w:tc>
          <w:tcPr>
            <w:tcW/>
          </w:tcPr>
          <w:p>
            <w:pPr>
              <w:spacing w:line="240" w:lineRule="auto"/>
              <w:jc w:val="left"/>
            </w:pPr>
            <w:r>
              <w:rPr>
                <w:rFonts w:ascii="宋体" w:hAnsi="宋体" w:cs="宋体" w:eastAsia="宋体"/>
                <w:b w:val="false"/>
              </w:rPr>
              <w:t>交通运输、仓储和邮政业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H</w:t>
            </w:r>
          </w:p>
        </w:tc>
        <w:tc>
          <w:tcPr>
            <w:tcW/>
          </w:tcPr>
          <w:p>
            <w:pPr>
              <w:spacing w:line="240" w:lineRule="auto"/>
              <w:jc w:val="left"/>
            </w:pPr>
            <w:r>
              <w:rPr>
                <w:rFonts w:ascii="宋体" w:hAnsi="宋体" w:cs="宋体" w:eastAsia="宋体"/>
                <w:b w:val="false"/>
              </w:rPr>
              <w:t>住宿和餐饮业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I</w:t>
            </w:r>
          </w:p>
        </w:tc>
        <w:tc>
          <w:tcPr>
            <w:tcW/>
          </w:tcPr>
          <w:p>
            <w:pPr>
              <w:spacing w:line="240" w:lineRule="auto"/>
              <w:jc w:val="left"/>
            </w:pPr>
            <w:r>
              <w:rPr>
                <w:rFonts w:ascii="宋体" w:hAnsi="宋体" w:cs="宋体" w:eastAsia="宋体"/>
                <w:b w:val="false"/>
              </w:rPr>
              <w:t>信息传输、软件和信息技术服务业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J</w:t>
            </w:r>
          </w:p>
        </w:tc>
        <w:tc>
          <w:tcPr>
            <w:tcW/>
          </w:tcPr>
          <w:p>
            <w:pPr>
              <w:spacing w:line="240" w:lineRule="auto"/>
              <w:jc w:val="left"/>
            </w:pPr>
            <w:r>
              <w:rPr>
                <w:rFonts w:ascii="宋体" w:hAnsi="宋体" w:cs="宋体" w:eastAsia="宋体"/>
                <w:b w:val="false"/>
              </w:rPr>
              <w:t>金融业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K</w:t>
            </w:r>
          </w:p>
        </w:tc>
        <w:tc>
          <w:tcPr>
            <w:tcW/>
          </w:tcPr>
          <w:p>
            <w:pPr>
              <w:spacing w:line="240" w:lineRule="auto"/>
              <w:jc w:val="left"/>
            </w:pPr>
            <w:r>
              <w:rPr>
                <w:rFonts w:ascii="宋体" w:hAnsi="宋体" w:cs="宋体" w:eastAsia="宋体"/>
                <w:b w:val="false"/>
              </w:rPr>
              <w:t>房地产业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L</w:t>
            </w:r>
          </w:p>
        </w:tc>
        <w:tc>
          <w:tcPr>
            <w:tcW/>
          </w:tcPr>
          <w:p>
            <w:pPr>
              <w:spacing w:line="240" w:lineRule="auto"/>
              <w:jc w:val="left"/>
            </w:pPr>
            <w:r>
              <w:rPr>
                <w:rFonts w:ascii="宋体" w:hAnsi="宋体" w:cs="宋体" w:eastAsia="宋体"/>
                <w:b w:val="false"/>
              </w:rPr>
              <w:t>租赁和商务服务业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M</w:t>
            </w:r>
          </w:p>
        </w:tc>
        <w:tc>
          <w:tcPr>
            <w:tcW/>
          </w:tcPr>
          <w:p>
            <w:pPr>
              <w:spacing w:line="240" w:lineRule="auto"/>
              <w:jc w:val="left"/>
            </w:pPr>
            <w:r>
              <w:rPr>
                <w:rFonts w:ascii="宋体" w:hAnsi="宋体" w:cs="宋体" w:eastAsia="宋体"/>
                <w:b w:val="false"/>
              </w:rPr>
              <w:t>科学研究和技术服务业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N</w:t>
            </w:r>
          </w:p>
        </w:tc>
        <w:tc>
          <w:tcPr>
            <w:tcW/>
          </w:tcPr>
          <w:p>
            <w:pPr>
              <w:spacing w:line="240" w:lineRule="auto"/>
              <w:jc w:val="left"/>
            </w:pPr>
            <w:r>
              <w:rPr>
                <w:rFonts w:ascii="宋体" w:hAnsi="宋体" w:cs="宋体" w:eastAsia="宋体"/>
                <w:b w:val="false"/>
              </w:rPr>
              <w:t>水利、环境和公共设施管理业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O</w:t>
            </w:r>
          </w:p>
        </w:tc>
        <w:tc>
          <w:tcPr>
            <w:tcW/>
          </w:tcPr>
          <w:p>
            <w:pPr>
              <w:spacing w:line="240" w:lineRule="auto"/>
              <w:jc w:val="left"/>
            </w:pPr>
            <w:r>
              <w:rPr>
                <w:rFonts w:ascii="宋体" w:hAnsi="宋体" w:cs="宋体" w:eastAsia="宋体"/>
                <w:b w:val="false"/>
              </w:rPr>
              <w:t>居民服务、修理和其他服务业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P</w:t>
            </w:r>
          </w:p>
        </w:tc>
        <w:tc>
          <w:tcPr>
            <w:tcW/>
          </w:tcPr>
          <w:p>
            <w:pPr>
              <w:spacing w:line="240" w:lineRule="auto"/>
              <w:jc w:val="left"/>
            </w:pPr>
            <w:r>
              <w:rPr>
                <w:rFonts w:ascii="宋体" w:hAnsi="宋体" w:cs="宋体" w:eastAsia="宋体"/>
                <w:b w:val="false"/>
              </w:rPr>
              <w:t>教育</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Q</w:t>
            </w:r>
          </w:p>
        </w:tc>
        <w:tc>
          <w:tcPr>
            <w:tcW/>
          </w:tcPr>
          <w:p>
            <w:pPr>
              <w:spacing w:line="240" w:lineRule="auto"/>
              <w:jc w:val="left"/>
            </w:pPr>
            <w:r>
              <w:rPr>
                <w:rFonts w:ascii="宋体" w:hAnsi="宋体" w:cs="宋体" w:eastAsia="宋体"/>
                <w:b w:val="false"/>
              </w:rPr>
              <w:t>卫生和社会工作</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R</w:t>
            </w:r>
          </w:p>
        </w:tc>
        <w:tc>
          <w:tcPr>
            <w:tcW/>
          </w:tcPr>
          <w:p>
            <w:pPr>
              <w:spacing w:line="240" w:lineRule="auto"/>
              <w:jc w:val="left"/>
            </w:pPr>
            <w:r>
              <w:rPr>
                <w:rFonts w:ascii="宋体" w:hAnsi="宋体" w:cs="宋体" w:eastAsia="宋体"/>
                <w:b w:val="false"/>
              </w:rPr>
              <w:t>文化、体育和娱乐业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S</w:t>
            </w:r>
          </w:p>
        </w:tc>
        <w:tc>
          <w:tcPr>
            <w:tcW/>
          </w:tcPr>
          <w:p>
            <w:pPr>
              <w:spacing w:line="240" w:lineRule="auto"/>
              <w:jc w:val="left"/>
            </w:pPr>
            <w:r>
              <w:rPr>
                <w:rFonts w:ascii="宋体" w:hAnsi="宋体" w:cs="宋体" w:eastAsia="宋体"/>
                <w:b w:val="false"/>
              </w:rPr>
              <w:t>综合</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10,924,771.58</w:t>
            </w:r>
          </w:p>
        </w:tc>
        <w:tc>
          <w:tcPr>
            <w:tcW/>
          </w:tcPr>
          <w:p>
            <w:pPr>
              <w:spacing w:line="240" w:lineRule="auto"/>
              <w:jc w:val="right"/>
            </w:pPr>
            <w:r>
              <w:rPr>
                <w:rFonts w:ascii="宋体" w:hAnsi="宋体" w:cs="宋体" w:eastAsia="宋体"/>
                <w:b w:val="false"/>
              </w:rPr>
              <w:t>92.26</w:t>
            </w:r>
          </w:p>
        </w:tc>
      </w:tr>
    </w:tbl>
    <w:p>
      <w:r>
        <w:rPr>
          <w:rStyle w:val="正文"/>
          <w:rFonts w:ascii="宋体" w:hAnsi="宋体" w:cs="宋体" w:eastAsia="宋体"/>
          <w:b w:val="true"/>
        </w:rPr>
        <w:t>5.2.2 报告期末按行业分类的港股通投资股票投资组合</w:t>
      </w:r>
    </w:p>
    <w:p>
      <w:r>
        <w:rPr>
          <w:rFonts w:ascii="宋体" w:hAnsi="宋体" w:cs="宋体" w:eastAsia="宋体"/>
          <w:b w:val="false"/>
        </w:rPr>
        <w:t xml:space="preserve">    本基金本报告期末未持有港股通投资股票投资组合。</w:t>
      </w:r>
    </w:p>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832978</w:t>
            </w:r>
          </w:p>
        </w:tc>
        <w:tc>
          <w:tcPr>
            <w:tcW/>
          </w:tcPr>
          <w:p>
            <w:pPr>
              <w:spacing w:line="240" w:lineRule="auto"/>
              <w:jc w:val="left"/>
            </w:pPr>
            <w:r>
              <w:rPr>
                <w:rFonts w:ascii="宋体" w:hAnsi="宋体" w:cs="宋体" w:eastAsia="宋体"/>
                <w:b w:val="false"/>
              </w:rPr>
              <w:t>开特股份</w:t>
            </w:r>
          </w:p>
        </w:tc>
        <w:tc>
          <w:tcPr>
            <w:tcW/>
          </w:tcPr>
          <w:p>
            <w:pPr>
              <w:spacing w:line="240" w:lineRule="auto"/>
              <w:jc w:val="right"/>
            </w:pPr>
            <w:r>
              <w:rPr>
                <w:rFonts w:ascii="宋体" w:hAnsi="宋体" w:cs="宋体" w:eastAsia="宋体"/>
                <w:b w:val="false"/>
              </w:rPr>
              <w:t>16,483</w:t>
            </w:r>
          </w:p>
        </w:tc>
        <w:tc>
          <w:tcPr>
            <w:tcW/>
          </w:tcPr>
          <w:p>
            <w:pPr>
              <w:spacing w:line="240" w:lineRule="auto"/>
              <w:jc w:val="right"/>
            </w:pPr>
            <w:r>
              <w:rPr>
                <w:rFonts w:ascii="宋体" w:hAnsi="宋体" w:cs="宋体" w:eastAsia="宋体"/>
                <w:b w:val="false"/>
              </w:rPr>
              <w:t>411,910.17</w:t>
            </w:r>
          </w:p>
        </w:tc>
        <w:tc>
          <w:tcPr>
            <w:tcW/>
          </w:tcPr>
          <w:p>
            <w:pPr>
              <w:spacing w:line="240" w:lineRule="auto"/>
              <w:jc w:val="right"/>
            </w:pPr>
            <w:r>
              <w:rPr>
                <w:rFonts w:ascii="宋体" w:hAnsi="宋体" w:cs="宋体" w:eastAsia="宋体"/>
                <w:b w:val="false"/>
              </w:rPr>
              <w:t>3.48</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832982</w:t>
            </w:r>
          </w:p>
        </w:tc>
        <w:tc>
          <w:tcPr>
            <w:tcW/>
          </w:tcPr>
          <w:p>
            <w:pPr>
              <w:spacing w:line="240" w:lineRule="auto"/>
              <w:jc w:val="left"/>
            </w:pPr>
            <w:r>
              <w:rPr>
                <w:rFonts w:ascii="宋体" w:hAnsi="宋体" w:cs="宋体" w:eastAsia="宋体"/>
                <w:b w:val="false"/>
              </w:rPr>
              <w:t>锦波生物</w:t>
            </w:r>
          </w:p>
        </w:tc>
        <w:tc>
          <w:tcPr>
            <w:tcW/>
          </w:tcPr>
          <w:p>
            <w:pPr>
              <w:spacing w:line="240" w:lineRule="auto"/>
              <w:jc w:val="right"/>
            </w:pPr>
            <w:r>
              <w:rPr>
                <w:rFonts w:ascii="宋体" w:hAnsi="宋体" w:cs="宋体" w:eastAsia="宋体"/>
                <w:b w:val="false"/>
              </w:rPr>
              <w:t>1,085</w:t>
            </w:r>
          </w:p>
        </w:tc>
        <w:tc>
          <w:tcPr>
            <w:tcW/>
          </w:tcPr>
          <w:p>
            <w:pPr>
              <w:spacing w:line="240" w:lineRule="auto"/>
              <w:jc w:val="right"/>
            </w:pPr>
            <w:r>
              <w:rPr>
                <w:rFonts w:ascii="宋体" w:hAnsi="宋体" w:cs="宋体" w:eastAsia="宋体"/>
                <w:b w:val="false"/>
              </w:rPr>
              <w:t>386,216.60</w:t>
            </w:r>
          </w:p>
        </w:tc>
        <w:tc>
          <w:tcPr>
            <w:tcW/>
          </w:tcPr>
          <w:p>
            <w:pPr>
              <w:spacing w:line="240" w:lineRule="auto"/>
              <w:jc w:val="right"/>
            </w:pPr>
            <w:r>
              <w:rPr>
                <w:rFonts w:ascii="宋体" w:hAnsi="宋体" w:cs="宋体" w:eastAsia="宋体"/>
                <w:b w:val="false"/>
              </w:rPr>
              <w:t>3.26</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430476</w:t>
            </w:r>
          </w:p>
        </w:tc>
        <w:tc>
          <w:tcPr>
            <w:tcW/>
          </w:tcPr>
          <w:p>
            <w:pPr>
              <w:spacing w:line="240" w:lineRule="auto"/>
              <w:jc w:val="left"/>
            </w:pPr>
            <w:r>
              <w:rPr>
                <w:rFonts w:ascii="宋体" w:hAnsi="宋体" w:cs="宋体" w:eastAsia="宋体"/>
                <w:b w:val="false"/>
              </w:rPr>
              <w:t>海能技术</w:t>
            </w:r>
          </w:p>
        </w:tc>
        <w:tc>
          <w:tcPr>
            <w:tcW/>
          </w:tcPr>
          <w:p>
            <w:pPr>
              <w:spacing w:line="240" w:lineRule="auto"/>
              <w:jc w:val="right"/>
            </w:pPr>
            <w:r>
              <w:rPr>
                <w:rFonts w:ascii="宋体" w:hAnsi="宋体" w:cs="宋体" w:eastAsia="宋体"/>
                <w:b w:val="false"/>
              </w:rPr>
              <w:t>19,362</w:t>
            </w:r>
          </w:p>
        </w:tc>
        <w:tc>
          <w:tcPr>
            <w:tcW/>
          </w:tcPr>
          <w:p>
            <w:pPr>
              <w:spacing w:line="240" w:lineRule="auto"/>
              <w:jc w:val="right"/>
            </w:pPr>
            <w:r>
              <w:rPr>
                <w:rFonts w:ascii="宋体" w:hAnsi="宋体" w:cs="宋体" w:eastAsia="宋体"/>
                <w:b w:val="false"/>
              </w:rPr>
              <w:t>357,422.52</w:t>
            </w:r>
          </w:p>
        </w:tc>
        <w:tc>
          <w:tcPr>
            <w:tcW/>
          </w:tcPr>
          <w:p>
            <w:pPr>
              <w:spacing w:line="240" w:lineRule="auto"/>
              <w:jc w:val="right"/>
            </w:pPr>
            <w:r>
              <w:rPr>
                <w:rFonts w:ascii="宋体" w:hAnsi="宋体" w:cs="宋体" w:eastAsia="宋体"/>
                <w:b w:val="false"/>
              </w:rPr>
              <w:t>3.02</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830839</w:t>
            </w:r>
          </w:p>
        </w:tc>
        <w:tc>
          <w:tcPr>
            <w:tcW/>
          </w:tcPr>
          <w:p>
            <w:pPr>
              <w:spacing w:line="240" w:lineRule="auto"/>
              <w:jc w:val="left"/>
            </w:pPr>
            <w:r>
              <w:rPr>
                <w:rFonts w:ascii="宋体" w:hAnsi="宋体" w:cs="宋体" w:eastAsia="宋体"/>
                <w:b w:val="false"/>
              </w:rPr>
              <w:t>万通液压</w:t>
            </w:r>
          </w:p>
        </w:tc>
        <w:tc>
          <w:tcPr>
            <w:tcW/>
          </w:tcPr>
          <w:p>
            <w:pPr>
              <w:spacing w:line="240" w:lineRule="auto"/>
              <w:jc w:val="right"/>
            </w:pPr>
            <w:r>
              <w:rPr>
                <w:rFonts w:ascii="宋体" w:hAnsi="宋体" w:cs="宋体" w:eastAsia="宋体"/>
                <w:b w:val="false"/>
              </w:rPr>
              <w:t>11,044</w:t>
            </w:r>
          </w:p>
        </w:tc>
        <w:tc>
          <w:tcPr>
            <w:tcW/>
          </w:tcPr>
          <w:p>
            <w:pPr>
              <w:spacing w:line="240" w:lineRule="auto"/>
              <w:jc w:val="right"/>
            </w:pPr>
            <w:r>
              <w:rPr>
                <w:rFonts w:ascii="宋体" w:hAnsi="宋体" w:cs="宋体" w:eastAsia="宋体"/>
                <w:b w:val="false"/>
              </w:rPr>
              <w:t>355,616.80</w:t>
            </w:r>
          </w:p>
        </w:tc>
        <w:tc>
          <w:tcPr>
            <w:tcW/>
          </w:tcPr>
          <w:p>
            <w:pPr>
              <w:spacing w:line="240" w:lineRule="auto"/>
              <w:jc w:val="right"/>
            </w:pPr>
            <w:r>
              <w:rPr>
                <w:rFonts w:ascii="宋体" w:hAnsi="宋体" w:cs="宋体" w:eastAsia="宋体"/>
                <w:b w:val="false"/>
              </w:rPr>
              <w:t>3.00</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834599</w:t>
            </w:r>
          </w:p>
        </w:tc>
        <w:tc>
          <w:tcPr>
            <w:tcW/>
          </w:tcPr>
          <w:p>
            <w:pPr>
              <w:spacing w:line="240" w:lineRule="auto"/>
              <w:jc w:val="left"/>
            </w:pPr>
            <w:r>
              <w:rPr>
                <w:rFonts w:ascii="宋体" w:hAnsi="宋体" w:cs="宋体" w:eastAsia="宋体"/>
                <w:b w:val="false"/>
              </w:rPr>
              <w:t>同力股份</w:t>
            </w:r>
          </w:p>
        </w:tc>
        <w:tc>
          <w:tcPr>
            <w:tcW/>
          </w:tcPr>
          <w:p>
            <w:pPr>
              <w:spacing w:line="240" w:lineRule="auto"/>
              <w:jc w:val="right"/>
            </w:pPr>
            <w:r>
              <w:rPr>
                <w:rFonts w:ascii="宋体" w:hAnsi="宋体" w:cs="宋体" w:eastAsia="宋体"/>
                <w:b w:val="false"/>
              </w:rPr>
              <w:t>16,114</w:t>
            </w:r>
          </w:p>
        </w:tc>
        <w:tc>
          <w:tcPr>
            <w:tcW/>
          </w:tcPr>
          <w:p>
            <w:pPr>
              <w:spacing w:line="240" w:lineRule="auto"/>
              <w:jc w:val="right"/>
            </w:pPr>
            <w:r>
              <w:rPr>
                <w:rFonts w:ascii="宋体" w:hAnsi="宋体" w:cs="宋体" w:eastAsia="宋体"/>
                <w:b w:val="false"/>
              </w:rPr>
              <w:t>344,839.60</w:t>
            </w:r>
          </w:p>
        </w:tc>
        <w:tc>
          <w:tcPr>
            <w:tcW/>
          </w:tcPr>
          <w:p>
            <w:pPr>
              <w:spacing w:line="240" w:lineRule="auto"/>
              <w:jc w:val="right"/>
            </w:pPr>
            <w:r>
              <w:rPr>
                <w:rFonts w:ascii="宋体" w:hAnsi="宋体" w:cs="宋体" w:eastAsia="宋体"/>
                <w:b w:val="false"/>
              </w:rPr>
              <w:t>2.91</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833914</w:t>
            </w:r>
          </w:p>
        </w:tc>
        <w:tc>
          <w:tcPr>
            <w:tcW/>
          </w:tcPr>
          <w:p>
            <w:pPr>
              <w:spacing w:line="240" w:lineRule="auto"/>
              <w:jc w:val="left"/>
            </w:pPr>
            <w:r>
              <w:rPr>
                <w:rFonts w:ascii="宋体" w:hAnsi="宋体" w:cs="宋体" w:eastAsia="宋体"/>
                <w:b w:val="false"/>
              </w:rPr>
              <w:t>远航精密</w:t>
            </w:r>
          </w:p>
        </w:tc>
        <w:tc>
          <w:tcPr>
            <w:tcW/>
          </w:tcPr>
          <w:p>
            <w:pPr>
              <w:spacing w:line="240" w:lineRule="auto"/>
              <w:jc w:val="right"/>
            </w:pPr>
            <w:r>
              <w:rPr>
                <w:rFonts w:ascii="宋体" w:hAnsi="宋体" w:cs="宋体" w:eastAsia="宋体"/>
                <w:b w:val="false"/>
              </w:rPr>
              <w:t>7,094</w:t>
            </w:r>
          </w:p>
        </w:tc>
        <w:tc>
          <w:tcPr>
            <w:tcW/>
          </w:tcPr>
          <w:p>
            <w:pPr>
              <w:spacing w:line="240" w:lineRule="auto"/>
              <w:jc w:val="right"/>
            </w:pPr>
            <w:r>
              <w:rPr>
                <w:rFonts w:ascii="宋体" w:hAnsi="宋体" w:cs="宋体" w:eastAsia="宋体"/>
                <w:b w:val="false"/>
              </w:rPr>
              <w:t>217,147.34</w:t>
            </w:r>
          </w:p>
        </w:tc>
        <w:tc>
          <w:tcPr>
            <w:tcW/>
          </w:tcPr>
          <w:p>
            <w:pPr>
              <w:spacing w:line="240" w:lineRule="auto"/>
              <w:jc w:val="right"/>
            </w:pPr>
            <w:r>
              <w:rPr>
                <w:rFonts w:ascii="宋体" w:hAnsi="宋体" w:cs="宋体" w:eastAsia="宋体"/>
                <w:b w:val="false"/>
              </w:rPr>
              <w:t>1.83</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837174</w:t>
            </w:r>
          </w:p>
        </w:tc>
        <w:tc>
          <w:tcPr>
            <w:tcW/>
          </w:tcPr>
          <w:p>
            <w:pPr>
              <w:spacing w:line="240" w:lineRule="auto"/>
              <w:jc w:val="left"/>
            </w:pPr>
            <w:r>
              <w:rPr>
                <w:rFonts w:ascii="宋体" w:hAnsi="宋体" w:cs="宋体" w:eastAsia="宋体"/>
                <w:b w:val="false"/>
              </w:rPr>
              <w:t>宏裕包材</w:t>
            </w:r>
          </w:p>
        </w:tc>
        <w:tc>
          <w:tcPr>
            <w:tcW/>
          </w:tcPr>
          <w:p>
            <w:pPr>
              <w:spacing w:line="240" w:lineRule="auto"/>
              <w:jc w:val="right"/>
            </w:pPr>
            <w:r>
              <w:rPr>
                <w:rFonts w:ascii="宋体" w:hAnsi="宋体" w:cs="宋体" w:eastAsia="宋体"/>
                <w:b w:val="false"/>
              </w:rPr>
              <w:t>11,398</w:t>
            </w:r>
          </w:p>
        </w:tc>
        <w:tc>
          <w:tcPr>
            <w:tcW/>
          </w:tcPr>
          <w:p>
            <w:pPr>
              <w:spacing w:line="240" w:lineRule="auto"/>
              <w:jc w:val="right"/>
            </w:pPr>
            <w:r>
              <w:rPr>
                <w:rFonts w:ascii="宋体" w:hAnsi="宋体" w:cs="宋体" w:eastAsia="宋体"/>
                <w:b w:val="false"/>
              </w:rPr>
              <w:t>209,381.26</w:t>
            </w:r>
          </w:p>
        </w:tc>
        <w:tc>
          <w:tcPr>
            <w:tcW/>
          </w:tcPr>
          <w:p>
            <w:pPr>
              <w:spacing w:line="240" w:lineRule="auto"/>
              <w:jc w:val="right"/>
            </w:pPr>
            <w:r>
              <w:rPr>
                <w:rFonts w:ascii="宋体" w:hAnsi="宋体" w:cs="宋体" w:eastAsia="宋体"/>
                <w:b w:val="false"/>
              </w:rPr>
              <w:t>1.77</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870357</w:t>
            </w:r>
          </w:p>
        </w:tc>
        <w:tc>
          <w:tcPr>
            <w:tcW/>
          </w:tcPr>
          <w:p>
            <w:pPr>
              <w:spacing w:line="240" w:lineRule="auto"/>
              <w:jc w:val="left"/>
            </w:pPr>
            <w:r>
              <w:rPr>
                <w:rFonts w:ascii="宋体" w:hAnsi="宋体" w:cs="宋体" w:eastAsia="宋体"/>
                <w:b w:val="false"/>
              </w:rPr>
              <w:t>雅葆轩</w:t>
            </w:r>
          </w:p>
        </w:tc>
        <w:tc>
          <w:tcPr>
            <w:tcW/>
          </w:tcPr>
          <w:p>
            <w:pPr>
              <w:spacing w:line="240" w:lineRule="auto"/>
              <w:jc w:val="right"/>
            </w:pPr>
            <w:r>
              <w:rPr>
                <w:rFonts w:ascii="宋体" w:hAnsi="宋体" w:cs="宋体" w:eastAsia="宋体"/>
                <w:b w:val="false"/>
              </w:rPr>
              <w:t>6,987</w:t>
            </w:r>
          </w:p>
        </w:tc>
        <w:tc>
          <w:tcPr>
            <w:tcW/>
          </w:tcPr>
          <w:p>
            <w:pPr>
              <w:spacing w:line="240" w:lineRule="auto"/>
              <w:jc w:val="right"/>
            </w:pPr>
            <w:r>
              <w:rPr>
                <w:rFonts w:ascii="宋体" w:hAnsi="宋体" w:cs="宋体" w:eastAsia="宋体"/>
                <w:b w:val="false"/>
              </w:rPr>
              <w:t>200,526.90</w:t>
            </w:r>
          </w:p>
        </w:tc>
        <w:tc>
          <w:tcPr>
            <w:tcW/>
          </w:tcPr>
          <w:p>
            <w:pPr>
              <w:spacing w:line="240" w:lineRule="auto"/>
              <w:jc w:val="right"/>
            </w:pPr>
            <w:r>
              <w:rPr>
                <w:rFonts w:ascii="宋体" w:hAnsi="宋体" w:cs="宋体" w:eastAsia="宋体"/>
                <w:b w:val="false"/>
              </w:rPr>
              <w:t>1.69</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836239</w:t>
            </w:r>
          </w:p>
        </w:tc>
        <w:tc>
          <w:tcPr>
            <w:tcW/>
          </w:tcPr>
          <w:p>
            <w:pPr>
              <w:spacing w:line="240" w:lineRule="auto"/>
              <w:jc w:val="left"/>
            </w:pPr>
            <w:r>
              <w:rPr>
                <w:rFonts w:ascii="宋体" w:hAnsi="宋体" w:cs="宋体" w:eastAsia="宋体"/>
                <w:b w:val="false"/>
              </w:rPr>
              <w:t>长虹能源</w:t>
            </w:r>
          </w:p>
        </w:tc>
        <w:tc>
          <w:tcPr>
            <w:tcW/>
          </w:tcPr>
          <w:p>
            <w:pPr>
              <w:spacing w:line="240" w:lineRule="auto"/>
              <w:jc w:val="right"/>
            </w:pPr>
            <w:r>
              <w:rPr>
                <w:rFonts w:ascii="宋体" w:hAnsi="宋体" w:cs="宋体" w:eastAsia="宋体"/>
                <w:b w:val="false"/>
              </w:rPr>
              <w:t>5,391</w:t>
            </w:r>
          </w:p>
        </w:tc>
        <w:tc>
          <w:tcPr>
            <w:tcW/>
          </w:tcPr>
          <w:p>
            <w:pPr>
              <w:spacing w:line="240" w:lineRule="auto"/>
              <w:jc w:val="right"/>
            </w:pPr>
            <w:r>
              <w:rPr>
                <w:rFonts w:ascii="宋体" w:hAnsi="宋体" w:cs="宋体" w:eastAsia="宋体"/>
                <w:b w:val="false"/>
              </w:rPr>
              <w:t>200,113.92</w:t>
            </w:r>
          </w:p>
        </w:tc>
        <w:tc>
          <w:tcPr>
            <w:tcW/>
          </w:tcPr>
          <w:p>
            <w:pPr>
              <w:spacing w:line="240" w:lineRule="auto"/>
              <w:jc w:val="right"/>
            </w:pPr>
            <w:r>
              <w:rPr>
                <w:rFonts w:ascii="宋体" w:hAnsi="宋体" w:cs="宋体" w:eastAsia="宋体"/>
                <w:b w:val="false"/>
              </w:rPr>
              <w:t>1.69</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836717</w:t>
            </w:r>
          </w:p>
        </w:tc>
        <w:tc>
          <w:tcPr>
            <w:tcW/>
          </w:tcPr>
          <w:p>
            <w:pPr>
              <w:spacing w:line="240" w:lineRule="auto"/>
              <w:jc w:val="left"/>
            </w:pPr>
            <w:r>
              <w:rPr>
                <w:rFonts w:ascii="宋体" w:hAnsi="宋体" w:cs="宋体" w:eastAsia="宋体"/>
                <w:b w:val="false"/>
              </w:rPr>
              <w:t>瑞星股份</w:t>
            </w:r>
          </w:p>
        </w:tc>
        <w:tc>
          <w:tcPr>
            <w:tcW/>
          </w:tcPr>
          <w:p>
            <w:pPr>
              <w:spacing w:line="240" w:lineRule="auto"/>
              <w:jc w:val="right"/>
            </w:pPr>
            <w:r>
              <w:rPr>
                <w:rFonts w:ascii="宋体" w:hAnsi="宋体" w:cs="宋体" w:eastAsia="宋体"/>
                <w:b w:val="false"/>
              </w:rPr>
              <w:t>14,661</w:t>
            </w:r>
          </w:p>
        </w:tc>
        <w:tc>
          <w:tcPr>
            <w:tcW/>
          </w:tcPr>
          <w:p>
            <w:pPr>
              <w:spacing w:line="240" w:lineRule="auto"/>
              <w:jc w:val="right"/>
            </w:pPr>
            <w:r>
              <w:rPr>
                <w:rFonts w:ascii="宋体" w:hAnsi="宋体" w:cs="宋体" w:eastAsia="宋体"/>
                <w:b w:val="false"/>
              </w:rPr>
              <w:t>198,803.16</w:t>
            </w:r>
          </w:p>
        </w:tc>
        <w:tc>
          <w:tcPr>
            <w:tcW/>
          </w:tcPr>
          <w:p>
            <w:pPr>
              <w:spacing w:line="240" w:lineRule="auto"/>
              <w:jc w:val="right"/>
            </w:pPr>
            <w:r>
              <w:rPr>
                <w:rFonts w:ascii="宋体" w:hAnsi="宋体" w:cs="宋体" w:eastAsia="宋体"/>
                <w:b w:val="false"/>
              </w:rPr>
              <w:t>1.68</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国家债券</w:t>
            </w:r>
          </w:p>
        </w:tc>
        <w:tc>
          <w:tcPr>
            <w:tcW/>
          </w:tcPr>
          <w:p>
            <w:pPr>
              <w:spacing w:line="240" w:lineRule="auto"/>
              <w:jc w:val="right"/>
            </w:pPr>
            <w:r>
              <w:rPr>
                <w:rFonts w:ascii="宋体" w:hAnsi="宋体" w:cs="宋体" w:eastAsia="宋体"/>
                <w:b w:val="false"/>
              </w:rPr>
              <w:t>602,644.44</w:t>
            </w:r>
          </w:p>
        </w:tc>
        <w:tc>
          <w:tcPr>
            <w:tcW/>
          </w:tcPr>
          <w:p>
            <w:pPr>
              <w:spacing w:line="240" w:lineRule="auto"/>
              <w:jc w:val="right"/>
            </w:pPr>
            <w:r>
              <w:rPr>
                <w:rFonts w:ascii="宋体" w:hAnsi="宋体" w:cs="宋体" w:eastAsia="宋体"/>
                <w:b w:val="false"/>
              </w:rPr>
              <w:t>5.09</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央行票据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金融债券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其中：政策性金融债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企业债券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企业短期融资券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中期票据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可转债（可交换债）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同业存单</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602,644.44</w:t>
            </w:r>
          </w:p>
        </w:tc>
        <w:tc>
          <w:tcPr>
            <w:tcW/>
          </w:tcPr>
          <w:p>
            <w:pPr>
              <w:spacing w:line="240" w:lineRule="auto"/>
              <w:jc w:val="right"/>
            </w:pPr>
            <w:r>
              <w:rPr>
                <w:rFonts w:ascii="宋体" w:hAnsi="宋体" w:cs="宋体" w:eastAsia="宋体"/>
                <w:b w:val="false"/>
              </w:rPr>
              <w:t>5.09</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019766</w:t>
            </w:r>
          </w:p>
        </w:tc>
        <w:tc>
          <w:tcPr>
            <w:tcW/>
          </w:tcPr>
          <w:p>
            <w:pPr>
              <w:spacing w:line="240" w:lineRule="auto"/>
              <w:jc w:val="left"/>
            </w:pPr>
            <w:r>
              <w:rPr>
                <w:rFonts w:ascii="宋体" w:hAnsi="宋体" w:cs="宋体" w:eastAsia="宋体"/>
                <w:b w:val="false"/>
              </w:rPr>
              <w:t>25国债01</w:t>
            </w:r>
          </w:p>
        </w:tc>
        <w:tc>
          <w:tcPr>
            <w:tcW/>
          </w:tcPr>
          <w:p>
            <w:pPr>
              <w:spacing w:line="240" w:lineRule="auto"/>
              <w:jc w:val="right"/>
            </w:pPr>
            <w:r>
              <w:rPr>
                <w:rFonts w:ascii="宋体" w:hAnsi="宋体" w:cs="宋体" w:eastAsia="宋体"/>
                <w:b w:val="false"/>
              </w:rPr>
              <w:t>6,000</w:t>
            </w:r>
          </w:p>
        </w:tc>
        <w:tc>
          <w:tcPr>
            <w:tcW/>
          </w:tcPr>
          <w:p>
            <w:pPr>
              <w:spacing w:line="240" w:lineRule="auto"/>
              <w:jc w:val="right"/>
            </w:pPr>
            <w:r>
              <w:rPr>
                <w:rFonts w:ascii="宋体" w:hAnsi="宋体" w:cs="宋体" w:eastAsia="宋体"/>
                <w:b w:val="false"/>
              </w:rPr>
              <w:t>602,644.44</w:t>
            </w:r>
          </w:p>
        </w:tc>
        <w:tc>
          <w:tcPr>
            <w:tcW/>
          </w:tcPr>
          <w:p>
            <w:pPr>
              <w:spacing w:line="240" w:lineRule="auto"/>
              <w:jc w:val="right"/>
            </w:pPr>
            <w:r>
              <w:rPr>
                <w:rFonts w:ascii="宋体" w:hAnsi="宋体" w:cs="宋体" w:eastAsia="宋体"/>
                <w:b w:val="false"/>
              </w:rPr>
              <w:t>5.09</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cr/>
      </w:r>
      <w:r>
        <w:rPr>
          <w:rFonts w:ascii="宋体" w:hAnsi="宋体" w:cs="宋体" w:eastAsia="宋体"/>
          <w:b w:val="false"/>
        </w:rPr>
        <w:t xml:space="preserve">    </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cr/>
      </w:r>
      <w:r>
        <w:rPr>
          <w:rFonts w:ascii="宋体" w:hAnsi="宋体" w:cs="宋体" w:eastAsia="宋体"/>
          <w:b w:val="false"/>
        </w:rPr>
        <w:t xml:space="preserve">    </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cr/>
      </w:r>
      <w:r>
        <w:rPr>
          <w:rFonts w:ascii="宋体" w:hAnsi="宋体" w:cs="宋体" w:eastAsia="宋体"/>
          <w:b w:val="false"/>
        </w:rPr>
        <w:t xml:space="preserve">    </w:t>
      </w:r>
    </w:p>
    <w:p/>
    <w:p>
      <w:pPr>
        <w:pStyle w:val="2"/>
        <w:jc w:val="left"/>
      </w:pPr>
      <w:r>
        <w:rPr>
          <w:rFonts w:ascii="宋体" w:hAnsi="宋体" w:cs="宋体" w:eastAsia="宋体"/>
        </w:rPr>
        <w:t>5.11 投资组合报告附注</w:t>
      </w:r>
    </w:p>
    <w:p>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tcPr>
          <w:tcPr>
            <w:shd w:fill="d9d9d9"/>
          </w:tcPr>
          <w:p>
            <w:pPr>
              <w:spacing w:line="240" w:lineRule="auto"/>
              <w:jc w:val="center"/>
            </w:pPr>
            <w:r>
              <w:rPr>
                <w:rFonts w:ascii="宋体" w:hAnsi="宋体" w:cs="宋体" w:eastAsia="宋体"/>
                <w:b w:val="false"/>
              </w:rPr>
              <w:t>序号</w:t>
            </w:r>
          </w:p>
        </w:tc>
        <w:tc>
          <w:tcPr>
            <w:tcW w:type="pct" w:w="2308"/>
          </w:tcPr>
          <w:tcPr>
            <w:shd w:fill="d9d9d9"/>
          </w:tcPr>
          <w:p>
            <w:pPr>
              <w:spacing w:line="240" w:lineRule="auto"/>
              <w:jc w:val="center"/>
            </w:pPr>
            <w:r>
              <w:rPr>
                <w:rFonts w:ascii="宋体" w:hAnsi="宋体" w:cs="宋体" w:eastAsia="宋体"/>
                <w:b w:val="false"/>
              </w:rPr>
              <w:t>名称</w:t>
            </w:r>
          </w:p>
        </w:tc>
        <w:tc>
          <w:tcPr>
            <w:tcW w:type="pct" w:w="1538"/>
          </w:tcPr>
          <w:tcPr>
            <w:shd w:fill="d9d9d9"/>
          </w:tcPr>
          <w:p>
            <w:pPr>
              <w:spacing w:line="240" w:lineRule="auto"/>
              <w:jc w:val="center"/>
            </w:pPr>
            <w:r>
              <w:rPr>
                <w:rFonts w:ascii="宋体" w:hAnsi="宋体" w:cs="宋体" w:eastAsia="宋体"/>
                <w:b w:val="false"/>
              </w:rPr>
              <w:t>金额(元)</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存出保证金</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应收证券清算款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应收股利</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应收利息</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应收申购款</w:t>
            </w:r>
          </w:p>
        </w:tc>
        <w:tc>
          <w:tcPr>
            <w:tcW/>
          </w:tcPr>
          <w:p>
            <w:pPr>
              <w:spacing w:line="240" w:lineRule="auto"/>
              <w:jc w:val="right"/>
            </w:pPr>
            <w:r>
              <w:rPr>
                <w:rFonts w:ascii="宋体" w:hAnsi="宋体" w:cs="宋体" w:eastAsia="宋体"/>
                <w:b w:val="false"/>
              </w:rPr>
              <w:t>2,295.41</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其他应收款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2,295.41</w:t>
            </w:r>
          </w:p>
        </w:tc>
      </w:tr>
    </w:tbl>
    <w:p/>
    <w:p>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cr/>
      </w:r>
      <w:r>
        <w:rPr>
          <w:rFonts w:ascii="宋体" w:hAnsi="宋体" w:cs="宋体" w:eastAsia="宋体"/>
          <w:b w:val="false"/>
        </w:rPr>
        <w:t xml:space="preserve">    </w:t>
      </w:r>
    </w:p>
    <w:p/>
    <w:p>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本基金本报告期末前十名股票中不存在流通受限情况。</w:t>
      </w:r>
    </w:p>
    <w:p/>
    <w:p>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东方阿尔法科技优选混合发起A</w:t>
            </w:r>
          </w:p>
        </w:tc>
        <w:tc>
          <w:tcPr>
            <w:tcW w:type="pct" w:w="1300"/>
            <w:vAlign w:val="center"/>
          </w:tcPr>
          <w:p>
            <w:pPr>
              <w:spacing w:line="240" w:lineRule="auto"/>
              <w:jc w:val="center"/>
            </w:pPr>
            <w:r>
              <w:rPr>
                <w:rFonts w:ascii="宋体" w:hAnsi="宋体" w:cs="宋体" w:eastAsia="宋体"/>
                <w:b w:val="false"/>
              </w:rPr>
              <w:t>东方阿尔法科技优选混合发起C</w:t>
            </w:r>
          </w:p>
        </w:tc>
      </w:tr>
      <w:tr>
        <w:tc>
          <w:tcPr>
            <w:tcW/>
            <w:vAlign w:val="center"/>
          </w:tcPr>
          <w:p>
            <w:pPr>
              <w:spacing w:line="240" w:lineRule="auto"/>
              <w:jc w:val="left"/>
            </w:pPr>
            <w:r>
              <w:rPr>
                <w:rFonts w:ascii="宋体" w:hAnsi="宋体" w:cs="宋体" w:eastAsia="宋体"/>
                <w:b w:val="false"/>
              </w:rPr>
              <w:t>基金合同生效日（2025年06月06日）基金份额总额</w:t>
            </w:r>
          </w:p>
        </w:tc>
        <w:tc>
          <w:tcPr>
            <w:tcW w:type="pct" w:w="1300"/>
            <w:vAlign w:val="center"/>
          </w:tcPr>
          <w:p>
            <w:pPr>
              <w:spacing w:line="240" w:lineRule="auto"/>
              <w:jc w:val="right"/>
            </w:pPr>
            <w:r>
              <w:rPr>
                <w:rFonts w:ascii="宋体" w:hAnsi="宋体" w:cs="宋体" w:eastAsia="宋体"/>
                <w:b w:val="false"/>
              </w:rPr>
              <w:t>11,871,621.31</w:t>
            </w:r>
          </w:p>
        </w:tc>
        <w:tc>
          <w:tcPr>
            <w:tcW w:type="pct" w:w="1300"/>
            <w:vAlign w:val="center"/>
          </w:tcPr>
          <w:p>
            <w:pPr>
              <w:spacing w:line="240" w:lineRule="auto"/>
              <w:jc w:val="right"/>
            </w:pPr>
            <w:r>
              <w:rPr>
                <w:rFonts w:ascii="宋体" w:hAnsi="宋体" w:cs="宋体" w:eastAsia="宋体"/>
                <w:b w:val="false"/>
              </w:rPr>
              <w:t>4,290.13</w:t>
            </w:r>
          </w:p>
        </w:tc>
      </w:tr>
      <w:tr>
        <w:tc>
          <w:tcPr>
            <w:tcW/>
            <w:vAlign w:val="center"/>
          </w:tcPr>
          <w:p>
            <w:pPr>
              <w:spacing w:line="240" w:lineRule="auto"/>
              <w:jc w:val="left"/>
            </w:pPr>
            <w:r>
              <w:rPr>
                <w:rFonts w:ascii="宋体" w:hAnsi="宋体" w:cs="宋体" w:eastAsia="宋体"/>
                <w:b w:val="false"/>
              </w:rPr>
              <w:t>基金合同生效日起至报告期期末基金总申购份额</w:t>
            </w:r>
          </w:p>
        </w:tc>
        <w:tc>
          <w:tcPr>
            <w:tcW w:type="pct" w:w="1300"/>
            <w:vAlign w:val="center"/>
          </w:tcPr>
          <w:p>
            <w:pPr>
              <w:spacing w:line="240" w:lineRule="auto"/>
              <w:jc w:val="right"/>
            </w:pPr>
            <w:r>
              <w:rPr>
                <w:rFonts w:ascii="宋体" w:hAnsi="宋体" w:cs="宋体" w:eastAsia="宋体"/>
                <w:b w:val="false"/>
              </w:rPr>
              <w:t>795.82</w:t>
            </w:r>
          </w:p>
        </w:tc>
        <w:tc>
          <w:tcPr>
            <w:tcW w:type="pct" w:w="1300"/>
            <w:vAlign w:val="center"/>
          </w:tcPr>
          <w:p>
            <w:pPr>
              <w:spacing w:line="240" w:lineRule="auto"/>
              <w:jc w:val="right"/>
            </w:pPr>
            <w:r>
              <w:rPr>
                <w:rFonts w:ascii="宋体" w:hAnsi="宋体" w:cs="宋体" w:eastAsia="宋体"/>
                <w:b w:val="false"/>
              </w:rPr>
              <w:t>49,572.58</w:t>
            </w:r>
          </w:p>
        </w:tc>
      </w:tr>
      <w:tr>
        <w:tc>
          <w:tcPr>
            <w:tcW/>
            <w:vAlign w:val="center"/>
          </w:tcPr>
          <w:p>
            <w:pPr>
              <w:spacing w:line="240" w:lineRule="auto"/>
              <w:jc w:val="left"/>
            </w:pPr>
            <w:r>
              <w:rPr>
                <w:rFonts w:ascii="宋体" w:hAnsi="宋体" w:cs="宋体" w:eastAsia="宋体"/>
                <w:b w:val="false"/>
              </w:rPr>
              <w:t>减：基金合同生效日起至报告期期末基金总赎回份额</w:t>
            </w:r>
          </w:p>
        </w:tc>
        <w:tc>
          <w:tcPr>
            <w:tcW w:type="pct" w:w="1300"/>
            <w:vAlign w:val="center"/>
          </w:tcPr>
          <w:p>
            <w:pPr>
              <w:spacing w:line="240" w:lineRule="auto"/>
              <w:jc w:val="right"/>
            </w:pPr>
            <w:r>
              <w:rPr>
                <w:rFonts w:ascii="宋体" w:hAnsi="宋体" w:cs="宋体" w:eastAsia="宋体"/>
                <w:b w:val="false"/>
              </w:rPr>
              <w:t>998.80</w:t>
            </w:r>
          </w:p>
        </w:tc>
        <w:tc>
          <w:tcPr>
            <w:tcW w:type="pct" w:w="1300"/>
            <w:vAlign w:val="center"/>
          </w:tcPr>
          <w:p>
            <w:pPr>
              <w:spacing w:line="240" w:lineRule="auto"/>
              <w:jc w:val="right"/>
            </w:pPr>
            <w:r>
              <w:rPr>
                <w:rFonts w:ascii="宋体" w:hAnsi="宋体" w:cs="宋体" w:eastAsia="宋体"/>
                <w:b w:val="false"/>
              </w:rPr>
              <w:t>174.01</w:t>
            </w:r>
          </w:p>
        </w:tc>
      </w:tr>
      <w:tr>
        <w:tc>
          <w:tcPr>
            <w:tcW/>
            <w:vAlign w:val="center"/>
          </w:tcPr>
          <w:p>
            <w:pPr>
              <w:spacing w:line="240" w:lineRule="auto"/>
              <w:jc w:val="left"/>
            </w:pPr>
            <w:r>
              <w:rPr>
                <w:rFonts w:ascii="宋体" w:hAnsi="宋体" w:cs="宋体" w:eastAsia="宋体"/>
                <w:b w:val="false"/>
              </w:rPr>
              <w:t>基金合同生效日起至报告期期末基金拆分变动份额（份额减少以“-”填列）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11,871,418.33</w:t>
            </w:r>
          </w:p>
        </w:tc>
        <w:tc>
          <w:tcPr>
            <w:tcW w:type="pct" w:w="1300"/>
            <w:vAlign w:val="center"/>
          </w:tcPr>
          <w:p>
            <w:pPr>
              <w:spacing w:line="240" w:lineRule="auto"/>
              <w:jc w:val="right"/>
            </w:pPr>
            <w:r>
              <w:rPr>
                <w:rFonts w:ascii="宋体" w:hAnsi="宋体" w:cs="宋体" w:eastAsia="宋体"/>
                <w:b w:val="false"/>
              </w:rPr>
              <w:t>53,688.70</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1538"/>
            <w:vAlign w:val="center"/>
          </w:tcPr>
          <w:tcPr>
            <w:shd w:fill="d9d9d9"/>
          </w:tcPr>
          <w:p>
            <w:pPr>
              <w:spacing w:line="240" w:lineRule="auto"/>
              <w:jc w:val="center"/>
            </w:pPr>
            <w:r>
              <w:rPr>
                <w:rFonts w:ascii="宋体" w:hAnsi="宋体" w:cs="宋体" w:eastAsia="宋体"/>
                <w:b w:val="false"/>
              </w:rPr>
              <w:t>项目</w:t>
            </w:r>
          </w:p>
        </w:tc>
        <w:tc>
          <w:tcPr>
            <w:tcW w:type="pct" w:w="692"/>
            <w:vAlign w:val="center"/>
          </w:tcPr>
          <w:tcPr>
            <w:shd w:fill="d9d9d9"/>
          </w:tcPr>
          <w:p>
            <w:pPr>
              <w:spacing w:line="240" w:lineRule="auto"/>
              <w:jc w:val="center"/>
            </w:pPr>
            <w:r>
              <w:rPr>
                <w:rFonts w:ascii="宋体" w:hAnsi="宋体" w:cs="宋体" w:eastAsia="宋体"/>
                <w:b w:val="false"/>
              </w:rPr>
              <w:t>持有份额总数</w:t>
            </w:r>
          </w:p>
        </w:tc>
        <w:tc>
          <w:tcPr>
            <w:tcW w:type="pct" w:w="692"/>
            <w:vAlign w:val="center"/>
          </w:tcPr>
          <w:tcPr>
            <w:shd w:fill="d9d9d9"/>
          </w:tcPr>
          <w:p>
            <w:pPr>
              <w:spacing w:line="240" w:lineRule="auto"/>
              <w:jc w:val="center"/>
            </w:pPr>
            <w:r>
              <w:rPr>
                <w:rFonts w:ascii="宋体" w:hAnsi="宋体" w:cs="宋体" w:eastAsia="宋体"/>
                <w:b w:val="false"/>
              </w:rPr>
              <w:t>持有份额占基金总份额比例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发起份额总数</w:t>
            </w:r>
          </w:p>
        </w:tc>
        <w:tc>
          <w:tcPr>
            <w:tcW w:type="pct" w:w="692"/>
            <w:vAlign w:val="center"/>
          </w:tcPr>
          <w:tcPr>
            <w:shd w:fill="d9d9d9"/>
          </w:tcPr>
          <w:p>
            <w:pPr>
              <w:spacing w:line="240" w:lineRule="auto"/>
              <w:jc w:val="center"/>
            </w:pPr>
            <w:r>
              <w:rPr>
                <w:rFonts w:ascii="宋体" w:hAnsi="宋体" w:cs="宋体" w:eastAsia="宋体"/>
                <w:b w:val="false"/>
              </w:rPr>
              <w:t>发起份额占基金总份额比例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发起份额承诺持有期限</w:t>
            </w:r>
          </w:p>
        </w:tc>
      </w:tr>
      <w:tr>
        <w:tc>
          <w:tcPr>
            <w:tcW/>
            <w:vAlign w:val="center"/>
          </w:tcPr>
          <w:p>
            <w:pPr>
              <w:spacing w:line="240" w:lineRule="auto"/>
              <w:jc w:val="left"/>
            </w:pPr>
            <w:r>
              <w:rPr>
                <w:rFonts w:ascii="宋体" w:hAnsi="宋体" w:cs="宋体" w:eastAsia="宋体"/>
                <w:b w:val="false"/>
              </w:rPr>
              <w:t>基金管理人固有资金</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基金管理人高级管理人员</w:t>
            </w:r>
          </w:p>
        </w:tc>
        <w:tc>
          <w:tcPr>
            <w:tcW/>
          </w:tcPr>
          <w:p>
            <w:pPr>
              <w:spacing w:line="240" w:lineRule="auto"/>
              <w:jc w:val="right"/>
            </w:pPr>
            <w:r>
              <w:rPr>
                <w:rFonts w:ascii="宋体" w:hAnsi="宋体" w:cs="宋体" w:eastAsia="宋体"/>
                <w:b w:val="false"/>
              </w:rPr>
              <w:t>10,000,388.92</w:t>
            </w:r>
          </w:p>
        </w:tc>
        <w:tc>
          <w:tcPr>
            <w:tcW/>
          </w:tcPr>
          <w:p>
            <w:pPr>
              <w:spacing w:line="240" w:lineRule="auto"/>
              <w:jc w:val="right"/>
            </w:pPr>
            <w:r>
              <w:rPr>
                <w:rFonts w:ascii="宋体" w:hAnsi="宋体" w:cs="宋体" w:eastAsia="宋体"/>
                <w:b w:val="false"/>
              </w:rPr>
              <w:t>83.86%</w:t>
            </w:r>
          </w:p>
        </w:tc>
        <w:tc>
          <w:tcPr>
            <w:tcW/>
          </w:tcPr>
          <w:p>
            <w:pPr>
              <w:spacing w:line="240" w:lineRule="auto"/>
              <w:jc w:val="right"/>
            </w:pPr>
            <w:r>
              <w:rPr>
                <w:rFonts w:ascii="宋体" w:hAnsi="宋体" w:cs="宋体" w:eastAsia="宋体"/>
                <w:b w:val="false"/>
              </w:rPr>
              <w:t>10,000,388.92</w:t>
            </w:r>
          </w:p>
        </w:tc>
        <w:tc>
          <w:tcPr>
            <w:tcW/>
          </w:tcPr>
          <w:p>
            <w:pPr>
              <w:spacing w:line="240" w:lineRule="auto"/>
              <w:jc w:val="right"/>
            </w:pPr>
            <w:r>
              <w:rPr>
                <w:rFonts w:ascii="宋体" w:hAnsi="宋体" w:cs="宋体" w:eastAsia="宋体"/>
                <w:b w:val="false"/>
              </w:rPr>
              <w:t>83.86%</w:t>
            </w:r>
          </w:p>
        </w:tc>
        <w:tc>
          <w:tcPr>
            <w:tcW/>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基金经理等人员</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基金管理人股东</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lef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10,000,388.92</w:t>
            </w:r>
          </w:p>
        </w:tc>
        <w:tc>
          <w:tcPr>
            <w:tcW/>
          </w:tcPr>
          <w:p>
            <w:pPr>
              <w:spacing w:line="240" w:lineRule="auto"/>
              <w:jc w:val="right"/>
            </w:pPr>
            <w:r>
              <w:rPr>
                <w:rFonts w:ascii="宋体" w:hAnsi="宋体" w:cs="宋体" w:eastAsia="宋体"/>
                <w:b w:val="false"/>
              </w:rPr>
              <w:t>83.86%</w:t>
            </w:r>
          </w:p>
        </w:tc>
        <w:tc>
          <w:tcPr>
            <w:tcW/>
          </w:tcPr>
          <w:p>
            <w:pPr>
              <w:spacing w:line="240" w:lineRule="auto"/>
              <w:jc w:val="right"/>
            </w:pPr>
            <w:r>
              <w:rPr>
                <w:rFonts w:ascii="宋体" w:hAnsi="宋体" w:cs="宋体" w:eastAsia="宋体"/>
                <w:b w:val="false"/>
              </w:rPr>
              <w:t>10,000,388.92</w:t>
            </w:r>
          </w:p>
        </w:tc>
        <w:tc>
          <w:tcPr>
            <w:tcW/>
          </w:tcPr>
          <w:p>
            <w:pPr>
              <w:spacing w:line="240" w:lineRule="auto"/>
              <w:jc w:val="right"/>
            </w:pPr>
            <w:r>
              <w:rPr>
                <w:rFonts w:ascii="宋体" w:hAnsi="宋体" w:cs="宋体" w:eastAsia="宋体"/>
                <w:b w:val="false"/>
              </w:rPr>
              <w:t>83.86%</w:t>
            </w:r>
          </w:p>
        </w:tc>
        <w:tc>
          <w:tcPr>
            <w:tcW/>
          </w:tcPr>
          <w:p>
            <w:pPr>
              <w:spacing w:line="240" w:lineRule="auto"/>
              <w:jc w:val="left"/>
            </w:pPr>
            <w:r>
              <w:rPr>
                <w:rFonts w:ascii="宋体" w:hAnsi="宋体" w:cs="宋体" w:eastAsia="宋体"/>
                <w:b w:val="false"/>
              </w:rPr>
              <w:t>-</w:t>
            </w:r>
          </w:p>
        </w:tc>
      </w:tr>
    </w:tbl>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tbl>
      <w:tblPr>
        <w:tblW w:w="5000" w:type="pct"/>
        <w:tblBorders>
          <w:top w:val="single" w:sz="4"/>
          <w:left w:val="single" w:sz="4"/>
          <w:bottom w:val="single" w:sz="4"/>
          <w:right w:val="single" w:sz="4"/>
          <w:insideH w:val="single" w:sz="4"/>
          <w:insideV w:val="single" w:sz="4"/>
        </w:tblBorders>
      </w:tblPr>
      <w:tblGrid>
        <w:gridCol w:w="1133"/>
        <w:gridCol w:w="1133"/>
        <w:gridCol w:w="1133"/>
        <w:gridCol w:w="1133"/>
        <w:gridCol w:w="1133"/>
        <w:gridCol w:w="1133"/>
        <w:gridCol w:w="1133"/>
        <w:gridCol w:w="1133"/>
      </w:tblGrid>
      <w:tr>
        <w:tc>
          <w:tcPr>
            <w:tcW w:type="pct" w:w="269"/>
            <w:vMerge w:val="restart"/>
            <w:vAlign w:val="center"/>
          </w:tcPr>
          <w:tcPr>
            <w:shd w:fill="d9d9d9"/>
          </w:tcPr>
          <w:p>
            <w:pPr>
              <w:spacing w:line="240" w:lineRule="auto"/>
              <w:jc w:val="center"/>
            </w:pPr>
            <w:r>
              <w:rPr>
                <w:rFonts w:ascii="宋体" w:hAnsi="宋体" w:cs="宋体" w:eastAsia="宋体"/>
                <w:b w:val="false"/>
              </w:rPr>
              <w:t>投资者类别</w:t>
            </w:r>
          </w:p>
        </w:tc>
        <w:tc>
          <w:tcPr>
            <w:tcW w:type="pct" w:w="3192"/>
            <w:hMerge w:val="restart"/>
            <w:vAlign w:val="center"/>
          </w:tcPr>
          <w:tcPr>
            <w:shd w:fill="d9d9d9"/>
          </w:tcPr>
          <w:p>
            <w:pPr>
              <w:spacing w:line="240" w:lineRule="auto"/>
              <w:jc w:val="center"/>
            </w:pPr>
            <w:r>
              <w:rPr>
                <w:rFonts w:ascii="宋体" w:hAnsi="宋体" w:cs="宋体" w:eastAsia="宋体"/>
                <w:b w:val="false"/>
              </w:rPr>
              <w:t>报告期内持有基金份额变化情况</w:t>
            </w:r>
          </w:p>
        </w:tc>
        <w:tc>
          <w:tcPr>
            <w:hMerge w:val="continue"/>
          </w:tcPr>
          <w:p/>
        </w:tc>
        <w:tc>
          <w:tcPr>
            <w:hMerge w:val="continue"/>
          </w:tcPr>
          <w:p/>
        </w:tc>
        <w:tc>
          <w:tcPr>
            <w:hMerge w:val="continue"/>
          </w:tcPr>
          <w:p/>
        </w:tc>
        <w:tc>
          <w:tcPr>
            <w:hMerge w:val="continue"/>
          </w:tcPr>
          <w:p/>
        </w:tc>
        <w:tc>
          <w:tcPr>
            <w:tcW w:type="pct" w:w="1154"/>
            <w:hMerge w:val="restart"/>
            <w:vAlign w:val="center"/>
          </w:tcPr>
          <w:tcPr>
            <w:shd w:fill="d9d9d9"/>
          </w:tcPr>
          <w:p>
            <w:pPr>
              <w:spacing w:line="240" w:lineRule="auto"/>
              <w:jc w:val="center"/>
            </w:pPr>
            <w:r>
              <w:rPr>
                <w:rFonts w:ascii="宋体" w:hAnsi="宋体" w:cs="宋体" w:eastAsia="宋体"/>
                <w:b w:val="false"/>
              </w:rPr>
              <w:t>报告期末持有基金情况</w:t>
            </w:r>
          </w:p>
        </w:tc>
        <w:tc>
          <w:tcPr>
            <w:hMerge w:val="continue"/>
          </w:tcPr>
          <w:p/>
        </w:tc>
      </w:tr>
      <w:tr>
        <w:tc>
          <w:tcPr>
            <w:vMerge w:val="continue"/>
          </w:tcPr>
          <w:p/>
        </w:tc>
        <w:tc>
          <w:tcPr>
            <w:tcW w:type="pct" w:w="269"/>
            <w:vAlign w:val="center"/>
          </w:tcPr>
          <w:tcPr>
            <w:shd w:fill="d9d9d9"/>
          </w:tcPr>
          <w:p>
            <w:pPr>
              <w:spacing w:line="240" w:lineRule="auto"/>
              <w:jc w:val="center"/>
            </w:pPr>
            <w:r>
              <w:rPr>
                <w:rFonts w:ascii="宋体" w:hAnsi="宋体" w:cs="宋体" w:eastAsia="宋体"/>
                <w:b w:val="false"/>
              </w:rPr>
              <w:t>序号</w:t>
            </w:r>
          </w:p>
        </w:tc>
        <w:tc>
          <w:tcPr>
            <w:tcW w:type="pct" w:w="1346"/>
            <w:vAlign w:val="center"/>
          </w:tcPr>
          <w:tcPr>
            <w:shd w:fill="d9d9d9"/>
          </w:tcPr>
          <w:p>
            <w:pPr>
              <w:spacing w:line="240" w:lineRule="auto"/>
              <w:jc w:val="center"/>
            </w:pPr>
            <w:r>
              <w:rPr>
                <w:rFonts w:ascii="宋体" w:hAnsi="宋体" w:cs="宋体" w:eastAsia="宋体"/>
                <w:b w:val="false"/>
              </w:rPr>
              <w:t>持有基金份额比例达到或者超过20%的时间区间</w:t>
            </w:r>
          </w:p>
        </w:tc>
        <w:tc>
          <w:tcPr>
            <w:tcW w:type="pct" w:w="615"/>
            <w:vAlign w:val="center"/>
          </w:tcPr>
          <w:tcPr>
            <w:shd w:fill="d9d9d9"/>
          </w:tcPr>
          <w:p>
            <w:pPr>
              <w:spacing w:line="240" w:lineRule="auto"/>
              <w:jc w:val="center"/>
            </w:pPr>
            <w:r>
              <w:rPr>
                <w:rFonts w:ascii="宋体" w:hAnsi="宋体" w:cs="宋体" w:eastAsia="宋体"/>
                <w:b w:val="false"/>
              </w:rPr>
              <w:t>期初份额</w:t>
            </w:r>
          </w:p>
        </w:tc>
        <w:tc>
          <w:tcPr>
            <w:tcW w:type="pct" w:w="615"/>
            <w:vAlign w:val="center"/>
          </w:tcPr>
          <w:tcPr>
            <w:shd w:fill="d9d9d9"/>
          </w:tcPr>
          <w:p>
            <w:pPr>
              <w:spacing w:line="240" w:lineRule="auto"/>
              <w:jc w:val="center"/>
            </w:pPr>
            <w:r>
              <w:rPr>
                <w:rFonts w:ascii="宋体" w:hAnsi="宋体" w:cs="宋体" w:eastAsia="宋体"/>
                <w:b w:val="false"/>
              </w:rPr>
              <w:t>申购份额</w:t>
            </w:r>
          </w:p>
        </w:tc>
        <w:tc>
          <w:tcPr>
            <w:tcW w:type="pct" w:w="615"/>
            <w:vAlign w:val="center"/>
          </w:tcPr>
          <w:tcPr>
            <w:shd w:fill="d9d9d9"/>
          </w:tcPr>
          <w:p>
            <w:pPr>
              <w:spacing w:line="240" w:lineRule="auto"/>
              <w:jc w:val="center"/>
            </w:pPr>
            <w:r>
              <w:rPr>
                <w:rFonts w:ascii="宋体" w:hAnsi="宋体" w:cs="宋体" w:eastAsia="宋体"/>
                <w:b w:val="false"/>
              </w:rPr>
              <w:t>赎回份额</w:t>
            </w:r>
          </w:p>
        </w:tc>
        <w:tc>
          <w:tcPr>
            <w:tcW w:type="pct" w:w="615"/>
            <w:vAlign w:val="center"/>
          </w:tcPr>
          <w:tcPr>
            <w:shd w:fill="d9d9d9"/>
          </w:tcPr>
          <w:p>
            <w:pPr>
              <w:spacing w:line="240" w:lineRule="auto"/>
              <w:jc w:val="center"/>
            </w:pPr>
            <w:r>
              <w:rPr>
                <w:rFonts w:ascii="宋体" w:hAnsi="宋体" w:cs="宋体" w:eastAsia="宋体"/>
                <w:b w:val="false"/>
              </w:rPr>
              <w:t>持有份额</w:t>
            </w:r>
          </w:p>
        </w:tc>
        <w:tc>
          <w:tcPr>
            <w:tcW w:type="pct" w:w="538"/>
            <w:vAlign w:val="center"/>
          </w:tcPr>
          <w:tcPr>
            <w:shd w:fill="d9d9d9"/>
          </w:tcPr>
          <w:p>
            <w:pPr>
              <w:spacing w:line="240" w:lineRule="auto"/>
              <w:jc w:val="center"/>
            </w:pPr>
            <w:r>
              <w:rPr>
                <w:rFonts w:ascii="宋体" w:hAnsi="宋体" w:cs="宋体" w:eastAsia="宋体"/>
                <w:b w:val="false"/>
              </w:rPr>
              <w:t>份额占比</w:t>
            </w:r>
          </w:p>
        </w:tc>
      </w:tr>
      <w:tr>
        <w:tc>
          <w:tcPr>
            <w:tcW/>
            <w:vAlign w:val="center"/>
          </w:tcPr>
          <w:p>
            <w:pPr>
              <w:spacing w:line="240" w:lineRule="auto"/>
              <w:jc w:val="center"/>
            </w:pPr>
            <w:r>
              <w:rPr>
                <w:rFonts w:ascii="宋体" w:hAnsi="宋体" w:cs="宋体" w:eastAsia="宋体"/>
                <w:b w:val="false"/>
              </w:rPr>
              <w:t>个人</w:t>
            </w:r>
          </w:p>
        </w:tc>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center"/>
            </w:pPr>
            <w:r>
              <w:rPr>
                <w:rFonts w:ascii="宋体" w:hAnsi="宋体" w:cs="宋体" w:eastAsia="宋体"/>
                <w:b w:val="false"/>
              </w:rPr>
              <w:t>2025年06月06日-2025年06月30日</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0</w:t>
            </w:r>
          </w:p>
        </w:tc>
        <w:tc>
          <w:tcPr>
            <w:tcW/>
            <w:vAlign w:val="center"/>
          </w:tcPr>
          <w:p>
            <w:pPr>
              <w:spacing w:line="240" w:lineRule="auto"/>
              <w:jc w:val="right"/>
            </w:pPr>
            <w:r>
              <w:rPr>
                <w:rFonts w:ascii="宋体" w:hAnsi="宋体" w:cs="宋体" w:eastAsia="宋体"/>
                <w:b w:val="false"/>
              </w:rPr>
              <w:t>0</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83.86%</w:t>
            </w:r>
          </w:p>
        </w:tc>
      </w:tr>
      <w:tr>
        <w:tc>
          <w:tcPr>
            <w:tcW/>
            <w:hMerge w:val="restart"/>
          </w:tcPr>
          <w:p>
            <w:pPr>
              <w:spacing w:line="240" w:lineRule="auto"/>
              <w:jc w:val="center"/>
            </w:pPr>
            <w:r>
              <w:rPr>
                <w:rFonts w:ascii="宋体" w:hAnsi="宋体" w:cs="宋体" w:eastAsia="宋体"/>
                <w:b w:val="false"/>
              </w:rPr>
              <w:t>产品特有风险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hMerge w:val="restart"/>
          </w:tcPr>
          <w:p>
            <w:pPr>
              <w:spacing w:line="240" w:lineRule="auto"/>
              <w:jc w:val="left"/>
            </w:pPr>
            <w:r>
              <w:rPr>
                <w:rFonts w:ascii="宋体" w:hAnsi="宋体" w:cs="宋体" w:eastAsia="宋体"/>
                <w:b w:val="false"/>
              </w:rPr>
              <w:t xml:space="preserve">    基金管理人秉承谨慎勤勉、独立决策、规范运作、充分披露原则，公平对待投资者，保障投资者合法权益。当单一投资者持有基金份额比例达到或超过20%时，由此可能导致的特有风险主要包括：</w:t>
              <w:br/>
            </w:r>
            <w:r>
              <w:rPr>
                <w:rFonts w:ascii="宋体" w:hAnsi="宋体" w:cs="宋体" w:eastAsia="宋体"/>
                <w:b w:val="false"/>
              </w:rPr>
              <w:t xml:space="preserve">    1、本基金单一投资者所持有的基金份额占比较大，单一投资者的巨额赎回，可能导致基金管理人被迫抛售证券以应付基金赎回的现金需要，对本基金的投资运作及净值表现产生较大影响。</w:t>
              <w:br/>
            </w:r>
            <w:r>
              <w:rPr>
                <w:rFonts w:ascii="宋体" w:hAnsi="宋体" w:cs="宋体" w:eastAsia="宋体"/>
                <w:b w:val="false"/>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br/>
            </w:r>
            <w:r>
              <w:rPr>
                <w:rFonts w:ascii="宋体" w:hAnsi="宋体" w:cs="宋体" w:eastAsia="宋体"/>
                <w:b w:val="false"/>
              </w:rPr>
              <w:t xml:space="preserve">    3、单一投资者巨额赎回可能导致本基金在短时间内无法变现足够的资产予以应对，可能会导致基金仓位调整困难，发生流动性风险。</w:t>
              <w:br/>
            </w:r>
            <w:r>
              <w:rPr>
                <w:rFonts w:ascii="宋体" w:hAnsi="宋体" w:cs="宋体" w:eastAsia="宋体"/>
                <w:b w:val="false"/>
              </w:rPr>
              <w:t xml:space="preserve">    4、持有基金份额占比较高的投资者在召开基金份额持有人大会并对重大事项进行投票表决时，可能拥有较大话语权。</w:t>
              <w:br/>
            </w:r>
            <w:r>
              <w:rPr>
                <w:rFonts w:ascii="宋体" w:hAnsi="宋体" w:cs="宋体" w:eastAsia="宋体"/>
                <w:b w:val="false"/>
              </w:rPr>
              <w:t xml:space="preserve">    5、超出基金管理人允许的单一投资者持有基金份额比例的申购申请不被确认的风险。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bl>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1、中国证券监督管理委员会批准的东方阿尔法科技优选混合型发起式证券投资基金设立的文件；</w:t>
        <w:cr/>
      </w:r>
      <w:r>
        <w:rPr>
          <w:rFonts w:ascii="宋体" w:hAnsi="宋体" w:cs="宋体" w:eastAsia="宋体"/>
          <w:b w:val="false"/>
        </w:rPr>
        <w:t xml:space="preserve">    2、《东方阿尔法科技优选混合型发起式证券投资基金基金合同》；</w:t>
        <w:cr/>
      </w:r>
      <w:r>
        <w:rPr>
          <w:rFonts w:ascii="宋体" w:hAnsi="宋体" w:cs="宋体" w:eastAsia="宋体"/>
          <w:b w:val="false"/>
        </w:rPr>
        <w:t xml:space="preserve">    3、《东方阿尔法科技优选混合型发起式证券投资基金托管协议》；</w:t>
        <w:cr/>
      </w:r>
      <w:r>
        <w:rPr>
          <w:rFonts w:ascii="宋体" w:hAnsi="宋体" w:cs="宋体" w:eastAsia="宋体"/>
          <w:b w:val="false"/>
        </w:rPr>
        <w:t xml:space="preserve">    4、《东方阿尔法科技优选混合型发起式证券投资基金招募说明书》（含更新）；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二〇二五年七月十二日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东方阿尔法科技优选混合型发起式证券投资基金2025年第2季度报告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