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东方阿尔法产业先锋混合型发起式证券投资基金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2025年第2季度报告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2025年06月30日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2025年07月19日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基金托管人招商银行股份有限公司根据本基金合同规定，于2025年07月18日复核了本报告中的财务指标、净值表现和投资组合报告等内容，保证复核内容不存在虚假记载、误导性陈述或者重大遗漏。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本报告期自2025年04月01日起至2025年06月30日止。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东方阿尔法产业先锋混合</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011704</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2021年07月21日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1,728,346,882.80份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本基金在严格控制风险的前提下，通过产业精选和个股研究，力求选择景气度上行产业中具有先锋优势的优质个股，力争实现基金资产的持续稳定增值。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本基金的投资策略主要有以下10个方面内容：</w:t>
              <w:br/>
            </w:r>
            <w:r>
              <w:rPr>
                <w:rFonts w:ascii="宋体" w:hAnsi="宋体" w:cs="宋体" w:eastAsia="宋体"/>
                <w:b w:val="false"/>
              </w:rPr>
              <w:t>1、大类资产配置策略</w:t>
              <w:br/>
            </w:r>
            <w:r>
              <w:rPr>
                <w:rFonts w:ascii="宋体" w:hAnsi="宋体" w:cs="宋体" w:eastAsia="宋体"/>
                <w:b w:val="false"/>
              </w:rPr>
              <w:t>本基金根据对宏观经济周期的分析研究，结合基本面、市面场、政策面等多种因素的综合考量，研判所处经济周期的位置及未来发展方向，以确定组合中股票、债券、货币市场工具及其他金融工具的比例。</w:t>
              <w:br/>
            </w:r>
            <w:r>
              <w:rPr>
                <w:rFonts w:ascii="宋体" w:hAnsi="宋体" w:cs="宋体" w:eastAsia="宋体"/>
                <w:b w:val="false"/>
              </w:rPr>
              <w:t>2、股票投资策略</w:t>
              <w:br/>
            </w:r>
            <w:r>
              <w:rPr>
                <w:rFonts w:ascii="宋体" w:hAnsi="宋体" w:cs="宋体" w:eastAsia="宋体"/>
                <w:b w:val="false"/>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br/>
            </w:r>
            <w:r>
              <w:rPr>
                <w:rFonts w:ascii="宋体" w:hAnsi="宋体" w:cs="宋体" w:eastAsia="宋体"/>
                <w:b w:val="false"/>
              </w:rPr>
              <w:t>3、存托凭证投资策略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5、可转债（含分离交易可转债）及可交换债券投资策略</w:t>
              <w:br/>
            </w:r>
            <w:r>
              <w:rPr>
                <w:rFonts w:ascii="宋体" w:hAnsi="宋体" w:cs="宋体" w:eastAsia="宋体"/>
                <w:b w:val="false"/>
              </w:rPr>
              <w:t>对于可转换债券的投资，本基金将在评估其偿债能力的同时兼顾公司的成长性，以期通过转换条款分享因股价上升带来的高收益。</w:t>
              <w:br/>
            </w:r>
            <w:r>
              <w:rPr>
                <w:rFonts w:ascii="宋体" w:hAnsi="宋体" w:cs="宋体" w:eastAsia="宋体"/>
                <w:b w:val="false"/>
              </w:rPr>
              <w:t>6、股指期货投资策略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7、融资业务的投资策略</w:t>
              <w:br/>
            </w:r>
            <w:r>
              <w:rPr>
                <w:rFonts w:ascii="宋体" w:hAnsi="宋体" w:cs="宋体" w:eastAsia="宋体"/>
                <w:b w:val="false"/>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8、国债期货的投资策略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9、股票期权的投资策略</w:t>
              <w:br/>
            </w:r>
            <w:r>
              <w:rPr>
                <w:rFonts w:ascii="宋体" w:hAnsi="宋体" w:cs="宋体" w:eastAsia="宋体"/>
                <w:b w:val="false"/>
              </w:rPr>
              <w:t>本基金投资股票期权将以套期保值为主要目的，结合投资目标、比例限制、风险收益特征以及法律法规的相关限定和要求，确定参与股票期权交易的投资时机和投资比例。</w:t>
              <w:br/>
            </w:r>
            <w:r>
              <w:rPr>
                <w:rFonts w:ascii="宋体" w:hAnsi="宋体" w:cs="宋体" w:eastAsia="宋体"/>
                <w:b w:val="false"/>
              </w:rPr>
              <w:t>10、资产支持证券投资策略</w:t>
              <w:br/>
            </w:r>
            <w:r>
              <w:rPr>
                <w:rFonts w:ascii="宋体" w:hAnsi="宋体" w:cs="宋体" w:eastAsia="宋体"/>
                <w:b w:val="false"/>
              </w:rPr>
              <w:t>本基金可以投资包括资产抵押贷款支持证券(ABS)、住房抵押贷款支持证券(MBS)等在内的资产支持证券。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中证800指数收益率×80%+中证综合债券指数收益率×20%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招商银行股份有限公司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东方阿尔法产业先锋混合A</w:t>
            </w:r>
          </w:p>
        </w:tc>
        <w:tc>
          <w:tcPr>
            <w:tcW w:type="pct" w:w="1500"/>
          </w:tcPr>
          <w:p>
            <w:pPr>
              <w:spacing w:line="240" w:lineRule="auto"/>
              <w:jc w:val="left"/>
            </w:pPr>
            <w:r>
              <w:rPr>
                <w:rFonts w:ascii="宋体" w:hAnsi="宋体" w:cs="宋体" w:eastAsia="宋体"/>
                <w:b w:val="false"/>
              </w:rPr>
              <w:t>东方阿尔法产业先锋混合C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011704</w:t>
            </w:r>
          </w:p>
        </w:tc>
        <w:tc>
          <w:tcPr>
            <w:tcW w:type="pct" w:w="1500"/>
          </w:tcPr>
          <w:p>
            <w:pPr>
              <w:spacing w:line="240" w:lineRule="auto"/>
              <w:jc w:val="left"/>
            </w:pPr>
            <w:r>
              <w:rPr>
                <w:rFonts w:ascii="宋体" w:hAnsi="宋体" w:cs="宋体" w:eastAsia="宋体"/>
                <w:b w:val="false"/>
              </w:rPr>
              <w:t>011705</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1,315,992,113.48份</w:t>
            </w:r>
          </w:p>
        </w:tc>
        <w:tc>
          <w:tcPr>
            <w:tcW w:type="pct" w:w="1500"/>
          </w:tcPr>
          <w:p>
            <w:pPr>
              <w:spacing w:line="240" w:lineRule="auto"/>
              <w:jc w:val="left"/>
            </w:pPr>
            <w:r>
              <w:rPr>
                <w:rFonts w:ascii="宋体" w:hAnsi="宋体" w:cs="宋体" w:eastAsia="宋体"/>
                <w:b w:val="false"/>
              </w:rPr>
              <w:t>412,354,769.32份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报告期（2025年04月01日-2025年06月30日）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东方阿尔法产业先锋混合A</w:t>
            </w:r>
          </w:p>
        </w:tc>
        <w:tc>
          <w:tcPr>
            <w:tcW w:type="pct" w:w="1500"/>
          </w:tcPr>
          <w:tcPr>
            <w:shd w:fill="d9d9d9"/>
          </w:tcPr>
          <w:p>
            <w:pPr>
              <w:spacing w:line="240" w:lineRule="auto"/>
              <w:jc w:val="center"/>
            </w:pPr>
            <w:r>
              <w:rPr>
                <w:rFonts w:ascii="宋体" w:hAnsi="宋体" w:cs="宋体" w:eastAsia="宋体"/>
                <w:b w:val="false"/>
              </w:rPr>
              <w:t>东方阿尔法产业先锋混合C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8,874,783.78</w:t>
            </w:r>
          </w:p>
        </w:tc>
        <w:tc>
          <w:tcPr>
            <w:tcW w:type="pct" w:w="1500"/>
          </w:tcPr>
          <w:p>
            <w:pPr>
              <w:spacing w:line="240" w:lineRule="auto"/>
              <w:jc w:val="right"/>
            </w:pPr>
            <w:r>
              <w:rPr>
                <w:rFonts w:ascii="宋体" w:hAnsi="宋体" w:cs="宋体" w:eastAsia="宋体"/>
                <w:b w:val="false"/>
              </w:rPr>
              <w:t>2,455,892.86</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-37,759,538.66</w:t>
            </w:r>
          </w:p>
        </w:tc>
        <w:tc>
          <w:tcPr>
            <w:tcW w:type="pct" w:w="1500"/>
          </w:tcPr>
          <w:p>
            <w:pPr>
              <w:spacing w:line="240" w:lineRule="auto"/>
              <w:jc w:val="right"/>
            </w:pPr>
            <w:r>
              <w:rPr>
                <w:rFonts w:ascii="宋体" w:hAnsi="宋体" w:cs="宋体" w:eastAsia="宋体"/>
                <w:b w:val="false"/>
              </w:rPr>
              <w:t>-11,610,069.78</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-0.0273</w:t>
            </w:r>
          </w:p>
        </w:tc>
        <w:tc>
          <w:tcPr>
            <w:tcW w:type="pct" w:w="1500"/>
          </w:tcPr>
          <w:p>
            <w:pPr>
              <w:spacing w:line="240" w:lineRule="auto"/>
              <w:jc w:val="right"/>
            </w:pPr>
            <w:r>
              <w:rPr>
                <w:rFonts w:ascii="宋体" w:hAnsi="宋体" w:cs="宋体" w:eastAsia="宋体"/>
                <w:b w:val="false"/>
              </w:rPr>
              <w:t>-0.0271</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589,143,562.31</w:t>
            </w:r>
          </w:p>
        </w:tc>
        <w:tc>
          <w:tcPr>
            <w:tcW w:type="pct" w:w="1500"/>
          </w:tcPr>
          <w:p>
            <w:pPr>
              <w:spacing w:line="240" w:lineRule="auto"/>
              <w:jc w:val="right"/>
            </w:pPr>
            <w:r>
              <w:rPr>
                <w:rFonts w:ascii="宋体" w:hAnsi="宋体" w:cs="宋体" w:eastAsia="宋体"/>
                <w:b w:val="false"/>
              </w:rPr>
              <w:t>180,997,401.17</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0.4477</w:t>
            </w:r>
          </w:p>
        </w:tc>
        <w:tc>
          <w:tcPr>
            <w:tcW w:type="pct" w:w="1500"/>
          </w:tcPr>
          <w:p>
            <w:pPr>
              <w:spacing w:line="240" w:lineRule="auto"/>
              <w:jc w:val="right"/>
            </w:pPr>
            <w:r>
              <w:rPr>
                <w:rFonts w:ascii="宋体" w:hAnsi="宋体" w:cs="宋体" w:eastAsia="宋体"/>
                <w:b w:val="false"/>
              </w:rPr>
              <w:t>0.4389</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东方阿尔法产业先锋混合A净值表现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-5.55%</w:t>
            </w:r>
          </w:p>
        </w:tc>
        <w:tc>
          <w:tcPr>
            <w:tcW/>
            <w:vAlign w:val="center"/>
          </w:tcPr>
          <w:p>
            <w:pPr>
              <w:spacing w:line="240" w:lineRule="auto"/>
              <w:jc w:val="right"/>
            </w:pPr>
            <w:r>
              <w:rPr>
                <w:rFonts w:ascii="宋体" w:hAnsi="宋体" w:cs="宋体" w:eastAsia="宋体"/>
                <w:b w:val="false"/>
              </w:rPr>
              <w:t>1.24%</w:t>
            </w:r>
          </w:p>
        </w:tc>
        <w:tc>
          <w:tcPr>
            <w:tcW/>
            <w:vAlign w:val="center"/>
          </w:tcPr>
          <w:p>
            <w:pPr>
              <w:spacing w:line="240" w:lineRule="auto"/>
              <w:jc w:val="right"/>
            </w:pPr>
            <w:r>
              <w:rPr>
                <w:rFonts w:ascii="宋体" w:hAnsi="宋体" w:cs="宋体" w:eastAsia="宋体"/>
                <w:b w:val="false"/>
              </w:rPr>
              <w:t>1.38%</w:t>
            </w:r>
          </w:p>
        </w:tc>
        <w:tc>
          <w:tcPr>
            <w:tcW/>
            <w:vAlign w:val="center"/>
          </w:tcPr>
          <w:p>
            <w:pPr>
              <w:spacing w:line="240" w:lineRule="auto"/>
              <w:jc w:val="right"/>
            </w:pPr>
            <w:r>
              <w:rPr>
                <w:rFonts w:ascii="宋体" w:hAnsi="宋体" w:cs="宋体" w:eastAsia="宋体"/>
                <w:b w:val="false"/>
              </w:rPr>
              <w:t>0.93%</w:t>
            </w:r>
          </w:p>
        </w:tc>
        <w:tc>
          <w:tcPr>
            <w:tcW/>
            <w:vAlign w:val="center"/>
          </w:tcPr>
          <w:p>
            <w:pPr>
              <w:spacing w:line="240" w:lineRule="auto"/>
              <w:jc w:val="right"/>
            </w:pPr>
            <w:r>
              <w:rPr>
                <w:rFonts w:ascii="宋体" w:hAnsi="宋体" w:cs="宋体" w:eastAsia="宋体"/>
                <w:b w:val="false"/>
              </w:rPr>
              <w:t>-6.93%</w:t>
            </w:r>
          </w:p>
        </w:tc>
        <w:tc>
          <w:tcPr>
            <w:tcW/>
            <w:vAlign w:val="center"/>
          </w:tcPr>
          <w:p>
            <w:pPr>
              <w:spacing w:line="240" w:lineRule="auto"/>
              <w:jc w:val="right"/>
            </w:pPr>
            <w:r>
              <w:rPr>
                <w:rFonts w:ascii="宋体" w:hAnsi="宋体" w:cs="宋体" w:eastAsia="宋体"/>
                <w:b w:val="false"/>
              </w:rPr>
              <w:t>0.31%</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-0.29%</w:t>
            </w:r>
          </w:p>
        </w:tc>
        <w:tc>
          <w:tcPr>
            <w:tcW/>
            <w:vAlign w:val="center"/>
          </w:tcPr>
          <w:p>
            <w:pPr>
              <w:spacing w:line="240" w:lineRule="auto"/>
              <w:jc w:val="right"/>
            </w:pPr>
            <w:r>
              <w:rPr>
                <w:rFonts w:ascii="宋体" w:hAnsi="宋体" w:cs="宋体" w:eastAsia="宋体"/>
                <w:b w:val="false"/>
              </w:rPr>
              <w:t>1.07%</w:t>
            </w:r>
          </w:p>
        </w:tc>
        <w:tc>
          <w:tcPr>
            <w:tcW/>
            <w:vAlign w:val="center"/>
          </w:tcPr>
          <w:p>
            <w:pPr>
              <w:spacing w:line="240" w:lineRule="auto"/>
              <w:jc w:val="right"/>
            </w:pPr>
            <w:r>
              <w:rPr>
                <w:rFonts w:ascii="宋体" w:hAnsi="宋体" w:cs="宋体" w:eastAsia="宋体"/>
                <w:b w:val="false"/>
              </w:rPr>
              <w:t>1.04%</w:t>
            </w:r>
          </w:p>
        </w:tc>
        <w:tc>
          <w:tcPr>
            <w:tcW/>
            <w:vAlign w:val="center"/>
          </w:tcPr>
          <w:p>
            <w:pPr>
              <w:spacing w:line="240" w:lineRule="auto"/>
              <w:jc w:val="right"/>
            </w:pPr>
            <w:r>
              <w:rPr>
                <w:rFonts w:ascii="宋体" w:hAnsi="宋体" w:cs="宋体" w:eastAsia="宋体"/>
                <w:b w:val="false"/>
              </w:rPr>
              <w:t>0.86%</w:t>
            </w:r>
          </w:p>
        </w:tc>
        <w:tc>
          <w:tcPr>
            <w:tcW/>
            <w:vAlign w:val="center"/>
          </w:tcPr>
          <w:p>
            <w:pPr>
              <w:spacing w:line="240" w:lineRule="auto"/>
              <w:jc w:val="right"/>
            </w:pPr>
            <w:r>
              <w:rPr>
                <w:rFonts w:ascii="宋体" w:hAnsi="宋体" w:cs="宋体" w:eastAsia="宋体"/>
                <w:b w:val="false"/>
              </w:rPr>
              <w:t>-1.33%</w:t>
            </w:r>
          </w:p>
        </w:tc>
        <w:tc>
          <w:tcPr>
            <w:tcW/>
            <w:vAlign w:val="center"/>
          </w:tcPr>
          <w:p>
            <w:pPr>
              <w:spacing w:line="240" w:lineRule="auto"/>
              <w:jc w:val="right"/>
            </w:pPr>
            <w:r>
              <w:rPr>
                <w:rFonts w:ascii="宋体" w:hAnsi="宋体" w:cs="宋体" w:eastAsia="宋体"/>
                <w:b w:val="false"/>
              </w:rPr>
              <w:t>0.21%</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2.03%</w:t>
            </w:r>
          </w:p>
        </w:tc>
        <w:tc>
          <w:tcPr>
            <w:tcW/>
            <w:vAlign w:val="center"/>
          </w:tcPr>
          <w:p>
            <w:pPr>
              <w:spacing w:line="240" w:lineRule="auto"/>
              <w:jc w:val="right"/>
            </w:pPr>
            <w:r>
              <w:rPr>
                <w:rFonts w:ascii="宋体" w:hAnsi="宋体" w:cs="宋体" w:eastAsia="宋体"/>
                <w:b w:val="false"/>
              </w:rPr>
              <w:t>1.53%</w:t>
            </w:r>
          </w:p>
        </w:tc>
        <w:tc>
          <w:tcPr>
            <w:tcW/>
            <w:vAlign w:val="center"/>
          </w:tcPr>
          <w:p>
            <w:pPr>
              <w:spacing w:line="240" w:lineRule="auto"/>
              <w:jc w:val="right"/>
            </w:pPr>
            <w:r>
              <w:rPr>
                <w:rFonts w:ascii="宋体" w:hAnsi="宋体" w:cs="宋体" w:eastAsia="宋体"/>
                <w:b w:val="false"/>
              </w:rPr>
              <w:t>13.57%</w:t>
            </w:r>
          </w:p>
        </w:tc>
        <w:tc>
          <w:tcPr>
            <w:tcW/>
            <w:vAlign w:val="center"/>
          </w:tcPr>
          <w:p>
            <w:pPr>
              <w:spacing w:line="240" w:lineRule="auto"/>
              <w:jc w:val="right"/>
            </w:pPr>
            <w:r>
              <w:rPr>
                <w:rFonts w:ascii="宋体" w:hAnsi="宋体" w:cs="宋体" w:eastAsia="宋体"/>
                <w:b w:val="false"/>
              </w:rPr>
              <w:t>1.15%</w:t>
            </w:r>
          </w:p>
        </w:tc>
        <w:tc>
          <w:tcPr>
            <w:tcW/>
            <w:vAlign w:val="center"/>
          </w:tcPr>
          <w:p>
            <w:pPr>
              <w:spacing w:line="240" w:lineRule="auto"/>
              <w:jc w:val="right"/>
            </w:pPr>
            <w:r>
              <w:rPr>
                <w:rFonts w:ascii="宋体" w:hAnsi="宋体" w:cs="宋体" w:eastAsia="宋体"/>
                <w:b w:val="false"/>
              </w:rPr>
              <w:t>-11.54%</w:t>
            </w:r>
          </w:p>
        </w:tc>
        <w:tc>
          <w:tcPr>
            <w:tcW/>
            <w:vAlign w:val="center"/>
          </w:tcPr>
          <w:p>
            <w:pPr>
              <w:spacing w:line="240" w:lineRule="auto"/>
              <w:jc w:val="right"/>
            </w:pPr>
            <w:r>
              <w:rPr>
                <w:rFonts w:ascii="宋体" w:hAnsi="宋体" w:cs="宋体" w:eastAsia="宋体"/>
                <w:b w:val="false"/>
              </w:rPr>
              <w:t>0.38%</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-43.90%</w:t>
            </w:r>
          </w:p>
        </w:tc>
        <w:tc>
          <w:tcPr>
            <w:tcW/>
            <w:vAlign w:val="center"/>
          </w:tcPr>
          <w:p>
            <w:pPr>
              <w:spacing w:line="240" w:lineRule="auto"/>
              <w:jc w:val="right"/>
            </w:pPr>
            <w:r>
              <w:rPr>
                <w:rFonts w:ascii="宋体" w:hAnsi="宋体" w:cs="宋体" w:eastAsia="宋体"/>
                <w:b w:val="false"/>
              </w:rPr>
              <w:t>1.79%</w:t>
            </w:r>
          </w:p>
        </w:tc>
        <w:tc>
          <w:tcPr>
            <w:tcW/>
            <w:vAlign w:val="center"/>
          </w:tcPr>
          <w:p>
            <w:pPr>
              <w:spacing w:line="240" w:lineRule="auto"/>
              <w:jc w:val="right"/>
            </w:pPr>
            <w:r>
              <w:rPr>
                <w:rFonts w:ascii="宋体" w:hAnsi="宋体" w:cs="宋体" w:eastAsia="宋体"/>
                <w:b w:val="false"/>
              </w:rPr>
              <w:t>-5.72%</w:t>
            </w:r>
          </w:p>
        </w:tc>
        <w:tc>
          <w:tcPr>
            <w:tcW/>
            <w:vAlign w:val="center"/>
          </w:tcPr>
          <w:p>
            <w:pPr>
              <w:spacing w:line="240" w:lineRule="auto"/>
              <w:jc w:val="right"/>
            </w:pPr>
            <w:r>
              <w:rPr>
                <w:rFonts w:ascii="宋体" w:hAnsi="宋体" w:cs="宋体" w:eastAsia="宋体"/>
                <w:b w:val="false"/>
              </w:rPr>
              <w:t>0.90%</w:t>
            </w:r>
          </w:p>
        </w:tc>
        <w:tc>
          <w:tcPr>
            <w:tcW/>
            <w:vAlign w:val="center"/>
          </w:tcPr>
          <w:p>
            <w:pPr>
              <w:spacing w:line="240" w:lineRule="auto"/>
              <w:jc w:val="right"/>
            </w:pPr>
            <w:r>
              <w:rPr>
                <w:rFonts w:ascii="宋体" w:hAnsi="宋体" w:cs="宋体" w:eastAsia="宋体"/>
                <w:b w:val="false"/>
              </w:rPr>
              <w:t>-38.18%</w:t>
            </w:r>
          </w:p>
        </w:tc>
        <w:tc>
          <w:tcPr>
            <w:tcW/>
            <w:vAlign w:val="center"/>
          </w:tcPr>
          <w:p>
            <w:pPr>
              <w:spacing w:line="240" w:lineRule="auto"/>
              <w:jc w:val="right"/>
            </w:pPr>
            <w:r>
              <w:rPr>
                <w:rFonts w:ascii="宋体" w:hAnsi="宋体" w:cs="宋体" w:eastAsia="宋体"/>
                <w:b w:val="false"/>
              </w:rPr>
              <w:t>0.89%</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-55.23%</w:t>
            </w:r>
          </w:p>
        </w:tc>
        <w:tc>
          <w:tcPr>
            <w:tcW/>
            <w:vAlign w:val="center"/>
          </w:tcPr>
          <w:p>
            <w:pPr>
              <w:spacing w:line="240" w:lineRule="auto"/>
              <w:jc w:val="right"/>
            </w:pPr>
            <w:r>
              <w:rPr>
                <w:rFonts w:ascii="宋体" w:hAnsi="宋体" w:cs="宋体" w:eastAsia="宋体"/>
                <w:b w:val="false"/>
              </w:rPr>
              <w:t>1.87%</w:t>
            </w:r>
          </w:p>
        </w:tc>
        <w:tc>
          <w:tcPr>
            <w:tcW/>
            <w:vAlign w:val="center"/>
          </w:tcPr>
          <w:p>
            <w:pPr>
              <w:spacing w:line="240" w:lineRule="auto"/>
              <w:jc w:val="right"/>
            </w:pPr>
            <w:r>
              <w:rPr>
                <w:rFonts w:ascii="宋体" w:hAnsi="宋体" w:cs="宋体" w:eastAsia="宋体"/>
                <w:b w:val="false"/>
              </w:rPr>
              <w:t>-13.13%</w:t>
            </w:r>
          </w:p>
        </w:tc>
        <w:tc>
          <w:tcPr>
            <w:tcW/>
            <w:vAlign w:val="center"/>
          </w:tcPr>
          <w:p>
            <w:pPr>
              <w:spacing w:line="240" w:lineRule="auto"/>
              <w:jc w:val="right"/>
            </w:pPr>
            <w:r>
              <w:rPr>
                <w:rFonts w:ascii="宋体" w:hAnsi="宋体" w:cs="宋体" w:eastAsia="宋体"/>
                <w:b w:val="false"/>
              </w:rPr>
              <w:t>0.92%</w:t>
            </w:r>
          </w:p>
        </w:tc>
        <w:tc>
          <w:tcPr>
            <w:tcW/>
            <w:vAlign w:val="center"/>
          </w:tcPr>
          <w:p>
            <w:pPr>
              <w:spacing w:line="240" w:lineRule="auto"/>
              <w:jc w:val="right"/>
            </w:pPr>
            <w:r>
              <w:rPr>
                <w:rFonts w:ascii="宋体" w:hAnsi="宋体" w:cs="宋体" w:eastAsia="宋体"/>
                <w:b w:val="false"/>
              </w:rPr>
              <w:t>-42.10%</w:t>
            </w:r>
          </w:p>
        </w:tc>
        <w:tc>
          <w:tcPr>
            <w:tcW/>
            <w:vAlign w:val="center"/>
          </w:tcPr>
          <w:p>
            <w:pPr>
              <w:spacing w:line="240" w:lineRule="auto"/>
              <w:jc w:val="right"/>
            </w:pPr>
            <w:r>
              <w:rPr>
                <w:rFonts w:ascii="宋体" w:hAnsi="宋体" w:cs="宋体" w:eastAsia="宋体"/>
                <w:b w:val="false"/>
              </w:rPr>
              <w:t>0.95%</w:t>
            </w:r>
          </w:p>
        </w:tc>
      </w:tr>
    </w:tbl>
    <w:p>
      <w:pPr>
        <w:jc w:val="left"/>
      </w:pPr>
      <w:r>
        <w:rPr>
          <w:rFonts w:ascii="宋体" w:hAnsi="宋体" w:cs="宋体" w:eastAsia="宋体"/>
          <w:b w:val="true"/>
        </w:rPr>
        <w:t>东方阿尔法产业先锋混合C净值表现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-5.67%</w:t>
            </w:r>
          </w:p>
        </w:tc>
        <w:tc>
          <w:tcPr>
            <w:tcW/>
            <w:vAlign w:val="center"/>
          </w:tcPr>
          <w:p>
            <w:pPr>
              <w:spacing w:line="240" w:lineRule="auto"/>
              <w:jc w:val="right"/>
            </w:pPr>
            <w:r>
              <w:rPr>
                <w:rFonts w:ascii="宋体" w:hAnsi="宋体" w:cs="宋体" w:eastAsia="宋体"/>
                <w:b w:val="false"/>
              </w:rPr>
              <w:t>1.24%</w:t>
            </w:r>
          </w:p>
        </w:tc>
        <w:tc>
          <w:tcPr>
            <w:tcW/>
            <w:vAlign w:val="center"/>
          </w:tcPr>
          <w:p>
            <w:pPr>
              <w:spacing w:line="240" w:lineRule="auto"/>
              <w:jc w:val="right"/>
            </w:pPr>
            <w:r>
              <w:rPr>
                <w:rFonts w:ascii="宋体" w:hAnsi="宋体" w:cs="宋体" w:eastAsia="宋体"/>
                <w:b w:val="false"/>
              </w:rPr>
              <w:t>1.38%</w:t>
            </w:r>
          </w:p>
        </w:tc>
        <w:tc>
          <w:tcPr>
            <w:tcW/>
            <w:vAlign w:val="center"/>
          </w:tcPr>
          <w:p>
            <w:pPr>
              <w:spacing w:line="240" w:lineRule="auto"/>
              <w:jc w:val="right"/>
            </w:pPr>
            <w:r>
              <w:rPr>
                <w:rFonts w:ascii="宋体" w:hAnsi="宋体" w:cs="宋体" w:eastAsia="宋体"/>
                <w:b w:val="false"/>
              </w:rPr>
              <w:t>0.93%</w:t>
            </w:r>
          </w:p>
        </w:tc>
        <w:tc>
          <w:tcPr>
            <w:tcW/>
            <w:vAlign w:val="center"/>
          </w:tcPr>
          <w:p>
            <w:pPr>
              <w:spacing w:line="240" w:lineRule="auto"/>
              <w:jc w:val="right"/>
            </w:pPr>
            <w:r>
              <w:rPr>
                <w:rFonts w:ascii="宋体" w:hAnsi="宋体" w:cs="宋体" w:eastAsia="宋体"/>
                <w:b w:val="false"/>
              </w:rPr>
              <w:t>-7.05%</w:t>
            </w:r>
          </w:p>
        </w:tc>
        <w:tc>
          <w:tcPr>
            <w:tcW/>
            <w:vAlign w:val="center"/>
          </w:tcPr>
          <w:p>
            <w:pPr>
              <w:spacing w:line="240" w:lineRule="auto"/>
              <w:jc w:val="right"/>
            </w:pPr>
            <w:r>
              <w:rPr>
                <w:rFonts w:ascii="宋体" w:hAnsi="宋体" w:cs="宋体" w:eastAsia="宋体"/>
                <w:b w:val="false"/>
              </w:rPr>
              <w:t>0.31%</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-0.54%</w:t>
            </w:r>
          </w:p>
        </w:tc>
        <w:tc>
          <w:tcPr>
            <w:tcW/>
            <w:vAlign w:val="center"/>
          </w:tcPr>
          <w:p>
            <w:pPr>
              <w:spacing w:line="240" w:lineRule="auto"/>
              <w:jc w:val="right"/>
            </w:pPr>
            <w:r>
              <w:rPr>
                <w:rFonts w:ascii="宋体" w:hAnsi="宋体" w:cs="宋体" w:eastAsia="宋体"/>
                <w:b w:val="false"/>
              </w:rPr>
              <w:t>1.07%</w:t>
            </w:r>
          </w:p>
        </w:tc>
        <w:tc>
          <w:tcPr>
            <w:tcW/>
            <w:vAlign w:val="center"/>
          </w:tcPr>
          <w:p>
            <w:pPr>
              <w:spacing w:line="240" w:lineRule="auto"/>
              <w:jc w:val="right"/>
            </w:pPr>
            <w:r>
              <w:rPr>
                <w:rFonts w:ascii="宋体" w:hAnsi="宋体" w:cs="宋体" w:eastAsia="宋体"/>
                <w:b w:val="false"/>
              </w:rPr>
              <w:t>1.04%</w:t>
            </w:r>
          </w:p>
        </w:tc>
        <w:tc>
          <w:tcPr>
            <w:tcW/>
            <w:vAlign w:val="center"/>
          </w:tcPr>
          <w:p>
            <w:pPr>
              <w:spacing w:line="240" w:lineRule="auto"/>
              <w:jc w:val="right"/>
            </w:pPr>
            <w:r>
              <w:rPr>
                <w:rFonts w:ascii="宋体" w:hAnsi="宋体" w:cs="宋体" w:eastAsia="宋体"/>
                <w:b w:val="false"/>
              </w:rPr>
              <w:t>0.86%</w:t>
            </w:r>
          </w:p>
        </w:tc>
        <w:tc>
          <w:tcPr>
            <w:tcW/>
            <w:vAlign w:val="center"/>
          </w:tcPr>
          <w:p>
            <w:pPr>
              <w:spacing w:line="240" w:lineRule="auto"/>
              <w:jc w:val="right"/>
            </w:pPr>
            <w:r>
              <w:rPr>
                <w:rFonts w:ascii="宋体" w:hAnsi="宋体" w:cs="宋体" w:eastAsia="宋体"/>
                <w:b w:val="false"/>
              </w:rPr>
              <w:t>-1.58%</w:t>
            </w:r>
          </w:p>
        </w:tc>
        <w:tc>
          <w:tcPr>
            <w:tcW/>
            <w:vAlign w:val="center"/>
          </w:tcPr>
          <w:p>
            <w:pPr>
              <w:spacing w:line="240" w:lineRule="auto"/>
              <w:jc w:val="right"/>
            </w:pPr>
            <w:r>
              <w:rPr>
                <w:rFonts w:ascii="宋体" w:hAnsi="宋体" w:cs="宋体" w:eastAsia="宋体"/>
                <w:b w:val="false"/>
              </w:rPr>
              <w:t>0.21%</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1.53%</w:t>
            </w:r>
          </w:p>
        </w:tc>
        <w:tc>
          <w:tcPr>
            <w:tcW/>
            <w:vAlign w:val="center"/>
          </w:tcPr>
          <w:p>
            <w:pPr>
              <w:spacing w:line="240" w:lineRule="auto"/>
              <w:jc w:val="right"/>
            </w:pPr>
            <w:r>
              <w:rPr>
                <w:rFonts w:ascii="宋体" w:hAnsi="宋体" w:cs="宋体" w:eastAsia="宋体"/>
                <w:b w:val="false"/>
              </w:rPr>
              <w:t>1.53%</w:t>
            </w:r>
          </w:p>
        </w:tc>
        <w:tc>
          <w:tcPr>
            <w:tcW/>
            <w:vAlign w:val="center"/>
          </w:tcPr>
          <w:p>
            <w:pPr>
              <w:spacing w:line="240" w:lineRule="auto"/>
              <w:jc w:val="right"/>
            </w:pPr>
            <w:r>
              <w:rPr>
                <w:rFonts w:ascii="宋体" w:hAnsi="宋体" w:cs="宋体" w:eastAsia="宋体"/>
                <w:b w:val="false"/>
              </w:rPr>
              <w:t>13.57%</w:t>
            </w:r>
          </w:p>
        </w:tc>
        <w:tc>
          <w:tcPr>
            <w:tcW/>
            <w:vAlign w:val="center"/>
          </w:tcPr>
          <w:p>
            <w:pPr>
              <w:spacing w:line="240" w:lineRule="auto"/>
              <w:jc w:val="right"/>
            </w:pPr>
            <w:r>
              <w:rPr>
                <w:rFonts w:ascii="宋体" w:hAnsi="宋体" w:cs="宋体" w:eastAsia="宋体"/>
                <w:b w:val="false"/>
              </w:rPr>
              <w:t>1.15%</w:t>
            </w:r>
          </w:p>
        </w:tc>
        <w:tc>
          <w:tcPr>
            <w:tcW/>
            <w:vAlign w:val="center"/>
          </w:tcPr>
          <w:p>
            <w:pPr>
              <w:spacing w:line="240" w:lineRule="auto"/>
              <w:jc w:val="right"/>
            </w:pPr>
            <w:r>
              <w:rPr>
                <w:rFonts w:ascii="宋体" w:hAnsi="宋体" w:cs="宋体" w:eastAsia="宋体"/>
                <w:b w:val="false"/>
              </w:rPr>
              <w:t>-12.04%</w:t>
            </w:r>
          </w:p>
        </w:tc>
        <w:tc>
          <w:tcPr>
            <w:tcW/>
            <w:vAlign w:val="center"/>
          </w:tcPr>
          <w:p>
            <w:pPr>
              <w:spacing w:line="240" w:lineRule="auto"/>
              <w:jc w:val="right"/>
            </w:pPr>
            <w:r>
              <w:rPr>
                <w:rFonts w:ascii="宋体" w:hAnsi="宋体" w:cs="宋体" w:eastAsia="宋体"/>
                <w:b w:val="false"/>
              </w:rPr>
              <w:t>0.38%</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-44.74%</w:t>
            </w:r>
          </w:p>
        </w:tc>
        <w:tc>
          <w:tcPr>
            <w:tcW/>
            <w:vAlign w:val="center"/>
          </w:tcPr>
          <w:p>
            <w:pPr>
              <w:spacing w:line="240" w:lineRule="auto"/>
              <w:jc w:val="right"/>
            </w:pPr>
            <w:r>
              <w:rPr>
                <w:rFonts w:ascii="宋体" w:hAnsi="宋体" w:cs="宋体" w:eastAsia="宋体"/>
                <w:b w:val="false"/>
              </w:rPr>
              <w:t>1.79%</w:t>
            </w:r>
          </w:p>
        </w:tc>
        <w:tc>
          <w:tcPr>
            <w:tcW/>
            <w:vAlign w:val="center"/>
          </w:tcPr>
          <w:p>
            <w:pPr>
              <w:spacing w:line="240" w:lineRule="auto"/>
              <w:jc w:val="right"/>
            </w:pPr>
            <w:r>
              <w:rPr>
                <w:rFonts w:ascii="宋体" w:hAnsi="宋体" w:cs="宋体" w:eastAsia="宋体"/>
                <w:b w:val="false"/>
              </w:rPr>
              <w:t>-5.72%</w:t>
            </w:r>
          </w:p>
        </w:tc>
        <w:tc>
          <w:tcPr>
            <w:tcW/>
            <w:vAlign w:val="center"/>
          </w:tcPr>
          <w:p>
            <w:pPr>
              <w:spacing w:line="240" w:lineRule="auto"/>
              <w:jc w:val="right"/>
            </w:pPr>
            <w:r>
              <w:rPr>
                <w:rFonts w:ascii="宋体" w:hAnsi="宋体" w:cs="宋体" w:eastAsia="宋体"/>
                <w:b w:val="false"/>
              </w:rPr>
              <w:t>0.90%</w:t>
            </w:r>
          </w:p>
        </w:tc>
        <w:tc>
          <w:tcPr>
            <w:tcW/>
            <w:vAlign w:val="center"/>
          </w:tcPr>
          <w:p>
            <w:pPr>
              <w:spacing w:line="240" w:lineRule="auto"/>
              <w:jc w:val="right"/>
            </w:pPr>
            <w:r>
              <w:rPr>
                <w:rFonts w:ascii="宋体" w:hAnsi="宋体" w:cs="宋体" w:eastAsia="宋体"/>
                <w:b w:val="false"/>
              </w:rPr>
              <w:t>-39.02%</w:t>
            </w:r>
          </w:p>
        </w:tc>
        <w:tc>
          <w:tcPr>
            <w:tcW/>
            <w:vAlign w:val="center"/>
          </w:tcPr>
          <w:p>
            <w:pPr>
              <w:spacing w:line="240" w:lineRule="auto"/>
              <w:jc w:val="right"/>
            </w:pPr>
            <w:r>
              <w:rPr>
                <w:rFonts w:ascii="宋体" w:hAnsi="宋体" w:cs="宋体" w:eastAsia="宋体"/>
                <w:b w:val="false"/>
              </w:rPr>
              <w:t>0.89%</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-56.11%</w:t>
            </w:r>
          </w:p>
        </w:tc>
        <w:tc>
          <w:tcPr>
            <w:tcW/>
            <w:vAlign w:val="center"/>
          </w:tcPr>
          <w:p>
            <w:pPr>
              <w:spacing w:line="240" w:lineRule="auto"/>
              <w:jc w:val="right"/>
            </w:pPr>
            <w:r>
              <w:rPr>
                <w:rFonts w:ascii="宋体" w:hAnsi="宋体" w:cs="宋体" w:eastAsia="宋体"/>
                <w:b w:val="false"/>
              </w:rPr>
              <w:t>1.87%</w:t>
            </w:r>
          </w:p>
        </w:tc>
        <w:tc>
          <w:tcPr>
            <w:tcW/>
            <w:vAlign w:val="center"/>
          </w:tcPr>
          <w:p>
            <w:pPr>
              <w:spacing w:line="240" w:lineRule="auto"/>
              <w:jc w:val="right"/>
            </w:pPr>
            <w:r>
              <w:rPr>
                <w:rFonts w:ascii="宋体" w:hAnsi="宋体" w:cs="宋体" w:eastAsia="宋体"/>
                <w:b w:val="false"/>
              </w:rPr>
              <w:t>-13.13%</w:t>
            </w:r>
          </w:p>
        </w:tc>
        <w:tc>
          <w:tcPr>
            <w:tcW/>
            <w:vAlign w:val="center"/>
          </w:tcPr>
          <w:p>
            <w:pPr>
              <w:spacing w:line="240" w:lineRule="auto"/>
              <w:jc w:val="right"/>
            </w:pPr>
            <w:r>
              <w:rPr>
                <w:rFonts w:ascii="宋体" w:hAnsi="宋体" w:cs="宋体" w:eastAsia="宋体"/>
                <w:b w:val="false"/>
              </w:rPr>
              <w:t>0.92%</w:t>
            </w:r>
          </w:p>
        </w:tc>
        <w:tc>
          <w:tcPr>
            <w:tcW/>
            <w:vAlign w:val="center"/>
          </w:tcPr>
          <w:p>
            <w:pPr>
              <w:spacing w:line="240" w:lineRule="auto"/>
              <w:jc w:val="right"/>
            </w:pPr>
            <w:r>
              <w:rPr>
                <w:rFonts w:ascii="宋体" w:hAnsi="宋体" w:cs="宋体" w:eastAsia="宋体"/>
                <w:b w:val="false"/>
              </w:rPr>
              <w:t>-42.98%</w:t>
            </w:r>
          </w:p>
        </w:tc>
        <w:tc>
          <w:tcPr>
            <w:tcW/>
            <w:vAlign w:val="center"/>
          </w:tcPr>
          <w:p>
            <w:pPr>
              <w:spacing w:line="240" w:lineRule="auto"/>
              <w:jc w:val="right"/>
            </w:pPr>
            <w:r>
              <w:rPr>
                <w:rFonts w:ascii="宋体" w:hAnsi="宋体" w:cs="宋体" w:eastAsia="宋体"/>
                <w:b w:val="false"/>
              </w:rPr>
              <w:t>0.95%</w:t>
            </w:r>
          </w:p>
        </w:tc>
      </w:tr>
    </w:tbl>
    <w:p>
      <w:r>
        <w:rPr>
          <w:rFonts w:ascii="宋体" w:hAnsi="宋体" w:cs="宋体" w:eastAsia="宋体"/>
          <w:b w:val="false"/>
        </w:rPr>
        <w:t>注：1、本基金的业绩比较基准为：中证800指数收益率×80%+中证综合债券指数收益率×20%。</w:t>
        <w:cr/>
      </w:r>
      <w:r>
        <w:rPr>
          <w:rFonts w:ascii="宋体" w:hAnsi="宋体" w:cs="宋体" w:eastAsia="宋体"/>
          <w:b w:val="false"/>
        </w:rPr>
        <w:t>2、本基金自2021年7月21日成立至今尚未满五年，无过去五年的净值表现。</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
      <w:pPr>
        <w:pStyle w:val="2"/>
        <w:jc w:val="left"/>
      </w:pPr>
      <w:r>
        <w:rPr>
          <w:rFonts w:ascii="宋体" w:hAnsi="宋体" w:cs="宋体" w:eastAsia="宋体"/>
        </w:rPr>
        <w:t>3.3 其他指标</w:t>
      </w:r>
    </w:p>
    <w:p>
      <w:r>
        <w:rPr>
          <w:rFonts w:ascii="宋体" w:hAnsi="宋体" w:cs="宋体" w:eastAsia="宋体"/>
          <w:b w:val="false"/>
        </w:rPr>
        <w:t xml:space="preserve">    无。</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尹智斌</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2024-01-30</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7年</w:t>
            </w:r>
          </w:p>
        </w:tc>
        <w:tc>
          <w:tcPr>
            <w:tcW/>
            <w:vAlign w:val="center"/>
          </w:tcPr>
          <w:p>
            <w:pPr>
              <w:spacing w:line="240" w:lineRule="auto"/>
              <w:jc w:val="left"/>
            </w:pPr>
            <w:r>
              <w:rPr>
                <w:rFonts w:ascii="宋体" w:hAnsi="宋体" w:cs="宋体" w:eastAsia="宋体"/>
                <w:b w:val="false"/>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cr/>
      </w:r>
      <w:r>
        <w:rPr>
          <w:rFonts w:ascii="宋体" w:hAnsi="宋体" w:cs="宋体" w:eastAsia="宋体"/>
          <w:b w:val="false"/>
        </w:rPr>
        <w:t>3、本基金管理人于2025年7月2日发布了《东方阿尔法基金管理有限公司关于东方阿尔法产业先锋混合型发起式证券投资基金增聘基金经理的公告》，自2025年7月1日起，增聘周谧先生为本基金基金经理，与尹智斌先生共同管理本基金。</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今年以来，美国关税政策持续呈现出复杂多变的态势，其未来走向仍存在诸多不确定性。5月，中美关税问题出现了一定程度的边际缓和，与此同时，国内积极的宏观政策也在持续发力。在这些因素的共同作用下，经济有望逐步企稳回升。</w:t>
        <w:cr/>
      </w:r>
      <w:r>
        <w:rPr>
          <w:rFonts w:ascii="宋体" w:hAnsi="宋体" w:cs="宋体" w:eastAsia="宋体"/>
          <w:b w:val="false"/>
        </w:rPr>
        <w:t xml:space="preserve">    二季度初，受关税战超预期的影响，市场曾出现较大幅度的调整。然而，在国家队的有力托底之下，市场情绪逐渐稳定，恐慌情绪得以缓解，市场随后走出了一波稳健的修复行情。在市场波动期间，我们始终坚信国家在此次关税战中已经做好了充分准备，因此在市场恐慌时，我们保持了相对乐观的态度。</w:t>
        <w:cr/>
      </w:r>
      <w:r>
        <w:rPr>
          <w:rFonts w:ascii="宋体" w:hAnsi="宋体" w:cs="宋体" w:eastAsia="宋体"/>
          <w:b w:val="false"/>
        </w:rPr>
        <w:t xml:space="preserve">    在二季度的投资布局中，本基金主要聚焦于以下三个方向：一是内需相关领域的龙头企业，包括家电、整车、化妆品、消费医疗器械等。这些板块在市场恐慌情绪蔓延时表现出较强的韧性，并在随后的市场修复阶段取得了较好的表现。二是内需顺周期相关的制造业细分龙头，如建材、化工、机械等。这些行业与国内经济周期密切相关，在经济复苏预期下具备较大的增长潜力。三是上游资源类公司，主要关注那些受到供给端约束、以基本金属为代表的资源类企业。这些行业受关税战的直接影响相对较小，因此在二季度为基金净值的稳定发挥了重要作用。</w:t>
        <w:cr/>
      </w:r>
      <w:r>
        <w:rPr>
          <w:rFonts w:ascii="宋体" w:hAnsi="宋体" w:cs="宋体" w:eastAsia="宋体"/>
          <w:b w:val="false"/>
        </w:rPr>
        <w:t xml:space="preserve">    展望三季度，随着中美关税政策的逐步落地以及中国出口的持续强劲表现，我们认为A股市场的上涨行情正在逐步展开，市场前景值得期待。在此背景下，我们将调整投资策略，从防守思维向产业思维转变，积极寻找未来具有高速增长潜力的大赛道。其中，我们重点关注以固态电池等为代表的电新行业。一方面，该行业自上一轮高点以来已经经历了超过4年的调整，许多公司的股价调整幅度超过了70%；另一方面，经过长时间的行业出清，不少公司的竞争格局得到了显著改善，产品价格也趋于稳定；此外，许多公司持续投入研发，成功切入了新的成长赛道。以固态电池为例，2025年被认为是固态电池产业化的元年，目前固态电池的产能可能仅为小个位数GW，而到2030年，这一产业有望达到200GW的规模，未来固态电池有望逐步替代传统电池，成为一个2000GW的庞大产业。对于已经进入这一赛道的公司而言，这无疑是一片充满机遇的新天地。</w:t>
        <w:cr/>
      </w:r>
      <w:r>
        <w:rPr>
          <w:rFonts w:ascii="宋体" w:hAnsi="宋体" w:cs="宋体" w:eastAsia="宋体"/>
          <w:b w:val="false"/>
        </w:rPr>
        <w:t xml:space="preserve">    在接下来的投资中，本基金将致力于深入挖掘新能源电池领域的新兴变化，寻找在产业发展中最具受益潜力的方向和标的，为投资者创造价值。市场环境复杂多变，我们将持续关注行业动态，灵活调整投资策略，以应对可能出现的各种情况。</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产业先锋混合A基金份额净值为0.4477元，本报告期内，该类基金份额净值增长率为-5.55%，同期业绩比较基准收益率为1.38%；截至报告期末东方阿尔法产业先锋混合C基金份额净值为0.4389元，本报告期内，该类基金份额净值增长率为-5.67%，同期业绩比较基准收益率为1.38%。</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709,780,444.73</w:t>
            </w:r>
          </w:p>
        </w:tc>
        <w:tc>
          <w:tcPr>
            <w:tcW/>
            <w:vAlign w:val="center"/>
          </w:tcPr>
          <w:p>
            <w:pPr>
              <w:spacing w:line="240" w:lineRule="auto"/>
              <w:jc w:val="right"/>
            </w:pPr>
            <w:r>
              <w:rPr>
                <w:rFonts w:ascii="宋体" w:hAnsi="宋体" w:cs="宋体" w:eastAsia="宋体"/>
                <w:b w:val="false"/>
              </w:rPr>
              <w:t>91.90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709,780,444.73</w:t>
            </w:r>
          </w:p>
        </w:tc>
        <w:tc>
          <w:tcPr>
            <w:tcW/>
            <w:vAlign w:val="center"/>
          </w:tcPr>
          <w:p>
            <w:pPr>
              <w:spacing w:line="240" w:lineRule="auto"/>
              <w:jc w:val="right"/>
            </w:pPr>
            <w:r>
              <w:rPr>
                <w:rFonts w:ascii="宋体" w:hAnsi="宋体" w:cs="宋体" w:eastAsia="宋体"/>
                <w:b w:val="false"/>
              </w:rPr>
              <w:t>91.90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43,039,994.52</w:t>
            </w:r>
          </w:p>
        </w:tc>
        <w:tc>
          <w:tcPr>
            <w:tcW/>
            <w:vAlign w:val="center"/>
          </w:tcPr>
          <w:p>
            <w:pPr>
              <w:spacing w:line="240" w:lineRule="auto"/>
              <w:jc w:val="right"/>
            </w:pPr>
            <w:r>
              <w:rPr>
                <w:rFonts w:ascii="宋体" w:hAnsi="宋体" w:cs="宋体" w:eastAsia="宋体"/>
                <w:b w:val="false"/>
              </w:rPr>
              <w:t>5.57</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43,039,994.52</w:t>
            </w:r>
          </w:p>
        </w:tc>
        <w:tc>
          <w:tcPr>
            <w:tcW/>
            <w:vAlign w:val="center"/>
          </w:tcPr>
          <w:p>
            <w:pPr>
              <w:spacing w:line="240" w:lineRule="auto"/>
              <w:jc w:val="right"/>
            </w:pPr>
            <w:r>
              <w:rPr>
                <w:rFonts w:ascii="宋体" w:hAnsi="宋体" w:cs="宋体" w:eastAsia="宋体"/>
                <w:b w:val="false"/>
              </w:rPr>
              <w:t>5.57</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19,453,433.72</w:t>
            </w:r>
          </w:p>
        </w:tc>
        <w:tc>
          <w:tcPr>
            <w:tcW/>
            <w:vAlign w:val="center"/>
          </w:tcPr>
          <w:p>
            <w:pPr>
              <w:spacing w:line="240" w:lineRule="auto"/>
              <w:jc w:val="right"/>
            </w:pPr>
            <w:r>
              <w:rPr>
                <w:rFonts w:ascii="宋体" w:hAnsi="宋体" w:cs="宋体" w:eastAsia="宋体"/>
                <w:b w:val="false"/>
              </w:rPr>
              <w:t>2.52</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54,724.86</w:t>
            </w:r>
          </w:p>
        </w:tc>
        <w:tc>
          <w:tcPr>
            <w:tcW/>
            <w:vAlign w:val="center"/>
          </w:tcPr>
          <w:p>
            <w:pPr>
              <w:spacing w:line="240" w:lineRule="auto"/>
              <w:jc w:val="right"/>
            </w:pPr>
            <w:r>
              <w:rPr>
                <w:rFonts w:ascii="宋体" w:hAnsi="宋体" w:cs="宋体" w:eastAsia="宋体"/>
                <w:b w:val="false"/>
              </w:rPr>
              <w:t>0.01</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772,328,597.83</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707,198,701.37</w:t>
            </w:r>
          </w:p>
        </w:tc>
        <w:tc>
          <w:tcPr>
            <w:tcW/>
          </w:tcPr>
          <w:p>
            <w:pPr>
              <w:spacing w:line="240" w:lineRule="auto"/>
              <w:jc w:val="right"/>
            </w:pPr>
            <w:r>
              <w:rPr>
                <w:rFonts w:ascii="宋体" w:hAnsi="宋体" w:cs="宋体" w:eastAsia="宋体"/>
                <w:b w:val="false"/>
              </w:rPr>
              <w:t>91.83</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2,244.00</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14,499.36</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2,565,000.00</w:t>
            </w:r>
          </w:p>
        </w:tc>
        <w:tc>
          <w:tcPr>
            <w:tcW/>
          </w:tcPr>
          <w:p>
            <w:pPr>
              <w:spacing w:line="240" w:lineRule="auto"/>
              <w:jc w:val="right"/>
            </w:pPr>
            <w:r>
              <w:rPr>
                <w:rFonts w:ascii="宋体" w:hAnsi="宋体" w:cs="宋体" w:eastAsia="宋体"/>
                <w:b w:val="false"/>
              </w:rPr>
              <w:t>0.33</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709,780,444.73</w:t>
            </w:r>
          </w:p>
        </w:tc>
        <w:tc>
          <w:tcPr>
            <w:tcW/>
          </w:tcPr>
          <w:p>
            <w:pPr>
              <w:spacing w:line="240" w:lineRule="auto"/>
              <w:jc w:val="right"/>
            </w:pPr>
            <w:r>
              <w:rPr>
                <w:rFonts w:ascii="宋体" w:hAnsi="宋体" w:cs="宋体" w:eastAsia="宋体"/>
                <w:b w:val="false"/>
              </w:rPr>
              <w:t>92.16</w:t>
            </w:r>
          </w:p>
        </w:tc>
      </w:tr>
    </w:tbl>
    <w:p>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000807</w:t>
            </w:r>
          </w:p>
        </w:tc>
        <w:tc>
          <w:tcPr>
            <w:tcW/>
          </w:tcPr>
          <w:p>
            <w:pPr>
              <w:spacing w:line="240" w:lineRule="auto"/>
              <w:jc w:val="left"/>
            </w:pPr>
            <w:r>
              <w:rPr>
                <w:rFonts w:ascii="宋体" w:hAnsi="宋体" w:cs="宋体" w:eastAsia="宋体"/>
                <w:b w:val="false"/>
              </w:rPr>
              <w:t>云铝股份</w:t>
            </w:r>
          </w:p>
        </w:tc>
        <w:tc>
          <w:tcPr>
            <w:tcW/>
          </w:tcPr>
          <w:p>
            <w:pPr>
              <w:spacing w:line="240" w:lineRule="auto"/>
              <w:jc w:val="right"/>
            </w:pPr>
            <w:r>
              <w:rPr>
                <w:rFonts w:ascii="宋体" w:hAnsi="宋体" w:cs="宋体" w:eastAsia="宋体"/>
                <w:b w:val="false"/>
              </w:rPr>
              <w:t>4,715,000</w:t>
            </w:r>
          </w:p>
        </w:tc>
        <w:tc>
          <w:tcPr>
            <w:tcW/>
          </w:tcPr>
          <w:p>
            <w:pPr>
              <w:spacing w:line="240" w:lineRule="auto"/>
              <w:jc w:val="right"/>
            </w:pPr>
            <w:r>
              <w:rPr>
                <w:rFonts w:ascii="宋体" w:hAnsi="宋体" w:cs="宋体" w:eastAsia="宋体"/>
                <w:b w:val="false"/>
              </w:rPr>
              <w:t>75,345,700.00</w:t>
            </w:r>
          </w:p>
        </w:tc>
        <w:tc>
          <w:tcPr>
            <w:tcW/>
          </w:tcPr>
          <w:p>
            <w:pPr>
              <w:spacing w:line="240" w:lineRule="auto"/>
              <w:jc w:val="right"/>
            </w:pPr>
            <w:r>
              <w:rPr>
                <w:rFonts w:ascii="宋体" w:hAnsi="宋体" w:cs="宋体" w:eastAsia="宋体"/>
                <w:b w:val="false"/>
              </w:rPr>
              <w:t>9.78</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002223</w:t>
            </w:r>
          </w:p>
        </w:tc>
        <w:tc>
          <w:tcPr>
            <w:tcW/>
          </w:tcPr>
          <w:p>
            <w:pPr>
              <w:spacing w:line="240" w:lineRule="auto"/>
              <w:jc w:val="left"/>
            </w:pPr>
            <w:r>
              <w:rPr>
                <w:rFonts w:ascii="宋体" w:hAnsi="宋体" w:cs="宋体" w:eastAsia="宋体"/>
                <w:b w:val="false"/>
              </w:rPr>
              <w:t>鱼跃医疗</w:t>
            </w:r>
          </w:p>
        </w:tc>
        <w:tc>
          <w:tcPr>
            <w:tcW/>
          </w:tcPr>
          <w:p>
            <w:pPr>
              <w:spacing w:line="240" w:lineRule="auto"/>
              <w:jc w:val="right"/>
            </w:pPr>
            <w:r>
              <w:rPr>
                <w:rFonts w:ascii="宋体" w:hAnsi="宋体" w:cs="宋体" w:eastAsia="宋体"/>
                <w:b w:val="false"/>
              </w:rPr>
              <w:t>2,085,000</w:t>
            </w:r>
          </w:p>
        </w:tc>
        <w:tc>
          <w:tcPr>
            <w:tcW/>
          </w:tcPr>
          <w:p>
            <w:pPr>
              <w:spacing w:line="240" w:lineRule="auto"/>
              <w:jc w:val="right"/>
            </w:pPr>
            <w:r>
              <w:rPr>
                <w:rFonts w:ascii="宋体" w:hAnsi="宋体" w:cs="宋体" w:eastAsia="宋体"/>
                <w:b w:val="false"/>
              </w:rPr>
              <w:t>74,226,000.00</w:t>
            </w:r>
          </w:p>
        </w:tc>
        <w:tc>
          <w:tcPr>
            <w:tcW/>
          </w:tcPr>
          <w:p>
            <w:pPr>
              <w:spacing w:line="240" w:lineRule="auto"/>
              <w:jc w:val="right"/>
            </w:pPr>
            <w:r>
              <w:rPr>
                <w:rFonts w:ascii="宋体" w:hAnsi="宋体" w:cs="宋体" w:eastAsia="宋体"/>
                <w:b w:val="false"/>
              </w:rPr>
              <w:t>9.64</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002594</w:t>
            </w:r>
          </w:p>
        </w:tc>
        <w:tc>
          <w:tcPr>
            <w:tcW/>
          </w:tcPr>
          <w:p>
            <w:pPr>
              <w:spacing w:line="240" w:lineRule="auto"/>
              <w:jc w:val="left"/>
            </w:pPr>
            <w:r>
              <w:rPr>
                <w:rFonts w:ascii="宋体" w:hAnsi="宋体" w:cs="宋体" w:eastAsia="宋体"/>
                <w:b w:val="false"/>
              </w:rPr>
              <w:t>比亚迪</w:t>
            </w:r>
          </w:p>
        </w:tc>
        <w:tc>
          <w:tcPr>
            <w:tcW/>
          </w:tcPr>
          <w:p>
            <w:pPr>
              <w:spacing w:line="240" w:lineRule="auto"/>
              <w:jc w:val="right"/>
            </w:pPr>
            <w:r>
              <w:rPr>
                <w:rFonts w:ascii="宋体" w:hAnsi="宋体" w:cs="宋体" w:eastAsia="宋体"/>
                <w:b w:val="false"/>
              </w:rPr>
              <w:t>212,000</w:t>
            </w:r>
          </w:p>
        </w:tc>
        <w:tc>
          <w:tcPr>
            <w:tcW/>
          </w:tcPr>
          <w:p>
            <w:pPr>
              <w:spacing w:line="240" w:lineRule="auto"/>
              <w:jc w:val="right"/>
            </w:pPr>
            <w:r>
              <w:rPr>
                <w:rFonts w:ascii="宋体" w:hAnsi="宋体" w:cs="宋体" w:eastAsia="宋体"/>
                <w:b w:val="false"/>
              </w:rPr>
              <w:t>70,364,920.00</w:t>
            </w:r>
          </w:p>
        </w:tc>
        <w:tc>
          <w:tcPr>
            <w:tcW/>
          </w:tcPr>
          <w:p>
            <w:pPr>
              <w:spacing w:line="240" w:lineRule="auto"/>
              <w:jc w:val="right"/>
            </w:pPr>
            <w:r>
              <w:rPr>
                <w:rFonts w:ascii="宋体" w:hAnsi="宋体" w:cs="宋体" w:eastAsia="宋体"/>
                <w:b w:val="false"/>
              </w:rPr>
              <w:t>9.14</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000333</w:t>
            </w:r>
          </w:p>
        </w:tc>
        <w:tc>
          <w:tcPr>
            <w:tcW/>
          </w:tcPr>
          <w:p>
            <w:pPr>
              <w:spacing w:line="240" w:lineRule="auto"/>
              <w:jc w:val="left"/>
            </w:pPr>
            <w:r>
              <w:rPr>
                <w:rFonts w:ascii="宋体" w:hAnsi="宋体" w:cs="宋体" w:eastAsia="宋体"/>
                <w:b w:val="false"/>
              </w:rPr>
              <w:t>美的集团</w:t>
            </w:r>
          </w:p>
        </w:tc>
        <w:tc>
          <w:tcPr>
            <w:tcW/>
          </w:tcPr>
          <w:p>
            <w:pPr>
              <w:spacing w:line="240" w:lineRule="auto"/>
              <w:jc w:val="right"/>
            </w:pPr>
            <w:r>
              <w:rPr>
                <w:rFonts w:ascii="宋体" w:hAnsi="宋体" w:cs="宋体" w:eastAsia="宋体"/>
                <w:b w:val="false"/>
              </w:rPr>
              <w:t>970,000</w:t>
            </w:r>
          </w:p>
        </w:tc>
        <w:tc>
          <w:tcPr>
            <w:tcW/>
          </w:tcPr>
          <w:p>
            <w:pPr>
              <w:spacing w:line="240" w:lineRule="auto"/>
              <w:jc w:val="right"/>
            </w:pPr>
            <w:r>
              <w:rPr>
                <w:rFonts w:ascii="宋体" w:hAnsi="宋体" w:cs="宋体" w:eastAsia="宋体"/>
                <w:b w:val="false"/>
              </w:rPr>
              <w:t>70,034,000.00</w:t>
            </w:r>
          </w:p>
        </w:tc>
        <w:tc>
          <w:tcPr>
            <w:tcW/>
          </w:tcPr>
          <w:p>
            <w:pPr>
              <w:spacing w:line="240" w:lineRule="auto"/>
              <w:jc w:val="right"/>
            </w:pPr>
            <w:r>
              <w:rPr>
                <w:rFonts w:ascii="宋体" w:hAnsi="宋体" w:cs="宋体" w:eastAsia="宋体"/>
                <w:b w:val="false"/>
              </w:rPr>
              <w:t>9.09</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002043</w:t>
            </w:r>
          </w:p>
        </w:tc>
        <w:tc>
          <w:tcPr>
            <w:tcW/>
          </w:tcPr>
          <w:p>
            <w:pPr>
              <w:spacing w:line="240" w:lineRule="auto"/>
              <w:jc w:val="left"/>
            </w:pPr>
            <w:r>
              <w:rPr>
                <w:rFonts w:ascii="宋体" w:hAnsi="宋体" w:cs="宋体" w:eastAsia="宋体"/>
                <w:b w:val="false"/>
              </w:rPr>
              <w:t>兔 宝 宝</w:t>
            </w:r>
          </w:p>
        </w:tc>
        <w:tc>
          <w:tcPr>
            <w:tcW/>
          </w:tcPr>
          <w:p>
            <w:pPr>
              <w:spacing w:line="240" w:lineRule="auto"/>
              <w:jc w:val="right"/>
            </w:pPr>
            <w:r>
              <w:rPr>
                <w:rFonts w:ascii="宋体" w:hAnsi="宋体" w:cs="宋体" w:eastAsia="宋体"/>
                <w:b w:val="false"/>
              </w:rPr>
              <w:t>7,114,317</w:t>
            </w:r>
          </w:p>
        </w:tc>
        <w:tc>
          <w:tcPr>
            <w:tcW/>
          </w:tcPr>
          <w:p>
            <w:pPr>
              <w:spacing w:line="240" w:lineRule="auto"/>
              <w:jc w:val="right"/>
            </w:pPr>
            <w:r>
              <w:rPr>
                <w:rFonts w:ascii="宋体" w:hAnsi="宋体" w:cs="宋体" w:eastAsia="宋体"/>
                <w:b w:val="false"/>
              </w:rPr>
              <w:t>69,720,306.60</w:t>
            </w:r>
          </w:p>
        </w:tc>
        <w:tc>
          <w:tcPr>
            <w:tcW/>
          </w:tcPr>
          <w:p>
            <w:pPr>
              <w:spacing w:line="240" w:lineRule="auto"/>
              <w:jc w:val="right"/>
            </w:pPr>
            <w:r>
              <w:rPr>
                <w:rFonts w:ascii="宋体" w:hAnsi="宋体" w:cs="宋体" w:eastAsia="宋体"/>
                <w:b w:val="false"/>
              </w:rPr>
              <w:t>9.05</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603605</w:t>
            </w:r>
          </w:p>
        </w:tc>
        <w:tc>
          <w:tcPr>
            <w:tcW/>
          </w:tcPr>
          <w:p>
            <w:pPr>
              <w:spacing w:line="240" w:lineRule="auto"/>
              <w:jc w:val="left"/>
            </w:pPr>
            <w:r>
              <w:rPr>
                <w:rFonts w:ascii="宋体" w:hAnsi="宋体" w:cs="宋体" w:eastAsia="宋体"/>
                <w:b w:val="false"/>
              </w:rPr>
              <w:t>珀莱雅</w:t>
            </w:r>
          </w:p>
        </w:tc>
        <w:tc>
          <w:tcPr>
            <w:tcW/>
          </w:tcPr>
          <w:p>
            <w:pPr>
              <w:spacing w:line="240" w:lineRule="auto"/>
              <w:jc w:val="right"/>
            </w:pPr>
            <w:r>
              <w:rPr>
                <w:rFonts w:ascii="宋体" w:hAnsi="宋体" w:cs="宋体" w:eastAsia="宋体"/>
                <w:b w:val="false"/>
              </w:rPr>
              <w:t>831,967</w:t>
            </w:r>
          </w:p>
        </w:tc>
        <w:tc>
          <w:tcPr>
            <w:tcW/>
          </w:tcPr>
          <w:p>
            <w:pPr>
              <w:spacing w:line="240" w:lineRule="auto"/>
              <w:jc w:val="right"/>
            </w:pPr>
            <w:r>
              <w:rPr>
                <w:rFonts w:ascii="宋体" w:hAnsi="宋体" w:cs="宋体" w:eastAsia="宋体"/>
                <w:b w:val="false"/>
              </w:rPr>
              <w:t>68,878,547.93</w:t>
            </w:r>
          </w:p>
        </w:tc>
        <w:tc>
          <w:tcPr>
            <w:tcW/>
          </w:tcPr>
          <w:p>
            <w:pPr>
              <w:spacing w:line="240" w:lineRule="auto"/>
              <w:jc w:val="right"/>
            </w:pPr>
            <w:r>
              <w:rPr>
                <w:rFonts w:ascii="宋体" w:hAnsi="宋体" w:cs="宋体" w:eastAsia="宋体"/>
                <w:b w:val="false"/>
              </w:rPr>
              <w:t>8.94</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600309</w:t>
            </w:r>
          </w:p>
        </w:tc>
        <w:tc>
          <w:tcPr>
            <w:tcW/>
          </w:tcPr>
          <w:p>
            <w:pPr>
              <w:spacing w:line="240" w:lineRule="auto"/>
              <w:jc w:val="left"/>
            </w:pPr>
            <w:r>
              <w:rPr>
                <w:rFonts w:ascii="宋体" w:hAnsi="宋体" w:cs="宋体" w:eastAsia="宋体"/>
                <w:b w:val="false"/>
              </w:rPr>
              <w:t>万华化学</w:t>
            </w:r>
          </w:p>
        </w:tc>
        <w:tc>
          <w:tcPr>
            <w:tcW/>
          </w:tcPr>
          <w:p>
            <w:pPr>
              <w:spacing w:line="240" w:lineRule="auto"/>
              <w:jc w:val="right"/>
            </w:pPr>
            <w:r>
              <w:rPr>
                <w:rFonts w:ascii="宋体" w:hAnsi="宋体" w:cs="宋体" w:eastAsia="宋体"/>
                <w:b w:val="false"/>
              </w:rPr>
              <w:t>1,264,000</w:t>
            </w:r>
          </w:p>
        </w:tc>
        <w:tc>
          <w:tcPr>
            <w:tcW/>
          </w:tcPr>
          <w:p>
            <w:pPr>
              <w:spacing w:line="240" w:lineRule="auto"/>
              <w:jc w:val="right"/>
            </w:pPr>
            <w:r>
              <w:rPr>
                <w:rFonts w:ascii="宋体" w:hAnsi="宋体" w:cs="宋体" w:eastAsia="宋体"/>
                <w:b w:val="false"/>
              </w:rPr>
              <w:t>68,584,640.00</w:t>
            </w:r>
          </w:p>
        </w:tc>
        <w:tc>
          <w:tcPr>
            <w:tcW/>
          </w:tcPr>
          <w:p>
            <w:pPr>
              <w:spacing w:line="240" w:lineRule="auto"/>
              <w:jc w:val="right"/>
            </w:pPr>
            <w:r>
              <w:rPr>
                <w:rFonts w:ascii="宋体" w:hAnsi="宋体" w:cs="宋体" w:eastAsia="宋体"/>
                <w:b w:val="false"/>
              </w:rPr>
              <w:t>8.91</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600690</w:t>
            </w:r>
          </w:p>
        </w:tc>
        <w:tc>
          <w:tcPr>
            <w:tcW/>
          </w:tcPr>
          <w:p>
            <w:pPr>
              <w:spacing w:line="240" w:lineRule="auto"/>
              <w:jc w:val="left"/>
            </w:pPr>
            <w:r>
              <w:rPr>
                <w:rFonts w:ascii="宋体" w:hAnsi="宋体" w:cs="宋体" w:eastAsia="宋体"/>
                <w:b w:val="false"/>
              </w:rPr>
              <w:t>海尔智家</w:t>
            </w:r>
          </w:p>
        </w:tc>
        <w:tc>
          <w:tcPr>
            <w:tcW/>
          </w:tcPr>
          <w:p>
            <w:pPr>
              <w:spacing w:line="240" w:lineRule="auto"/>
              <w:jc w:val="right"/>
            </w:pPr>
            <w:r>
              <w:rPr>
                <w:rFonts w:ascii="宋体" w:hAnsi="宋体" w:cs="宋体" w:eastAsia="宋体"/>
                <w:b w:val="false"/>
              </w:rPr>
              <w:t>2,750,000</w:t>
            </w:r>
          </w:p>
        </w:tc>
        <w:tc>
          <w:tcPr>
            <w:tcW/>
          </w:tcPr>
          <w:p>
            <w:pPr>
              <w:spacing w:line="240" w:lineRule="auto"/>
              <w:jc w:val="right"/>
            </w:pPr>
            <w:r>
              <w:rPr>
                <w:rFonts w:ascii="宋体" w:hAnsi="宋体" w:cs="宋体" w:eastAsia="宋体"/>
                <w:b w:val="false"/>
              </w:rPr>
              <w:t>68,145,000.00</w:t>
            </w:r>
          </w:p>
        </w:tc>
        <w:tc>
          <w:tcPr>
            <w:tcW/>
          </w:tcPr>
          <w:p>
            <w:pPr>
              <w:spacing w:line="240" w:lineRule="auto"/>
              <w:jc w:val="right"/>
            </w:pPr>
            <w:r>
              <w:rPr>
                <w:rFonts w:ascii="宋体" w:hAnsi="宋体" w:cs="宋体" w:eastAsia="宋体"/>
                <w:b w:val="false"/>
              </w:rPr>
              <w:t>8.85</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002833</w:t>
            </w:r>
          </w:p>
        </w:tc>
        <w:tc>
          <w:tcPr>
            <w:tcW/>
          </w:tcPr>
          <w:p>
            <w:pPr>
              <w:spacing w:line="240" w:lineRule="auto"/>
              <w:jc w:val="left"/>
            </w:pPr>
            <w:r>
              <w:rPr>
                <w:rFonts w:ascii="宋体" w:hAnsi="宋体" w:cs="宋体" w:eastAsia="宋体"/>
                <w:b w:val="false"/>
              </w:rPr>
              <w:t>弘亚数控</w:t>
            </w:r>
          </w:p>
        </w:tc>
        <w:tc>
          <w:tcPr>
            <w:tcW/>
          </w:tcPr>
          <w:p>
            <w:pPr>
              <w:spacing w:line="240" w:lineRule="auto"/>
              <w:jc w:val="right"/>
            </w:pPr>
            <w:r>
              <w:rPr>
                <w:rFonts w:ascii="宋体" w:hAnsi="宋体" w:cs="宋体" w:eastAsia="宋体"/>
                <w:b w:val="false"/>
              </w:rPr>
              <w:t>3,529,700</w:t>
            </w:r>
          </w:p>
        </w:tc>
        <w:tc>
          <w:tcPr>
            <w:tcW/>
          </w:tcPr>
          <w:p>
            <w:pPr>
              <w:spacing w:line="240" w:lineRule="auto"/>
              <w:jc w:val="right"/>
            </w:pPr>
            <w:r>
              <w:rPr>
                <w:rFonts w:ascii="宋体" w:hAnsi="宋体" w:cs="宋体" w:eastAsia="宋体"/>
                <w:b w:val="false"/>
              </w:rPr>
              <w:t>57,745,892.00</w:t>
            </w:r>
          </w:p>
        </w:tc>
        <w:tc>
          <w:tcPr>
            <w:tcW/>
          </w:tcPr>
          <w:p>
            <w:pPr>
              <w:spacing w:line="240" w:lineRule="auto"/>
              <w:jc w:val="right"/>
            </w:pPr>
            <w:r>
              <w:rPr>
                <w:rFonts w:ascii="宋体" w:hAnsi="宋体" w:cs="宋体" w:eastAsia="宋体"/>
                <w:b w:val="false"/>
              </w:rPr>
              <w:t>7.50</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600563</w:t>
            </w:r>
          </w:p>
        </w:tc>
        <w:tc>
          <w:tcPr>
            <w:tcW/>
          </w:tcPr>
          <w:p>
            <w:pPr>
              <w:spacing w:line="240" w:lineRule="auto"/>
              <w:jc w:val="left"/>
            </w:pPr>
            <w:r>
              <w:rPr>
                <w:rFonts w:ascii="宋体" w:hAnsi="宋体" w:cs="宋体" w:eastAsia="宋体"/>
                <w:b w:val="false"/>
              </w:rPr>
              <w:t>法拉电子</w:t>
            </w:r>
          </w:p>
        </w:tc>
        <w:tc>
          <w:tcPr>
            <w:tcW/>
          </w:tcPr>
          <w:p>
            <w:pPr>
              <w:spacing w:line="240" w:lineRule="auto"/>
              <w:jc w:val="right"/>
            </w:pPr>
            <w:r>
              <w:rPr>
                <w:rFonts w:ascii="宋体" w:hAnsi="宋体" w:cs="宋体" w:eastAsia="宋体"/>
                <w:b w:val="false"/>
              </w:rPr>
              <w:t>439,994</w:t>
            </w:r>
          </w:p>
        </w:tc>
        <w:tc>
          <w:tcPr>
            <w:tcW/>
          </w:tcPr>
          <w:p>
            <w:pPr>
              <w:spacing w:line="240" w:lineRule="auto"/>
              <w:jc w:val="right"/>
            </w:pPr>
            <w:r>
              <w:rPr>
                <w:rFonts w:ascii="宋体" w:hAnsi="宋体" w:cs="宋体" w:eastAsia="宋体"/>
                <w:b w:val="false"/>
              </w:rPr>
              <w:t>47,998,945.46</w:t>
            </w:r>
          </w:p>
        </w:tc>
        <w:tc>
          <w:tcPr>
            <w:tcW/>
          </w:tcPr>
          <w:p>
            <w:pPr>
              <w:spacing w:line="240" w:lineRule="auto"/>
              <w:jc w:val="right"/>
            </w:pPr>
            <w:r>
              <w:rPr>
                <w:rFonts w:ascii="宋体" w:hAnsi="宋体" w:cs="宋体" w:eastAsia="宋体"/>
                <w:b w:val="false"/>
              </w:rPr>
              <w:t>6.23</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43,039,994.52</w:t>
            </w:r>
          </w:p>
        </w:tc>
        <w:tc>
          <w:tcPr>
            <w:tcW/>
          </w:tcPr>
          <w:p>
            <w:pPr>
              <w:spacing w:line="240" w:lineRule="auto"/>
              <w:jc w:val="right"/>
            </w:pPr>
            <w:r>
              <w:rPr>
                <w:rFonts w:ascii="宋体" w:hAnsi="宋体" w:cs="宋体" w:eastAsia="宋体"/>
                <w:b w:val="false"/>
              </w:rPr>
              <w:t>5.59</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43,039,994.52</w:t>
            </w:r>
          </w:p>
        </w:tc>
        <w:tc>
          <w:tcPr>
            <w:tcW/>
          </w:tcPr>
          <w:p>
            <w:pPr>
              <w:spacing w:line="240" w:lineRule="auto"/>
              <w:jc w:val="right"/>
            </w:pPr>
            <w:r>
              <w:rPr>
                <w:rFonts w:ascii="宋体" w:hAnsi="宋体" w:cs="宋体" w:eastAsia="宋体"/>
                <w:b w:val="false"/>
              </w:rPr>
              <w:t>5.59</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019749</w:t>
            </w:r>
          </w:p>
        </w:tc>
        <w:tc>
          <w:tcPr>
            <w:tcW/>
          </w:tcPr>
          <w:p>
            <w:pPr>
              <w:spacing w:line="240" w:lineRule="auto"/>
              <w:jc w:val="left"/>
            </w:pPr>
            <w:r>
              <w:rPr>
                <w:rFonts w:ascii="宋体" w:hAnsi="宋体" w:cs="宋体" w:eastAsia="宋体"/>
                <w:b w:val="false"/>
              </w:rPr>
              <w:t>24国债15</w:t>
            </w:r>
          </w:p>
        </w:tc>
        <w:tc>
          <w:tcPr>
            <w:tcW/>
          </w:tcPr>
          <w:p>
            <w:pPr>
              <w:spacing w:line="240" w:lineRule="auto"/>
              <w:jc w:val="right"/>
            </w:pPr>
            <w:r>
              <w:rPr>
                <w:rFonts w:ascii="宋体" w:hAnsi="宋体" w:cs="宋体" w:eastAsia="宋体"/>
                <w:b w:val="false"/>
              </w:rPr>
              <w:t>425,000</w:t>
            </w:r>
          </w:p>
        </w:tc>
        <w:tc>
          <w:tcPr>
            <w:tcW/>
          </w:tcPr>
          <w:p>
            <w:pPr>
              <w:spacing w:line="240" w:lineRule="auto"/>
              <w:jc w:val="right"/>
            </w:pPr>
            <w:r>
              <w:rPr>
                <w:rFonts w:ascii="宋体" w:hAnsi="宋体" w:cs="宋体" w:eastAsia="宋体"/>
                <w:b w:val="false"/>
              </w:rPr>
              <w:t>43,039,994.52</w:t>
            </w:r>
          </w:p>
        </w:tc>
        <w:tc>
          <w:tcPr>
            <w:tcW/>
          </w:tcPr>
          <w:p>
            <w:pPr>
              <w:spacing w:line="240" w:lineRule="auto"/>
              <w:jc w:val="right"/>
            </w:pPr>
            <w:r>
              <w:rPr>
                <w:rFonts w:ascii="宋体" w:hAnsi="宋体" w:cs="宋体" w:eastAsia="宋体"/>
                <w:b w:val="false"/>
              </w:rPr>
              <w:t>5.59</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cr/>
      </w:r>
      <w:r>
        <w:rPr>
          <w:rFonts w:ascii="宋体" w:hAnsi="宋体" w:cs="宋体" w:eastAsia="宋体"/>
          <w:b w:val="false"/>
        </w:rPr>
        <w:t xml:space="preserve">    </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cr/>
      </w:r>
      <w:r>
        <w:rPr>
          <w:rFonts w:ascii="宋体" w:hAnsi="宋体" w:cs="宋体" w:eastAsia="宋体"/>
          <w:b w:val="false"/>
        </w:rPr>
        <w:t xml:space="preserve">    </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cr/>
      </w:r>
      <w:r>
        <w:rPr>
          <w:rFonts w:ascii="宋体" w:hAnsi="宋体" w:cs="宋体" w:eastAsia="宋体"/>
          <w:b w:val="false"/>
        </w:rPr>
        <w:t xml:space="preserve">    </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54,724.86</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54,724.86</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cr/>
      </w:r>
      <w:r>
        <w:rPr>
          <w:rFonts w:ascii="宋体" w:hAnsi="宋体" w:cs="宋体" w:eastAsia="宋体"/>
          <w:b w:val="false"/>
        </w:rPr>
        <w:t xml:space="preserve">    </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东方阿尔法产业先锋混合A</w:t>
            </w:r>
          </w:p>
        </w:tc>
        <w:tc>
          <w:tcPr>
            <w:tcW w:type="pct" w:w="1300"/>
            <w:vAlign w:val="center"/>
          </w:tcPr>
          <w:p>
            <w:pPr>
              <w:spacing w:line="240" w:lineRule="auto"/>
              <w:jc w:val="center"/>
            </w:pPr>
            <w:r>
              <w:rPr>
                <w:rFonts w:ascii="宋体" w:hAnsi="宋体" w:cs="宋体" w:eastAsia="宋体"/>
                <w:b w:val="false"/>
              </w:rPr>
              <w:t>东方阿尔法产业先锋混合C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1,437,796,039.55</w:t>
            </w:r>
          </w:p>
        </w:tc>
        <w:tc>
          <w:tcPr>
            <w:tcW w:type="pct" w:w="1300"/>
            <w:vAlign w:val="center"/>
          </w:tcPr>
          <w:p>
            <w:pPr>
              <w:spacing w:line="240" w:lineRule="auto"/>
              <w:jc w:val="right"/>
            </w:pPr>
            <w:r>
              <w:rPr>
                <w:rFonts w:ascii="宋体" w:hAnsi="宋体" w:cs="宋体" w:eastAsia="宋体"/>
                <w:b w:val="false"/>
              </w:rPr>
              <w:t>442,311,059.52</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2,728,858.40</w:t>
            </w:r>
          </w:p>
        </w:tc>
        <w:tc>
          <w:tcPr>
            <w:tcW w:type="pct" w:w="1300"/>
            <w:vAlign w:val="center"/>
          </w:tcPr>
          <w:p>
            <w:pPr>
              <w:spacing w:line="240" w:lineRule="auto"/>
              <w:jc w:val="right"/>
            </w:pPr>
            <w:r>
              <w:rPr>
                <w:rFonts w:ascii="宋体" w:hAnsi="宋体" w:cs="宋体" w:eastAsia="宋体"/>
                <w:b w:val="false"/>
              </w:rPr>
              <w:t>7,137,809.53</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124,532,784.47</w:t>
            </w:r>
          </w:p>
        </w:tc>
        <w:tc>
          <w:tcPr>
            <w:tcW w:type="pct" w:w="1300"/>
            <w:vAlign w:val="center"/>
          </w:tcPr>
          <w:p>
            <w:pPr>
              <w:spacing w:line="240" w:lineRule="auto"/>
              <w:jc w:val="right"/>
            </w:pPr>
            <w:r>
              <w:rPr>
                <w:rFonts w:ascii="宋体" w:hAnsi="宋体" w:cs="宋体" w:eastAsia="宋体"/>
                <w:b w:val="false"/>
              </w:rPr>
              <w:t>37,094,099.73</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1,315,992,113.48</w:t>
            </w:r>
          </w:p>
        </w:tc>
        <w:tc>
          <w:tcPr>
            <w:tcW w:type="pct" w:w="1300"/>
            <w:vAlign w:val="center"/>
          </w:tcPr>
          <w:p>
            <w:pPr>
              <w:spacing w:line="240" w:lineRule="auto"/>
              <w:jc w:val="right"/>
            </w:pPr>
            <w:r>
              <w:rPr>
                <w:rFonts w:ascii="宋体" w:hAnsi="宋体" w:cs="宋体" w:eastAsia="宋体"/>
                <w:b w:val="false"/>
              </w:rPr>
              <w:t>412,354,769.32</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2021年07月21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1、中国证券监督管理委员会批准的东方阿尔法产业先锋混合型发起式证券投资基金设立的文件；</w:t>
        <w:cr/>
      </w:r>
      <w:r>
        <w:rPr>
          <w:rFonts w:ascii="宋体" w:hAnsi="宋体" w:cs="宋体" w:eastAsia="宋体"/>
          <w:b w:val="false"/>
        </w:rPr>
        <w:t xml:space="preserve">    2、《东方阿尔法产业先锋混合型发起式证券投资基金基金合同》；</w:t>
        <w:cr/>
      </w:r>
      <w:r>
        <w:rPr>
          <w:rFonts w:ascii="宋体" w:hAnsi="宋体" w:cs="宋体" w:eastAsia="宋体"/>
          <w:b w:val="false"/>
        </w:rPr>
        <w:t xml:space="preserve">    3、《东方阿尔法产业先锋混合型发起式证券投资基金托管协议》；</w:t>
        <w:cr/>
      </w:r>
      <w:r>
        <w:rPr>
          <w:rFonts w:ascii="宋体" w:hAnsi="宋体" w:cs="宋体" w:eastAsia="宋体"/>
          <w:b w:val="false"/>
        </w:rPr>
        <w:t xml:space="preserve">    4、《东方阿尔法产业先锋混合型发起式证券投资基金招募说明书》（含更新）；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二〇二五年七月十九日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东方阿尔法产业先锋混合型发起式证券投资基金2025年第2季度报告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