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东方阿尔法兴科一年持有期混合型证券投资基金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2025年第2季度报告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2025年06月30日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兴业银行股份有限公司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2025年07月19日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基金托管人兴业银行股份有限公司根据本基金合同规定，于2025年07月18日复核了本报告中的财务指标、净值表现和投资组合报告等内容，保证复核内容不存在虚假记载、误导性陈述或者重大遗漏。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本报告期自2025年04月01日起至2025年06月30日止。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东方阿尔法兴科一年持有混合</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015900</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契约型开放式。每个开放日开放申购，每笔申购/转换转入申请所得基金份额持有满一年后每个开放日开放赎回/转换转出。</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2022年09月28日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176,023,138.62份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本基金在有效控制组合风险并保持良好流动性的前提下，通过深入研究、优选个股、主动的投资管理方式力求实现组合资产的稳健增值。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本基金根据对宏观经济周期的分析研究，结合基本面、市场面、政策面等多种因素的综合考量，研判所处经济周期的位置及未来发展方向，以确定组合中股票、债券、货币市场工具及其他金融工具的比例。</w:t>
              <w:br/>
            </w:r>
            <w:r>
              <w:rPr>
                <w:rFonts w:ascii="宋体" w:hAnsi="宋体" w:cs="宋体" w:eastAsia="宋体"/>
                <w:b w:val="false"/>
              </w:rPr>
              <w:t>2、股票投资策略</w:t>
              <w:br/>
            </w:r>
            <w:r>
              <w:rPr>
                <w:rFonts w:ascii="宋体" w:hAnsi="宋体" w:cs="宋体" w:eastAsia="宋体"/>
                <w:b w:val="false"/>
              </w:rPr>
              <w:t>本基金股票投资策略为通过自上而下的选股模式，通过产业精选和个股研究相结合，优选成长期产业，把握景气周期上行阶段的投资机会，选择产业内在经营模式、市场格局、竞争壁垒、产能投放、研发投入、新业务拓展和公司治理等方面具有领先优势的优质上市公司。</w:t>
              <w:br/>
            </w:r>
            <w:r>
              <w:rPr>
                <w:rFonts w:ascii="宋体" w:hAnsi="宋体" w:cs="宋体" w:eastAsia="宋体"/>
                <w:b w:val="false"/>
              </w:rPr>
              <w:t>3、港股投资策略</w:t>
              <w:br/>
            </w:r>
            <w:r>
              <w:rPr>
                <w:rFonts w:ascii="宋体" w:hAnsi="宋体" w:cs="宋体" w:eastAsia="宋体"/>
                <w:b w:val="false"/>
              </w:rPr>
              <w:t>本基金可通过内地与香港股票市场交易互联互通机制投资于香港股票市场，不使用合格境内机构投资者(QDII)境外投资额度进行境外投资。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本基金在深入研究的基础上，通过定性分析和定量分析相结合的方式，可选择投资价值高的存托凭证进行投资。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本基金以套期保值为目的，在风险可控的前提下，参与股指期货的投资。本基金还将运用股指期货来管理特殊情况下的流动性风险，如预期大额申购赎回、大量分红等。</w:t>
              <w:br/>
            </w:r>
            <w:r>
              <w:rPr>
                <w:rFonts w:ascii="宋体" w:hAnsi="宋体" w:cs="宋体" w:eastAsia="宋体"/>
                <w:b w:val="false"/>
              </w:rPr>
              <w:t>8、融资业务的投资策略</w:t>
              <w:br/>
            </w:r>
            <w:r>
              <w:rPr>
                <w:rFonts w:ascii="宋体" w:hAnsi="宋体" w:cs="宋体" w:eastAsia="宋体"/>
                <w:b w:val="false"/>
              </w:rPr>
              <w:t>本基金参与融资业务，将综合考虑融资成本、保证金比例、冲抵保证金证券折算率、信用资质等条件选择合适的交易对手方。在保障基金投资组合充足流动性以及有效控制融资杠杆风险的前提下，确定融资比例。</w:t>
              <w:br/>
            </w:r>
            <w:r>
              <w:rPr>
                <w:rFonts w:ascii="宋体" w:hAnsi="宋体" w:cs="宋体" w:eastAsia="宋体"/>
                <w:b w:val="false"/>
              </w:rPr>
              <w:t>9、国债期货的投资策略</w:t>
              <w:br/>
            </w:r>
            <w:r>
              <w:rPr>
                <w:rFonts w:ascii="宋体" w:hAnsi="宋体" w:cs="宋体" w:eastAsia="宋体"/>
                <w:b w:val="false"/>
              </w:rPr>
              <w:t>本基金以套期保值为目的，以回避市场风险，通过动态管理国债期货合约数量，以萃取相应债券组合的超额收益。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中证800指数收益率×60%+中证综合债券指数收益率×20%+恒生指数收益率×20%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兴业银行股份有限公司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东方阿尔法兴科一年持有混合A</w:t>
            </w:r>
          </w:p>
        </w:tc>
        <w:tc>
          <w:tcPr>
            <w:tcW w:type="pct" w:w="1500"/>
          </w:tcPr>
          <w:p>
            <w:pPr>
              <w:spacing w:line="240" w:lineRule="auto"/>
              <w:jc w:val="left"/>
            </w:pPr>
            <w:r>
              <w:rPr>
                <w:rFonts w:ascii="宋体" w:hAnsi="宋体" w:cs="宋体" w:eastAsia="宋体"/>
                <w:b w:val="false"/>
              </w:rPr>
              <w:t>东方阿尔法兴科一年持有混合C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015900</w:t>
            </w:r>
          </w:p>
        </w:tc>
        <w:tc>
          <w:tcPr>
            <w:tcW w:type="pct" w:w="1500"/>
          </w:tcPr>
          <w:p>
            <w:pPr>
              <w:spacing w:line="240" w:lineRule="auto"/>
              <w:jc w:val="left"/>
            </w:pPr>
            <w:r>
              <w:rPr>
                <w:rFonts w:ascii="宋体" w:hAnsi="宋体" w:cs="宋体" w:eastAsia="宋体"/>
                <w:b w:val="false"/>
              </w:rPr>
              <w:t>015901</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145,271,137.53份</w:t>
            </w:r>
          </w:p>
        </w:tc>
        <w:tc>
          <w:tcPr>
            <w:tcW w:type="pct" w:w="1500"/>
          </w:tcPr>
          <w:p>
            <w:pPr>
              <w:spacing w:line="240" w:lineRule="auto"/>
              <w:jc w:val="left"/>
            </w:pPr>
            <w:r>
              <w:rPr>
                <w:rFonts w:ascii="宋体" w:hAnsi="宋体" w:cs="宋体" w:eastAsia="宋体"/>
                <w:b w:val="false"/>
              </w:rPr>
              <w:t>30,752,001.09份</w:t>
            </w:r>
          </w:p>
        </w:tc>
      </w:tr>
    </w:tbl>
    <w:p>
      <w:r>
        <w:rPr>
          <w:rFonts w:ascii="宋体" w:hAnsi="宋体" w:cs="宋体" w:eastAsia="宋体"/>
          <w:b w:val="false"/>
        </w:rPr>
        <w:t>注：本基金对每份基金份额设置一年的最短持有期限。</w:t>
        <w:cr/>
      </w:r>
      <w:r>
        <w:rPr>
          <w:rFonts w:ascii="宋体" w:hAnsi="宋体" w:cs="宋体" w:eastAsia="宋体"/>
          <w:b w:val="false"/>
        </w:rPr>
        <w:t>最短持有期限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cr/>
      </w:r>
      <w:r>
        <w:rPr>
          <w:rFonts w:ascii="宋体" w:hAnsi="宋体" w:cs="宋体" w:eastAsia="宋体"/>
          <w:b w:val="false"/>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报告期（2025年04月01日-2025年06月30日）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东方阿尔法兴科一年持有混合A</w:t>
            </w:r>
          </w:p>
        </w:tc>
        <w:tc>
          <w:tcPr>
            <w:tcW w:type="pct" w:w="1500"/>
          </w:tcPr>
          <w:tcPr>
            <w:shd w:fill="d9d9d9"/>
          </w:tcPr>
          <w:p>
            <w:pPr>
              <w:spacing w:line="240" w:lineRule="auto"/>
              <w:jc w:val="center"/>
            </w:pPr>
            <w:r>
              <w:rPr>
                <w:rFonts w:ascii="宋体" w:hAnsi="宋体" w:cs="宋体" w:eastAsia="宋体"/>
                <w:b w:val="false"/>
              </w:rPr>
              <w:t>东方阿尔法兴科一年持有混合C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2,505,977.74</w:t>
            </w:r>
          </w:p>
        </w:tc>
        <w:tc>
          <w:tcPr>
            <w:tcW w:type="pct" w:w="1500"/>
          </w:tcPr>
          <w:p>
            <w:pPr>
              <w:spacing w:line="240" w:lineRule="auto"/>
              <w:jc w:val="right"/>
            </w:pPr>
            <w:r>
              <w:rPr>
                <w:rFonts w:ascii="宋体" w:hAnsi="宋体" w:cs="宋体" w:eastAsia="宋体"/>
                <w:b w:val="false"/>
              </w:rPr>
              <w:t>471,654.89</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-5,589,759.86</w:t>
            </w:r>
          </w:p>
        </w:tc>
        <w:tc>
          <w:tcPr>
            <w:tcW w:type="pct" w:w="1500"/>
          </w:tcPr>
          <w:p>
            <w:pPr>
              <w:spacing w:line="240" w:lineRule="auto"/>
              <w:jc w:val="right"/>
            </w:pPr>
            <w:r>
              <w:rPr>
                <w:rFonts w:ascii="宋体" w:hAnsi="宋体" w:cs="宋体" w:eastAsia="宋体"/>
                <w:b w:val="false"/>
              </w:rPr>
              <w:t>-1,157,335.79</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-0.0363</w:t>
            </w:r>
          </w:p>
        </w:tc>
        <w:tc>
          <w:tcPr>
            <w:tcW w:type="pct" w:w="1500"/>
          </w:tcPr>
          <w:p>
            <w:pPr>
              <w:spacing w:line="240" w:lineRule="auto"/>
              <w:jc w:val="right"/>
            </w:pPr>
            <w:r>
              <w:rPr>
                <w:rFonts w:ascii="宋体" w:hAnsi="宋体" w:cs="宋体" w:eastAsia="宋体"/>
                <w:b w:val="false"/>
              </w:rPr>
              <w:t>-0.0367</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124,530,732.04</w:t>
            </w:r>
          </w:p>
        </w:tc>
        <w:tc>
          <w:tcPr>
            <w:tcW w:type="pct" w:w="1500"/>
          </w:tcPr>
          <w:p>
            <w:pPr>
              <w:spacing w:line="240" w:lineRule="auto"/>
              <w:jc w:val="right"/>
            </w:pPr>
            <w:r>
              <w:rPr>
                <w:rFonts w:ascii="宋体" w:hAnsi="宋体" w:cs="宋体" w:eastAsia="宋体"/>
                <w:b w:val="false"/>
              </w:rPr>
              <w:t>25,928,246.26</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0.8572</w:t>
            </w:r>
          </w:p>
        </w:tc>
        <w:tc>
          <w:tcPr>
            <w:tcW w:type="pct" w:w="1500"/>
          </w:tcPr>
          <w:p>
            <w:pPr>
              <w:spacing w:line="240" w:lineRule="auto"/>
              <w:jc w:val="right"/>
            </w:pPr>
            <w:r>
              <w:rPr>
                <w:rFonts w:ascii="宋体" w:hAnsi="宋体" w:cs="宋体" w:eastAsia="宋体"/>
                <w:b w:val="false"/>
              </w:rPr>
              <w:t>0.8431</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东方阿尔法兴科一年持有混合A净值表现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-3.94%</w:t>
            </w:r>
          </w:p>
        </w:tc>
        <w:tc>
          <w:tcPr>
            <w:tcW/>
            <w:vAlign w:val="center"/>
          </w:tcPr>
          <w:p>
            <w:pPr>
              <w:spacing w:line="240" w:lineRule="auto"/>
              <w:jc w:val="right"/>
            </w:pPr>
            <w:r>
              <w:rPr>
                <w:rFonts w:ascii="宋体" w:hAnsi="宋体" w:cs="宋体" w:eastAsia="宋体"/>
                <w:b w:val="false"/>
              </w:rPr>
              <w:t>1.47%</w:t>
            </w:r>
          </w:p>
        </w:tc>
        <w:tc>
          <w:tcPr>
            <w:tcW/>
            <w:vAlign w:val="center"/>
          </w:tcPr>
          <w:p>
            <w:pPr>
              <w:spacing w:line="240" w:lineRule="auto"/>
              <w:jc w:val="right"/>
            </w:pPr>
            <w:r>
              <w:rPr>
                <w:rFonts w:ascii="宋体" w:hAnsi="宋体" w:cs="宋体" w:eastAsia="宋体"/>
                <w:b w:val="false"/>
              </w:rPr>
              <w:t>1.81%</w:t>
            </w:r>
          </w:p>
        </w:tc>
        <w:tc>
          <w:tcPr>
            <w:tcW/>
            <w:vAlign w:val="center"/>
          </w:tcPr>
          <w:p>
            <w:pPr>
              <w:spacing w:line="240" w:lineRule="auto"/>
              <w:jc w:val="right"/>
            </w:pPr>
            <w:r>
              <w:rPr>
                <w:rFonts w:ascii="宋体" w:hAnsi="宋体" w:cs="宋体" w:eastAsia="宋体"/>
                <w:b w:val="false"/>
              </w:rPr>
              <w:t>1.09%</w:t>
            </w:r>
          </w:p>
        </w:tc>
        <w:tc>
          <w:tcPr>
            <w:tcW/>
            <w:vAlign w:val="center"/>
          </w:tcPr>
          <w:p>
            <w:pPr>
              <w:spacing w:line="240" w:lineRule="auto"/>
              <w:jc w:val="right"/>
            </w:pPr>
            <w:r>
              <w:rPr>
                <w:rFonts w:ascii="宋体" w:hAnsi="宋体" w:cs="宋体" w:eastAsia="宋体"/>
                <w:b w:val="false"/>
              </w:rPr>
              <w:t>-5.75%</w:t>
            </w:r>
          </w:p>
        </w:tc>
        <w:tc>
          <w:tcPr>
            <w:tcW/>
            <w:vAlign w:val="center"/>
          </w:tcPr>
          <w:p>
            <w:pPr>
              <w:spacing w:line="240" w:lineRule="auto"/>
              <w:jc w:val="right"/>
            </w:pPr>
            <w:r>
              <w:rPr>
                <w:rFonts w:ascii="宋体" w:hAnsi="宋体" w:cs="宋体" w:eastAsia="宋体"/>
                <w:b w:val="false"/>
              </w:rPr>
              <w:t>0.38%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1.27%</w:t>
            </w:r>
          </w:p>
        </w:tc>
        <w:tc>
          <w:tcPr>
            <w:tcW/>
            <w:vAlign w:val="center"/>
          </w:tcPr>
          <w:p>
            <w:pPr>
              <w:spacing w:line="240" w:lineRule="auto"/>
              <w:jc w:val="right"/>
            </w:pPr>
            <w:r>
              <w:rPr>
                <w:rFonts w:ascii="宋体" w:hAnsi="宋体" w:cs="宋体" w:eastAsia="宋体"/>
                <w:b w:val="false"/>
              </w:rPr>
              <w:t>4.46%</w:t>
            </w:r>
          </w:p>
        </w:tc>
        <w:tc>
          <w:tcPr>
            <w:tcW/>
            <w:vAlign w:val="center"/>
          </w:tcPr>
          <w:p>
            <w:pPr>
              <w:spacing w:line="240" w:lineRule="auto"/>
              <w:jc w:val="right"/>
            </w:pPr>
            <w:r>
              <w:rPr>
                <w:rFonts w:ascii="宋体" w:hAnsi="宋体" w:cs="宋体" w:eastAsia="宋体"/>
                <w:b w:val="false"/>
              </w:rPr>
              <w:t>0.97%</w:t>
            </w:r>
          </w:p>
        </w:tc>
        <w:tc>
          <w:tcPr>
            <w:tcW/>
            <w:vAlign w:val="center"/>
          </w:tcPr>
          <w:p>
            <w:pPr>
              <w:spacing w:line="240" w:lineRule="auto"/>
              <w:jc w:val="right"/>
            </w:pPr>
            <w:r>
              <w:rPr>
                <w:rFonts w:ascii="宋体" w:hAnsi="宋体" w:cs="宋体" w:eastAsia="宋体"/>
                <w:b w:val="false"/>
              </w:rPr>
              <w:t>-5.18%</w:t>
            </w:r>
          </w:p>
        </w:tc>
        <w:tc>
          <w:tcPr>
            <w:tcW/>
            <w:vAlign w:val="center"/>
          </w:tcPr>
          <w:p>
            <w:pPr>
              <w:spacing w:line="240" w:lineRule="auto"/>
              <w:jc w:val="right"/>
            </w:pPr>
            <w:r>
              <w:rPr>
                <w:rFonts w:ascii="宋体" w:hAnsi="宋体" w:cs="宋体" w:eastAsia="宋体"/>
                <w:b w:val="false"/>
              </w:rPr>
              <w:t>0.30%</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4.74%</w:t>
            </w:r>
          </w:p>
        </w:tc>
        <w:tc>
          <w:tcPr>
            <w:tcW/>
            <w:vAlign w:val="center"/>
          </w:tcPr>
          <w:p>
            <w:pPr>
              <w:spacing w:line="240" w:lineRule="auto"/>
              <w:jc w:val="right"/>
            </w:pPr>
            <w:r>
              <w:rPr>
                <w:rFonts w:ascii="宋体" w:hAnsi="宋体" w:cs="宋体" w:eastAsia="宋体"/>
                <w:b w:val="false"/>
              </w:rPr>
              <w:t>1.57%</w:t>
            </w:r>
          </w:p>
        </w:tc>
        <w:tc>
          <w:tcPr>
            <w:tcW/>
            <w:vAlign w:val="center"/>
          </w:tcPr>
          <w:p>
            <w:pPr>
              <w:spacing w:line="240" w:lineRule="auto"/>
              <w:jc w:val="right"/>
            </w:pPr>
            <w:r>
              <w:rPr>
                <w:rFonts w:ascii="宋体" w:hAnsi="宋体" w:cs="宋体" w:eastAsia="宋体"/>
                <w:b w:val="false"/>
              </w:rPr>
              <w:t>17.70%</w:t>
            </w:r>
          </w:p>
        </w:tc>
        <w:tc>
          <w:tcPr>
            <w:tcW/>
            <w:vAlign w:val="center"/>
          </w:tcPr>
          <w:p>
            <w:pPr>
              <w:spacing w:line="240" w:lineRule="auto"/>
              <w:jc w:val="right"/>
            </w:pPr>
            <w:r>
              <w:rPr>
                <w:rFonts w:ascii="宋体" w:hAnsi="宋体" w:cs="宋体" w:eastAsia="宋体"/>
                <w:b w:val="false"/>
              </w:rPr>
              <w:t>1.10%</w:t>
            </w:r>
          </w:p>
        </w:tc>
        <w:tc>
          <w:tcPr>
            <w:tcW/>
            <w:vAlign w:val="center"/>
          </w:tcPr>
          <w:p>
            <w:pPr>
              <w:spacing w:line="240" w:lineRule="auto"/>
              <w:jc w:val="right"/>
            </w:pPr>
            <w:r>
              <w:rPr>
                <w:rFonts w:ascii="宋体" w:hAnsi="宋体" w:cs="宋体" w:eastAsia="宋体"/>
                <w:b w:val="false"/>
              </w:rPr>
              <w:t>-12.96%</w:t>
            </w:r>
          </w:p>
        </w:tc>
        <w:tc>
          <w:tcPr>
            <w:tcW/>
            <w:vAlign w:val="center"/>
          </w:tcPr>
          <w:p>
            <w:pPr>
              <w:spacing w:line="240" w:lineRule="auto"/>
              <w:jc w:val="right"/>
            </w:pPr>
            <w:r>
              <w:rPr>
                <w:rFonts w:ascii="宋体" w:hAnsi="宋体" w:cs="宋体" w:eastAsia="宋体"/>
                <w:b w:val="false"/>
              </w:rPr>
              <w:t>0.47%</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-14.28%</w:t>
            </w:r>
          </w:p>
        </w:tc>
        <w:tc>
          <w:tcPr>
            <w:tcW/>
            <w:vAlign w:val="center"/>
          </w:tcPr>
          <w:p>
            <w:pPr>
              <w:spacing w:line="240" w:lineRule="auto"/>
              <w:jc w:val="right"/>
            </w:pPr>
            <w:r>
              <w:rPr>
                <w:rFonts w:ascii="宋体" w:hAnsi="宋体" w:cs="宋体" w:eastAsia="宋体"/>
                <w:b w:val="false"/>
              </w:rPr>
              <w:t>1.49%</w:t>
            </w:r>
          </w:p>
        </w:tc>
        <w:tc>
          <w:tcPr>
            <w:tcW/>
            <w:vAlign w:val="center"/>
          </w:tcPr>
          <w:p>
            <w:pPr>
              <w:spacing w:line="240" w:lineRule="auto"/>
              <w:jc w:val="right"/>
            </w:pPr>
            <w:r>
              <w:rPr>
                <w:rFonts w:ascii="宋体" w:hAnsi="宋体" w:cs="宋体" w:eastAsia="宋体"/>
                <w:b w:val="false"/>
              </w:rPr>
              <w:t>11.46%</w:t>
            </w:r>
          </w:p>
        </w:tc>
        <w:tc>
          <w:tcPr>
            <w:tcW/>
            <w:vAlign w:val="center"/>
          </w:tcPr>
          <w:p>
            <w:pPr>
              <w:spacing w:line="240" w:lineRule="auto"/>
              <w:jc w:val="right"/>
            </w:pPr>
            <w:r>
              <w:rPr>
                <w:rFonts w:ascii="宋体" w:hAnsi="宋体" w:cs="宋体" w:eastAsia="宋体"/>
                <w:b w:val="false"/>
              </w:rPr>
              <w:t>0.92%</w:t>
            </w:r>
          </w:p>
        </w:tc>
        <w:tc>
          <w:tcPr>
            <w:tcW/>
            <w:vAlign w:val="center"/>
          </w:tcPr>
          <w:p>
            <w:pPr>
              <w:spacing w:line="240" w:lineRule="auto"/>
              <w:jc w:val="right"/>
            </w:pPr>
            <w:r>
              <w:rPr>
                <w:rFonts w:ascii="宋体" w:hAnsi="宋体" w:cs="宋体" w:eastAsia="宋体"/>
                <w:b w:val="false"/>
              </w:rPr>
              <w:t>-25.74%</w:t>
            </w:r>
          </w:p>
        </w:tc>
        <w:tc>
          <w:tcPr>
            <w:tcW/>
            <w:vAlign w:val="center"/>
          </w:tcPr>
          <w:p>
            <w:pPr>
              <w:spacing w:line="240" w:lineRule="auto"/>
              <w:jc w:val="right"/>
            </w:pPr>
            <w:r>
              <w:rPr>
                <w:rFonts w:ascii="宋体" w:hAnsi="宋体" w:cs="宋体" w:eastAsia="宋体"/>
                <w:b w:val="false"/>
              </w:rPr>
              <w:t>0.57%</w:t>
            </w:r>
          </w:p>
        </w:tc>
      </w:tr>
    </w:tbl>
    <w:p>
      <w:pPr>
        <w:jc w:val="left"/>
      </w:pPr>
      <w:r>
        <w:rPr>
          <w:rFonts w:ascii="宋体" w:hAnsi="宋体" w:cs="宋体" w:eastAsia="宋体"/>
          <w:b w:val="true"/>
        </w:rPr>
        <w:t>东方阿尔法兴科一年持有混合C净值表现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-4.08%</w:t>
            </w:r>
          </w:p>
        </w:tc>
        <w:tc>
          <w:tcPr>
            <w:tcW/>
            <w:vAlign w:val="center"/>
          </w:tcPr>
          <w:p>
            <w:pPr>
              <w:spacing w:line="240" w:lineRule="auto"/>
              <w:jc w:val="right"/>
            </w:pPr>
            <w:r>
              <w:rPr>
                <w:rFonts w:ascii="宋体" w:hAnsi="宋体" w:cs="宋体" w:eastAsia="宋体"/>
                <w:b w:val="false"/>
              </w:rPr>
              <w:t>1.47%</w:t>
            </w:r>
          </w:p>
        </w:tc>
        <w:tc>
          <w:tcPr>
            <w:tcW/>
            <w:vAlign w:val="center"/>
          </w:tcPr>
          <w:p>
            <w:pPr>
              <w:spacing w:line="240" w:lineRule="auto"/>
              <w:jc w:val="right"/>
            </w:pPr>
            <w:r>
              <w:rPr>
                <w:rFonts w:ascii="宋体" w:hAnsi="宋体" w:cs="宋体" w:eastAsia="宋体"/>
                <w:b w:val="false"/>
              </w:rPr>
              <w:t>1.81%</w:t>
            </w:r>
          </w:p>
        </w:tc>
        <w:tc>
          <w:tcPr>
            <w:tcW/>
            <w:vAlign w:val="center"/>
          </w:tcPr>
          <w:p>
            <w:pPr>
              <w:spacing w:line="240" w:lineRule="auto"/>
              <w:jc w:val="right"/>
            </w:pPr>
            <w:r>
              <w:rPr>
                <w:rFonts w:ascii="宋体" w:hAnsi="宋体" w:cs="宋体" w:eastAsia="宋体"/>
                <w:b w:val="false"/>
              </w:rPr>
              <w:t>1.09%</w:t>
            </w:r>
          </w:p>
        </w:tc>
        <w:tc>
          <w:tcPr>
            <w:tcW/>
            <w:vAlign w:val="center"/>
          </w:tcPr>
          <w:p>
            <w:pPr>
              <w:spacing w:line="240" w:lineRule="auto"/>
              <w:jc w:val="right"/>
            </w:pPr>
            <w:r>
              <w:rPr>
                <w:rFonts w:ascii="宋体" w:hAnsi="宋体" w:cs="宋体" w:eastAsia="宋体"/>
                <w:b w:val="false"/>
              </w:rPr>
              <w:t>-5.89%</w:t>
            </w:r>
          </w:p>
        </w:tc>
        <w:tc>
          <w:tcPr>
            <w:tcW/>
            <w:vAlign w:val="center"/>
          </w:tcPr>
          <w:p>
            <w:pPr>
              <w:spacing w:line="240" w:lineRule="auto"/>
              <w:jc w:val="right"/>
            </w:pPr>
            <w:r>
              <w:rPr>
                <w:rFonts w:ascii="宋体" w:hAnsi="宋体" w:cs="宋体" w:eastAsia="宋体"/>
                <w:b w:val="false"/>
              </w:rPr>
              <w:t>0.38%</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1.27%</w:t>
            </w:r>
          </w:p>
        </w:tc>
        <w:tc>
          <w:tcPr>
            <w:tcW/>
            <w:vAlign w:val="center"/>
          </w:tcPr>
          <w:p>
            <w:pPr>
              <w:spacing w:line="240" w:lineRule="auto"/>
              <w:jc w:val="right"/>
            </w:pPr>
            <w:r>
              <w:rPr>
                <w:rFonts w:ascii="宋体" w:hAnsi="宋体" w:cs="宋体" w:eastAsia="宋体"/>
                <w:b w:val="false"/>
              </w:rPr>
              <w:t>4.46%</w:t>
            </w:r>
          </w:p>
        </w:tc>
        <w:tc>
          <w:tcPr>
            <w:tcW/>
            <w:vAlign w:val="center"/>
          </w:tcPr>
          <w:p>
            <w:pPr>
              <w:spacing w:line="240" w:lineRule="auto"/>
              <w:jc w:val="right"/>
            </w:pPr>
            <w:r>
              <w:rPr>
                <w:rFonts w:ascii="宋体" w:hAnsi="宋体" w:cs="宋体" w:eastAsia="宋体"/>
                <w:b w:val="false"/>
              </w:rPr>
              <w:t>0.97%</w:t>
            </w:r>
          </w:p>
        </w:tc>
        <w:tc>
          <w:tcPr>
            <w:tcW/>
            <w:vAlign w:val="center"/>
          </w:tcPr>
          <w:p>
            <w:pPr>
              <w:spacing w:line="240" w:lineRule="auto"/>
              <w:jc w:val="right"/>
            </w:pPr>
            <w:r>
              <w:rPr>
                <w:rFonts w:ascii="宋体" w:hAnsi="宋体" w:cs="宋体" w:eastAsia="宋体"/>
                <w:b w:val="false"/>
              </w:rPr>
              <w:t>-5.48%</w:t>
            </w:r>
          </w:p>
        </w:tc>
        <w:tc>
          <w:tcPr>
            <w:tcW/>
            <w:vAlign w:val="center"/>
          </w:tcPr>
          <w:p>
            <w:pPr>
              <w:spacing w:line="240" w:lineRule="auto"/>
              <w:jc w:val="right"/>
            </w:pPr>
            <w:r>
              <w:rPr>
                <w:rFonts w:ascii="宋体" w:hAnsi="宋体" w:cs="宋体" w:eastAsia="宋体"/>
                <w:b w:val="false"/>
              </w:rPr>
              <w:t>0.30%</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4.11%</w:t>
            </w:r>
          </w:p>
        </w:tc>
        <w:tc>
          <w:tcPr>
            <w:tcW/>
            <w:vAlign w:val="center"/>
          </w:tcPr>
          <w:p>
            <w:pPr>
              <w:spacing w:line="240" w:lineRule="auto"/>
              <w:jc w:val="right"/>
            </w:pPr>
            <w:r>
              <w:rPr>
                <w:rFonts w:ascii="宋体" w:hAnsi="宋体" w:cs="宋体" w:eastAsia="宋体"/>
                <w:b w:val="false"/>
              </w:rPr>
              <w:t>1.57%</w:t>
            </w:r>
          </w:p>
        </w:tc>
        <w:tc>
          <w:tcPr>
            <w:tcW/>
            <w:vAlign w:val="center"/>
          </w:tcPr>
          <w:p>
            <w:pPr>
              <w:spacing w:line="240" w:lineRule="auto"/>
              <w:jc w:val="right"/>
            </w:pPr>
            <w:r>
              <w:rPr>
                <w:rFonts w:ascii="宋体" w:hAnsi="宋体" w:cs="宋体" w:eastAsia="宋体"/>
                <w:b w:val="false"/>
              </w:rPr>
              <w:t>17.70%</w:t>
            </w:r>
          </w:p>
        </w:tc>
        <w:tc>
          <w:tcPr>
            <w:tcW/>
            <w:vAlign w:val="center"/>
          </w:tcPr>
          <w:p>
            <w:pPr>
              <w:spacing w:line="240" w:lineRule="auto"/>
              <w:jc w:val="right"/>
            </w:pPr>
            <w:r>
              <w:rPr>
                <w:rFonts w:ascii="宋体" w:hAnsi="宋体" w:cs="宋体" w:eastAsia="宋体"/>
                <w:b w:val="false"/>
              </w:rPr>
              <w:t>1.10%</w:t>
            </w:r>
          </w:p>
        </w:tc>
        <w:tc>
          <w:tcPr>
            <w:tcW/>
            <w:vAlign w:val="center"/>
          </w:tcPr>
          <w:p>
            <w:pPr>
              <w:spacing w:line="240" w:lineRule="auto"/>
              <w:jc w:val="right"/>
            </w:pPr>
            <w:r>
              <w:rPr>
                <w:rFonts w:ascii="宋体" w:hAnsi="宋体" w:cs="宋体" w:eastAsia="宋体"/>
                <w:b w:val="false"/>
              </w:rPr>
              <w:t>-13.59%</w:t>
            </w:r>
          </w:p>
        </w:tc>
        <w:tc>
          <w:tcPr>
            <w:tcW/>
            <w:vAlign w:val="center"/>
          </w:tcPr>
          <w:p>
            <w:pPr>
              <w:spacing w:line="240" w:lineRule="auto"/>
              <w:jc w:val="right"/>
            </w:pPr>
            <w:r>
              <w:rPr>
                <w:rFonts w:ascii="宋体" w:hAnsi="宋体" w:cs="宋体" w:eastAsia="宋体"/>
                <w:b w:val="false"/>
              </w:rPr>
              <w:t>0.47%</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-15.69%</w:t>
            </w:r>
          </w:p>
        </w:tc>
        <w:tc>
          <w:tcPr>
            <w:tcW/>
            <w:vAlign w:val="center"/>
          </w:tcPr>
          <w:p>
            <w:pPr>
              <w:spacing w:line="240" w:lineRule="auto"/>
              <w:jc w:val="right"/>
            </w:pPr>
            <w:r>
              <w:rPr>
                <w:rFonts w:ascii="宋体" w:hAnsi="宋体" w:cs="宋体" w:eastAsia="宋体"/>
                <w:b w:val="false"/>
              </w:rPr>
              <w:t>1.49%</w:t>
            </w:r>
          </w:p>
        </w:tc>
        <w:tc>
          <w:tcPr>
            <w:tcW/>
            <w:vAlign w:val="center"/>
          </w:tcPr>
          <w:p>
            <w:pPr>
              <w:spacing w:line="240" w:lineRule="auto"/>
              <w:jc w:val="right"/>
            </w:pPr>
            <w:r>
              <w:rPr>
                <w:rFonts w:ascii="宋体" w:hAnsi="宋体" w:cs="宋体" w:eastAsia="宋体"/>
                <w:b w:val="false"/>
              </w:rPr>
              <w:t>11.46%</w:t>
            </w:r>
          </w:p>
        </w:tc>
        <w:tc>
          <w:tcPr>
            <w:tcW/>
            <w:vAlign w:val="center"/>
          </w:tcPr>
          <w:p>
            <w:pPr>
              <w:spacing w:line="240" w:lineRule="auto"/>
              <w:jc w:val="right"/>
            </w:pPr>
            <w:r>
              <w:rPr>
                <w:rFonts w:ascii="宋体" w:hAnsi="宋体" w:cs="宋体" w:eastAsia="宋体"/>
                <w:b w:val="false"/>
              </w:rPr>
              <w:t>0.92%</w:t>
            </w:r>
          </w:p>
        </w:tc>
        <w:tc>
          <w:tcPr>
            <w:tcW/>
            <w:vAlign w:val="center"/>
          </w:tcPr>
          <w:p>
            <w:pPr>
              <w:spacing w:line="240" w:lineRule="auto"/>
              <w:jc w:val="right"/>
            </w:pPr>
            <w:r>
              <w:rPr>
                <w:rFonts w:ascii="宋体" w:hAnsi="宋体" w:cs="宋体" w:eastAsia="宋体"/>
                <w:b w:val="false"/>
              </w:rPr>
              <w:t>-27.15%</w:t>
            </w:r>
          </w:p>
        </w:tc>
        <w:tc>
          <w:tcPr>
            <w:tcW/>
            <w:vAlign w:val="center"/>
          </w:tcPr>
          <w:p>
            <w:pPr>
              <w:spacing w:line="240" w:lineRule="auto"/>
              <w:jc w:val="right"/>
            </w:pPr>
            <w:r>
              <w:rPr>
                <w:rFonts w:ascii="宋体" w:hAnsi="宋体" w:cs="宋体" w:eastAsia="宋体"/>
                <w:b w:val="false"/>
              </w:rPr>
              <w:t>0.57%</w:t>
            </w:r>
          </w:p>
        </w:tc>
      </w:tr>
    </w:tbl>
    <w:p>
      <w:r>
        <w:rPr>
          <w:rFonts w:ascii="宋体" w:hAnsi="宋体" w:cs="宋体" w:eastAsia="宋体"/>
          <w:b w:val="false"/>
        </w:rPr>
        <w:t>注：1、本基金的业绩比较基准为：中证800指数收益率×60%+中证综合债券指数收益率×20%+恒生指数收益率×20%。</w:t>
        <w:cr/>
      </w:r>
      <w:r>
        <w:rPr>
          <w:rFonts w:ascii="宋体" w:hAnsi="宋体" w:cs="宋体" w:eastAsia="宋体"/>
          <w:b w:val="false"/>
        </w:rPr>
        <w:t>2、本基金自2022年9月28日成立至今尚未满三年，无过去三年、过去五年的净值表现。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
      <w:pPr>
        <w:pStyle w:val="2"/>
        <w:jc w:val="left"/>
      </w:pPr>
      <w:r>
        <w:rPr>
          <w:rFonts w:ascii="宋体" w:hAnsi="宋体" w:cs="宋体" w:eastAsia="宋体"/>
        </w:rPr>
        <w:t>3.3 其他指标</w:t>
      </w:r>
    </w:p>
    <w:p>
      <w:r>
        <w:rPr>
          <w:rFonts w:ascii="宋体" w:hAnsi="宋体" w:cs="宋体" w:eastAsia="宋体"/>
          <w:b w:val="false"/>
        </w:rPr>
        <w:t xml:space="preserve">    无。</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尹智斌</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2023-11-01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7年</w:t>
            </w:r>
          </w:p>
        </w:tc>
        <w:tc>
          <w:tcPr>
            <w:tcW/>
            <w:vAlign w:val="center"/>
          </w:tcPr>
          <w:p>
            <w:pPr>
              <w:spacing w:line="240" w:lineRule="auto"/>
              <w:jc w:val="left"/>
            </w:pPr>
            <w:r>
              <w:rPr>
                <w:rFonts w:ascii="宋体" w:hAnsi="宋体" w:cs="宋体" w:eastAsia="宋体"/>
                <w:b w:val="false"/>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今年以来，美国关税政策呈现出复杂多变的态势，其未来发展仍存在诸多不确定性。5月，中美关税问题出现了一定程度的边际缓和，与此同时，国内一系列积极的宏观政策也在稳步推进。在这些因素的共同作用下，经济有望逐步企稳回升。</w:t>
        <w:cr/>
      </w:r>
      <w:r>
        <w:rPr>
          <w:rFonts w:ascii="宋体" w:hAnsi="宋体" w:cs="宋体" w:eastAsia="宋体"/>
          <w:b w:val="false"/>
        </w:rPr>
        <w:t xml:space="preserve">    在此背景下，我们将继续维持较高比例的内需顺周期板块仓位配置。同时，我们仍将依据既定的投资框架，综合考量行业发展趋势以及公司估值水平，对投资组合进行动态调整。在具体配置过程中，我们将重点关注企业的现金流状况、市场竞争格局以及商业模式的可持续性，以此为基础，优化投资组合，力求在控制风险的前提下实现资产的稳健增值，具体如下：</w:t>
        <w:cr/>
      </w:r>
      <w:r>
        <w:rPr>
          <w:rFonts w:ascii="宋体" w:hAnsi="宋体" w:cs="宋体" w:eastAsia="宋体"/>
          <w:b w:val="false"/>
        </w:rPr>
        <w:t xml:space="preserve">    （1）内需相关消费龙头，包括家电、整车、化妆品、消费医疗器械等。在目前市场持续担心内需的背景下，这些公司估值已压到较低位置，在未来超常规逆周期调节下，业绩的悲观预期有望得到明显的修复。</w:t>
        <w:cr/>
      </w:r>
      <w:r>
        <w:rPr>
          <w:rFonts w:ascii="宋体" w:hAnsi="宋体" w:cs="宋体" w:eastAsia="宋体"/>
          <w:b w:val="false"/>
        </w:rPr>
        <w:t xml:space="preserve">    （2）内需顺周期相关的制造业细分龙头。广义制造业中，如建材、化工、机械等，已产生众多竞争格局相当稳定且现金流优秀的细分龙头，在目前内需悲观预期下估值较低，这些行业远期资本开支有望大幅度下降，进而自由现金流将逐渐提升，潜在分红能力持续增强。</w:t>
        <w:cr/>
      </w:r>
      <w:r>
        <w:rPr>
          <w:rFonts w:ascii="宋体" w:hAnsi="宋体" w:cs="宋体" w:eastAsia="宋体"/>
          <w:b w:val="false"/>
        </w:rPr>
        <w:t xml:space="preserve">    （3）上游资源类公司。目前主要关注供给端约束、以基本金属为代表的资源类公司，以电解铝行业为例。行业竞争格局受到政策强约束，在目前需求淡季的情况下价格依然非常坚挺，只要后续需求端边际上有些扰动，价格就能有巨大的向上弹性。目前成本端氧化铝供给持续放出，价格持续下降，产业链的利润将持续往电解铝环节转移，结合电解铝供需关系依然紧张，对后市铝价持续乐观，电解铝行业公司的远期分红能力仍将进一步提升。</w:t>
        <w:cr/>
      </w:r>
      <w:r>
        <w:rPr>
          <w:rFonts w:ascii="宋体" w:hAnsi="宋体" w:cs="宋体" w:eastAsia="宋体"/>
          <w:b w:val="false"/>
        </w:rPr>
        <w:t xml:space="preserve">    目前许多行业的中小企业依然有较大的经营压力甚至面临出清，龙头企业压到较低的估值，在未来超常规逆周期调节下，龙头企业将抢占许多中小企业出清的份额，呈现出较大的业绩弹性，后续组合上继续偏好于龙头企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兴科一年持有混合A基金份额净值为0.8572元，本报告期内，该类基金份额净值增长率为-3.94%，同期业绩比较基准收益率为1.81%；截至报告期末东方阿尔法兴科一年持有混合C基金份额净值为0.8431元，本报告期内，该类基金份额净值增长率为-4.08%，同期业绩比较基准收益率为1.81%。</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139,497,682.89</w:t>
            </w:r>
          </w:p>
        </w:tc>
        <w:tc>
          <w:tcPr>
            <w:tcW/>
            <w:vAlign w:val="center"/>
          </w:tcPr>
          <w:p>
            <w:pPr>
              <w:spacing w:line="240" w:lineRule="auto"/>
              <w:jc w:val="right"/>
            </w:pPr>
            <w:r>
              <w:rPr>
                <w:rFonts w:ascii="宋体" w:hAnsi="宋体" w:cs="宋体" w:eastAsia="宋体"/>
                <w:b w:val="false"/>
              </w:rPr>
              <w:t>92.46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139,497,682.89</w:t>
            </w:r>
          </w:p>
        </w:tc>
        <w:tc>
          <w:tcPr>
            <w:tcW/>
            <w:vAlign w:val="center"/>
          </w:tcPr>
          <w:p>
            <w:pPr>
              <w:spacing w:line="240" w:lineRule="auto"/>
              <w:jc w:val="right"/>
            </w:pPr>
            <w:r>
              <w:rPr>
                <w:rFonts w:ascii="宋体" w:hAnsi="宋体" w:cs="宋体" w:eastAsia="宋体"/>
                <w:b w:val="false"/>
              </w:rPr>
              <w:t>92.46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8,607,998.90</w:t>
            </w:r>
          </w:p>
        </w:tc>
        <w:tc>
          <w:tcPr>
            <w:tcW/>
            <w:vAlign w:val="center"/>
          </w:tcPr>
          <w:p>
            <w:pPr>
              <w:spacing w:line="240" w:lineRule="auto"/>
              <w:jc w:val="right"/>
            </w:pPr>
            <w:r>
              <w:rPr>
                <w:rFonts w:ascii="宋体" w:hAnsi="宋体" w:cs="宋体" w:eastAsia="宋体"/>
                <w:b w:val="false"/>
              </w:rPr>
              <w:t>5.71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8,607,998.90</w:t>
            </w:r>
          </w:p>
        </w:tc>
        <w:tc>
          <w:tcPr>
            <w:tcW/>
            <w:vAlign w:val="center"/>
          </w:tcPr>
          <w:p>
            <w:pPr>
              <w:spacing w:line="240" w:lineRule="auto"/>
              <w:jc w:val="right"/>
            </w:pPr>
            <w:r>
              <w:rPr>
                <w:rFonts w:ascii="宋体" w:hAnsi="宋体" w:cs="宋体" w:eastAsia="宋体"/>
                <w:b w:val="false"/>
              </w:rPr>
              <w:t>5.71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2,183,191.23</w:t>
            </w:r>
          </w:p>
        </w:tc>
        <w:tc>
          <w:tcPr>
            <w:tcW/>
            <w:vAlign w:val="center"/>
          </w:tcPr>
          <w:p>
            <w:pPr>
              <w:spacing w:line="240" w:lineRule="auto"/>
              <w:jc w:val="right"/>
            </w:pPr>
            <w:r>
              <w:rPr>
                <w:rFonts w:ascii="宋体" w:hAnsi="宋体" w:cs="宋体" w:eastAsia="宋体"/>
                <w:b w:val="false"/>
              </w:rPr>
              <w:t>1.45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580,439.01</w:t>
            </w:r>
          </w:p>
        </w:tc>
        <w:tc>
          <w:tcPr>
            <w:tcW/>
            <w:vAlign w:val="center"/>
          </w:tcPr>
          <w:p>
            <w:pPr>
              <w:spacing w:line="240" w:lineRule="auto"/>
              <w:jc w:val="right"/>
            </w:pPr>
            <w:r>
              <w:rPr>
                <w:rFonts w:ascii="宋体" w:hAnsi="宋体" w:cs="宋体" w:eastAsia="宋体"/>
                <w:b w:val="false"/>
              </w:rPr>
              <w:t>0.38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150,869,312.03</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 xml:space="preserve">    报告期末本基金通过港股通交易机制投资的港股公允价值合计26,384,145.26元，占基金资产净值的比例为17.54%。</w:t>
      </w:r>
    </w:p>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113,099,716.93</w:t>
            </w:r>
          </w:p>
        </w:tc>
        <w:tc>
          <w:tcPr>
            <w:tcW/>
          </w:tcPr>
          <w:p>
            <w:pPr>
              <w:spacing w:line="240" w:lineRule="auto"/>
              <w:jc w:val="right"/>
            </w:pPr>
            <w:r>
              <w:rPr>
                <w:rFonts w:ascii="宋体" w:hAnsi="宋体" w:cs="宋体" w:eastAsia="宋体"/>
                <w:b w:val="false"/>
              </w:rPr>
              <w:t>75.17</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2,244.00</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11,576.70</w:t>
            </w:r>
          </w:p>
        </w:tc>
        <w:tc>
          <w:tcPr>
            <w:tcW/>
          </w:tcPr>
          <w:p>
            <w:pPr>
              <w:spacing w:line="240" w:lineRule="auto"/>
              <w:jc w:val="right"/>
            </w:pPr>
            <w:r>
              <w:rPr>
                <w:rFonts w:ascii="宋体" w:hAnsi="宋体" w:cs="宋体" w:eastAsia="宋体"/>
                <w:b w:val="false"/>
              </w:rPr>
              <w:t>0.01</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113,113,537.63</w:t>
            </w:r>
          </w:p>
        </w:tc>
        <w:tc>
          <w:tcPr>
            <w:tcW/>
          </w:tcPr>
          <w:p>
            <w:pPr>
              <w:spacing w:line="240" w:lineRule="auto"/>
              <w:jc w:val="right"/>
            </w:pPr>
            <w:r>
              <w:rPr>
                <w:rFonts w:ascii="宋体" w:hAnsi="宋体" w:cs="宋体" w:eastAsia="宋体"/>
                <w:b w:val="false"/>
              </w:rPr>
              <w:t>75.18</w:t>
            </w:r>
          </w:p>
        </w:tc>
      </w:tr>
    </w:tbl>
    <w:p>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tcPr>
          <w:tcPr>
            <w:shd w:fill="d9d9d9"/>
          </w:tcPr>
          <w:p>
            <w:pPr>
              <w:spacing w:line="240" w:lineRule="auto"/>
              <w:jc w:val="center"/>
            </w:pPr>
            <w:r>
              <w:rPr>
                <w:rFonts w:ascii="宋体" w:hAnsi="宋体" w:cs="宋体" w:eastAsia="宋体"/>
                <w:b w:val="false"/>
              </w:rPr>
              <w:t>行业类别</w:t>
            </w:r>
          </w:p>
        </w:tc>
        <w:tc>
          <w:tcPr>
            <w:tcW w:type="pct" w:w="1538"/>
          </w:tcPr>
          <w:tcPr>
            <w:shd w:fill="d9d9d9"/>
          </w:tcPr>
          <w:p>
            <w:pPr>
              <w:spacing w:line="240" w:lineRule="auto"/>
              <w:jc w:val="center"/>
            </w:pPr>
            <w:r>
              <w:rPr>
                <w:rFonts w:ascii="宋体" w:hAnsi="宋体" w:cs="宋体" w:eastAsia="宋体"/>
                <w:b w:val="false"/>
              </w:rPr>
              <w:t>公允价值（人民币）</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left"/>
            </w:pPr>
            <w:r>
              <w:rPr>
                <w:rFonts w:ascii="宋体" w:hAnsi="宋体" w:cs="宋体" w:eastAsia="宋体"/>
                <w:b w:val="false"/>
              </w:rPr>
              <w:t>非日常生活消费品</w:t>
            </w:r>
          </w:p>
        </w:tc>
        <w:tc>
          <w:tcPr>
            <w:tcW/>
          </w:tcPr>
          <w:p>
            <w:pPr>
              <w:spacing w:line="240" w:lineRule="auto"/>
              <w:jc w:val="right"/>
            </w:pPr>
            <w:r>
              <w:rPr>
                <w:rFonts w:ascii="宋体" w:hAnsi="宋体" w:cs="宋体" w:eastAsia="宋体"/>
                <w:b w:val="false"/>
              </w:rPr>
              <w:t>11,940,936.51</w:t>
            </w:r>
          </w:p>
        </w:tc>
        <w:tc>
          <w:tcPr>
            <w:tcW/>
          </w:tcPr>
          <w:p>
            <w:pPr>
              <w:spacing w:line="240" w:lineRule="auto"/>
              <w:jc w:val="right"/>
            </w:pPr>
            <w:r>
              <w:rPr>
                <w:rFonts w:ascii="宋体" w:hAnsi="宋体" w:cs="宋体" w:eastAsia="宋体"/>
                <w:b w:val="false"/>
              </w:rPr>
              <w:t>7.94</w:t>
            </w:r>
          </w:p>
        </w:tc>
      </w:tr>
      <w:tr>
        <w:tc>
          <w:tcPr>
            <w:tcW/>
          </w:tcPr>
          <w:p>
            <w:pPr>
              <w:spacing w:line="240" w:lineRule="auto"/>
              <w:jc w:val="left"/>
            </w:pPr>
            <w:r>
              <w:rPr>
                <w:rFonts w:ascii="宋体" w:hAnsi="宋体" w:cs="宋体" w:eastAsia="宋体"/>
                <w:b w:val="false"/>
              </w:rPr>
              <w:t>工业</w:t>
            </w:r>
          </w:p>
        </w:tc>
        <w:tc>
          <w:tcPr>
            <w:tcW/>
          </w:tcPr>
          <w:p>
            <w:pPr>
              <w:spacing w:line="240" w:lineRule="auto"/>
              <w:jc w:val="right"/>
            </w:pPr>
            <w:r>
              <w:rPr>
                <w:rFonts w:ascii="宋体" w:hAnsi="宋体" w:cs="宋体" w:eastAsia="宋体"/>
                <w:b w:val="false"/>
              </w:rPr>
              <w:t>14,443,208.75</w:t>
            </w:r>
          </w:p>
        </w:tc>
        <w:tc>
          <w:tcPr>
            <w:tcW/>
          </w:tcPr>
          <w:p>
            <w:pPr>
              <w:spacing w:line="240" w:lineRule="auto"/>
              <w:jc w:val="right"/>
            </w:pPr>
            <w:r>
              <w:rPr>
                <w:rFonts w:ascii="宋体" w:hAnsi="宋体" w:cs="宋体" w:eastAsia="宋体"/>
                <w:b w:val="false"/>
              </w:rPr>
              <w:t>9.60</w:t>
            </w:r>
          </w:p>
        </w:tc>
      </w:tr>
      <w:tr>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26,384,145.26</w:t>
            </w:r>
          </w:p>
        </w:tc>
        <w:tc>
          <w:tcPr>
            <w:tcW/>
          </w:tcPr>
          <w:p>
            <w:pPr>
              <w:spacing w:line="240" w:lineRule="auto"/>
              <w:jc w:val="right"/>
            </w:pPr>
            <w:r>
              <w:rPr>
                <w:rFonts w:ascii="宋体" w:hAnsi="宋体" w:cs="宋体" w:eastAsia="宋体"/>
                <w:b w:val="false"/>
              </w:rPr>
              <w:t>17.54</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000807</w:t>
            </w:r>
          </w:p>
        </w:tc>
        <w:tc>
          <w:tcPr>
            <w:tcW/>
          </w:tcPr>
          <w:p>
            <w:pPr>
              <w:spacing w:line="240" w:lineRule="auto"/>
              <w:jc w:val="left"/>
            </w:pPr>
            <w:r>
              <w:rPr>
                <w:rFonts w:ascii="宋体" w:hAnsi="宋体" w:cs="宋体" w:eastAsia="宋体"/>
                <w:b w:val="false"/>
              </w:rPr>
              <w:t>云铝股份</w:t>
            </w:r>
          </w:p>
        </w:tc>
        <w:tc>
          <w:tcPr>
            <w:tcW/>
          </w:tcPr>
          <w:p>
            <w:pPr>
              <w:spacing w:line="240" w:lineRule="auto"/>
              <w:jc w:val="right"/>
            </w:pPr>
            <w:r>
              <w:rPr>
                <w:rFonts w:ascii="宋体" w:hAnsi="宋体" w:cs="宋体" w:eastAsia="宋体"/>
                <w:b w:val="false"/>
              </w:rPr>
              <w:t>910,400</w:t>
            </w:r>
          </w:p>
        </w:tc>
        <w:tc>
          <w:tcPr>
            <w:tcW/>
          </w:tcPr>
          <w:p>
            <w:pPr>
              <w:spacing w:line="240" w:lineRule="auto"/>
              <w:jc w:val="right"/>
            </w:pPr>
            <w:r>
              <w:rPr>
                <w:rFonts w:ascii="宋体" w:hAnsi="宋体" w:cs="宋体" w:eastAsia="宋体"/>
                <w:b w:val="false"/>
              </w:rPr>
              <w:t>14,548,192.00</w:t>
            </w:r>
          </w:p>
        </w:tc>
        <w:tc>
          <w:tcPr>
            <w:tcW/>
          </w:tcPr>
          <w:p>
            <w:pPr>
              <w:spacing w:line="240" w:lineRule="auto"/>
              <w:jc w:val="right"/>
            </w:pPr>
            <w:r>
              <w:rPr>
                <w:rFonts w:ascii="宋体" w:hAnsi="宋体" w:cs="宋体" w:eastAsia="宋体"/>
                <w:b w:val="false"/>
              </w:rPr>
              <w:t>9.67</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00038</w:t>
            </w:r>
          </w:p>
        </w:tc>
        <w:tc>
          <w:tcPr>
            <w:tcW/>
          </w:tcPr>
          <w:p>
            <w:pPr>
              <w:spacing w:line="240" w:lineRule="auto"/>
              <w:jc w:val="left"/>
            </w:pPr>
            <w:r>
              <w:rPr>
                <w:rFonts w:ascii="宋体" w:hAnsi="宋体" w:cs="宋体" w:eastAsia="宋体"/>
                <w:b w:val="false"/>
              </w:rPr>
              <w:t>第一拖拉机股份</w:t>
            </w:r>
          </w:p>
        </w:tc>
        <w:tc>
          <w:tcPr>
            <w:tcW/>
          </w:tcPr>
          <w:p>
            <w:pPr>
              <w:spacing w:line="240" w:lineRule="auto"/>
              <w:jc w:val="right"/>
            </w:pPr>
            <w:r>
              <w:rPr>
                <w:rFonts w:ascii="宋体" w:hAnsi="宋体" w:cs="宋体" w:eastAsia="宋体"/>
                <w:b w:val="false"/>
              </w:rPr>
              <w:t>2,292,000</w:t>
            </w:r>
          </w:p>
        </w:tc>
        <w:tc>
          <w:tcPr>
            <w:tcW/>
          </w:tcPr>
          <w:p>
            <w:pPr>
              <w:spacing w:line="240" w:lineRule="auto"/>
              <w:jc w:val="right"/>
            </w:pPr>
            <w:r>
              <w:rPr>
                <w:rFonts w:ascii="宋体" w:hAnsi="宋体" w:cs="宋体" w:eastAsia="宋体"/>
                <w:b w:val="false"/>
              </w:rPr>
              <w:t>14,443,208.75</w:t>
            </w:r>
          </w:p>
        </w:tc>
        <w:tc>
          <w:tcPr>
            <w:tcW/>
          </w:tcPr>
          <w:p>
            <w:pPr>
              <w:spacing w:line="240" w:lineRule="auto"/>
              <w:jc w:val="right"/>
            </w:pPr>
            <w:r>
              <w:rPr>
                <w:rFonts w:ascii="宋体" w:hAnsi="宋体" w:cs="宋体" w:eastAsia="宋体"/>
                <w:b w:val="false"/>
              </w:rPr>
              <w:t>9.60</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603605</w:t>
            </w:r>
          </w:p>
        </w:tc>
        <w:tc>
          <w:tcPr>
            <w:tcW/>
          </w:tcPr>
          <w:p>
            <w:pPr>
              <w:spacing w:line="240" w:lineRule="auto"/>
              <w:jc w:val="left"/>
            </w:pPr>
            <w:r>
              <w:rPr>
                <w:rFonts w:ascii="宋体" w:hAnsi="宋体" w:cs="宋体" w:eastAsia="宋体"/>
                <w:b w:val="false"/>
              </w:rPr>
              <w:t>珀莱雅</w:t>
            </w:r>
          </w:p>
        </w:tc>
        <w:tc>
          <w:tcPr>
            <w:tcW/>
          </w:tcPr>
          <w:p>
            <w:pPr>
              <w:spacing w:line="240" w:lineRule="auto"/>
              <w:jc w:val="right"/>
            </w:pPr>
            <w:r>
              <w:rPr>
                <w:rFonts w:ascii="宋体" w:hAnsi="宋体" w:cs="宋体" w:eastAsia="宋体"/>
                <w:b w:val="false"/>
              </w:rPr>
              <w:t>156,000</w:t>
            </w:r>
          </w:p>
        </w:tc>
        <w:tc>
          <w:tcPr>
            <w:tcW/>
          </w:tcPr>
          <w:p>
            <w:pPr>
              <w:spacing w:line="240" w:lineRule="auto"/>
              <w:jc w:val="right"/>
            </w:pPr>
            <w:r>
              <w:rPr>
                <w:rFonts w:ascii="宋体" w:hAnsi="宋体" w:cs="宋体" w:eastAsia="宋体"/>
                <w:b w:val="false"/>
              </w:rPr>
              <w:t>12,915,240.00</w:t>
            </w:r>
          </w:p>
        </w:tc>
        <w:tc>
          <w:tcPr>
            <w:tcW/>
          </w:tcPr>
          <w:p>
            <w:pPr>
              <w:spacing w:line="240" w:lineRule="auto"/>
              <w:jc w:val="right"/>
            </w:pPr>
            <w:r>
              <w:rPr>
                <w:rFonts w:ascii="宋体" w:hAnsi="宋体" w:cs="宋体" w:eastAsia="宋体"/>
                <w:b w:val="false"/>
              </w:rPr>
              <w:t>8.58</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002223</w:t>
            </w:r>
          </w:p>
        </w:tc>
        <w:tc>
          <w:tcPr>
            <w:tcW/>
          </w:tcPr>
          <w:p>
            <w:pPr>
              <w:spacing w:line="240" w:lineRule="auto"/>
              <w:jc w:val="left"/>
            </w:pPr>
            <w:r>
              <w:rPr>
                <w:rFonts w:ascii="宋体" w:hAnsi="宋体" w:cs="宋体" w:eastAsia="宋体"/>
                <w:b w:val="false"/>
              </w:rPr>
              <w:t>鱼跃医疗</w:t>
            </w:r>
          </w:p>
        </w:tc>
        <w:tc>
          <w:tcPr>
            <w:tcW/>
          </w:tcPr>
          <w:p>
            <w:pPr>
              <w:spacing w:line="240" w:lineRule="auto"/>
              <w:jc w:val="right"/>
            </w:pPr>
            <w:r>
              <w:rPr>
                <w:rFonts w:ascii="宋体" w:hAnsi="宋体" w:cs="宋体" w:eastAsia="宋体"/>
                <w:b w:val="false"/>
              </w:rPr>
              <w:t>360,000</w:t>
            </w:r>
          </w:p>
        </w:tc>
        <w:tc>
          <w:tcPr>
            <w:tcW/>
          </w:tcPr>
          <w:p>
            <w:pPr>
              <w:spacing w:line="240" w:lineRule="auto"/>
              <w:jc w:val="right"/>
            </w:pPr>
            <w:r>
              <w:rPr>
                <w:rFonts w:ascii="宋体" w:hAnsi="宋体" w:cs="宋体" w:eastAsia="宋体"/>
                <w:b w:val="false"/>
              </w:rPr>
              <w:t>12,816,000.00</w:t>
            </w:r>
          </w:p>
        </w:tc>
        <w:tc>
          <w:tcPr>
            <w:tcW/>
          </w:tcPr>
          <w:p>
            <w:pPr>
              <w:spacing w:line="240" w:lineRule="auto"/>
              <w:jc w:val="right"/>
            </w:pPr>
            <w:r>
              <w:rPr>
                <w:rFonts w:ascii="宋体" w:hAnsi="宋体" w:cs="宋体" w:eastAsia="宋体"/>
                <w:b w:val="false"/>
              </w:rPr>
              <w:t>8.52</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600690</w:t>
            </w:r>
          </w:p>
        </w:tc>
        <w:tc>
          <w:tcPr>
            <w:tcW/>
          </w:tcPr>
          <w:p>
            <w:pPr>
              <w:spacing w:line="240" w:lineRule="auto"/>
              <w:jc w:val="left"/>
            </w:pPr>
            <w:r>
              <w:rPr>
                <w:rFonts w:ascii="宋体" w:hAnsi="宋体" w:cs="宋体" w:eastAsia="宋体"/>
                <w:b w:val="false"/>
              </w:rPr>
              <w:t>海尔智家</w:t>
            </w:r>
          </w:p>
        </w:tc>
        <w:tc>
          <w:tcPr>
            <w:tcW/>
          </w:tcPr>
          <w:p>
            <w:pPr>
              <w:spacing w:line="240" w:lineRule="auto"/>
              <w:jc w:val="right"/>
            </w:pPr>
            <w:r>
              <w:rPr>
                <w:rFonts w:ascii="宋体" w:hAnsi="宋体" w:cs="宋体" w:eastAsia="宋体"/>
                <w:b w:val="false"/>
              </w:rPr>
              <w:t>511,000</w:t>
            </w:r>
          </w:p>
        </w:tc>
        <w:tc>
          <w:tcPr>
            <w:tcW/>
          </w:tcPr>
          <w:p>
            <w:pPr>
              <w:spacing w:line="240" w:lineRule="auto"/>
              <w:jc w:val="right"/>
            </w:pPr>
            <w:r>
              <w:rPr>
                <w:rFonts w:ascii="宋体" w:hAnsi="宋体" w:cs="宋体" w:eastAsia="宋体"/>
                <w:b w:val="false"/>
              </w:rPr>
              <w:t>12,662,580.00</w:t>
            </w:r>
          </w:p>
        </w:tc>
        <w:tc>
          <w:tcPr>
            <w:tcW/>
          </w:tcPr>
          <w:p>
            <w:pPr>
              <w:spacing w:line="240" w:lineRule="auto"/>
              <w:jc w:val="right"/>
            </w:pPr>
            <w:r>
              <w:rPr>
                <w:rFonts w:ascii="宋体" w:hAnsi="宋体" w:cs="宋体" w:eastAsia="宋体"/>
                <w:b w:val="false"/>
              </w:rPr>
              <w:t>8.42</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600309</w:t>
            </w:r>
          </w:p>
        </w:tc>
        <w:tc>
          <w:tcPr>
            <w:tcW/>
          </w:tcPr>
          <w:p>
            <w:pPr>
              <w:spacing w:line="240" w:lineRule="auto"/>
              <w:jc w:val="left"/>
            </w:pPr>
            <w:r>
              <w:rPr>
                <w:rFonts w:ascii="宋体" w:hAnsi="宋体" w:cs="宋体" w:eastAsia="宋体"/>
                <w:b w:val="false"/>
              </w:rPr>
              <w:t>万华化学</w:t>
            </w:r>
          </w:p>
        </w:tc>
        <w:tc>
          <w:tcPr>
            <w:tcW/>
          </w:tcPr>
          <w:p>
            <w:pPr>
              <w:spacing w:line="240" w:lineRule="auto"/>
              <w:jc w:val="right"/>
            </w:pPr>
            <w:r>
              <w:rPr>
                <w:rFonts w:ascii="宋体" w:hAnsi="宋体" w:cs="宋体" w:eastAsia="宋体"/>
                <w:b w:val="false"/>
              </w:rPr>
              <w:t>231,000</w:t>
            </w:r>
          </w:p>
        </w:tc>
        <w:tc>
          <w:tcPr>
            <w:tcW/>
          </w:tcPr>
          <w:p>
            <w:pPr>
              <w:spacing w:line="240" w:lineRule="auto"/>
              <w:jc w:val="right"/>
            </w:pPr>
            <w:r>
              <w:rPr>
                <w:rFonts w:ascii="宋体" w:hAnsi="宋体" w:cs="宋体" w:eastAsia="宋体"/>
                <w:b w:val="false"/>
              </w:rPr>
              <w:t>12,534,060.00</w:t>
            </w:r>
          </w:p>
        </w:tc>
        <w:tc>
          <w:tcPr>
            <w:tcW/>
          </w:tcPr>
          <w:p>
            <w:pPr>
              <w:spacing w:line="240" w:lineRule="auto"/>
              <w:jc w:val="right"/>
            </w:pPr>
            <w:r>
              <w:rPr>
                <w:rFonts w:ascii="宋体" w:hAnsi="宋体" w:cs="宋体" w:eastAsia="宋体"/>
                <w:b w:val="false"/>
              </w:rPr>
              <w:t>8.33</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002043</w:t>
            </w:r>
          </w:p>
        </w:tc>
        <w:tc>
          <w:tcPr>
            <w:tcW/>
          </w:tcPr>
          <w:p>
            <w:pPr>
              <w:spacing w:line="240" w:lineRule="auto"/>
              <w:jc w:val="left"/>
            </w:pPr>
            <w:r>
              <w:rPr>
                <w:rFonts w:ascii="宋体" w:hAnsi="宋体" w:cs="宋体" w:eastAsia="宋体"/>
                <w:b w:val="false"/>
              </w:rPr>
              <w:t>兔 宝 宝</w:t>
            </w:r>
          </w:p>
        </w:tc>
        <w:tc>
          <w:tcPr>
            <w:tcW/>
          </w:tcPr>
          <w:p>
            <w:pPr>
              <w:spacing w:line="240" w:lineRule="auto"/>
              <w:jc w:val="right"/>
            </w:pPr>
            <w:r>
              <w:rPr>
                <w:rFonts w:ascii="宋体" w:hAnsi="宋体" w:cs="宋体" w:eastAsia="宋体"/>
                <w:b w:val="false"/>
              </w:rPr>
              <w:t>1,271,000</w:t>
            </w:r>
          </w:p>
        </w:tc>
        <w:tc>
          <w:tcPr>
            <w:tcW/>
          </w:tcPr>
          <w:p>
            <w:pPr>
              <w:spacing w:line="240" w:lineRule="auto"/>
              <w:jc w:val="right"/>
            </w:pPr>
            <w:r>
              <w:rPr>
                <w:rFonts w:ascii="宋体" w:hAnsi="宋体" w:cs="宋体" w:eastAsia="宋体"/>
                <w:b w:val="false"/>
              </w:rPr>
              <w:t>12,455,800.00</w:t>
            </w:r>
          </w:p>
        </w:tc>
        <w:tc>
          <w:tcPr>
            <w:tcW/>
          </w:tcPr>
          <w:p>
            <w:pPr>
              <w:spacing w:line="240" w:lineRule="auto"/>
              <w:jc w:val="right"/>
            </w:pPr>
            <w:r>
              <w:rPr>
                <w:rFonts w:ascii="宋体" w:hAnsi="宋体" w:cs="宋体" w:eastAsia="宋体"/>
                <w:b w:val="false"/>
              </w:rPr>
              <w:t>8.28</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002594</w:t>
            </w:r>
          </w:p>
        </w:tc>
        <w:tc>
          <w:tcPr>
            <w:tcW/>
          </w:tcPr>
          <w:p>
            <w:pPr>
              <w:spacing w:line="240" w:lineRule="auto"/>
              <w:jc w:val="left"/>
            </w:pPr>
            <w:r>
              <w:rPr>
                <w:rFonts w:ascii="宋体" w:hAnsi="宋体" w:cs="宋体" w:eastAsia="宋体"/>
                <w:b w:val="false"/>
              </w:rPr>
              <w:t>比亚迪</w:t>
            </w:r>
          </w:p>
        </w:tc>
        <w:tc>
          <w:tcPr>
            <w:tcW/>
          </w:tcPr>
          <w:p>
            <w:pPr>
              <w:spacing w:line="240" w:lineRule="auto"/>
              <w:jc w:val="right"/>
            </w:pPr>
            <w:r>
              <w:rPr>
                <w:rFonts w:ascii="宋体" w:hAnsi="宋体" w:cs="宋体" w:eastAsia="宋体"/>
                <w:b w:val="false"/>
              </w:rPr>
              <w:t>37,500</w:t>
            </w:r>
          </w:p>
        </w:tc>
        <w:tc>
          <w:tcPr>
            <w:tcW/>
          </w:tcPr>
          <w:p>
            <w:pPr>
              <w:spacing w:line="240" w:lineRule="auto"/>
              <w:jc w:val="right"/>
            </w:pPr>
            <w:r>
              <w:rPr>
                <w:rFonts w:ascii="宋体" w:hAnsi="宋体" w:cs="宋体" w:eastAsia="宋体"/>
                <w:b w:val="false"/>
              </w:rPr>
              <w:t>12,446,625.00</w:t>
            </w:r>
          </w:p>
        </w:tc>
        <w:tc>
          <w:tcPr>
            <w:tcW/>
          </w:tcPr>
          <w:p>
            <w:pPr>
              <w:spacing w:line="240" w:lineRule="auto"/>
              <w:jc w:val="right"/>
            </w:pPr>
            <w:r>
              <w:rPr>
                <w:rFonts w:ascii="宋体" w:hAnsi="宋体" w:cs="宋体" w:eastAsia="宋体"/>
                <w:b w:val="false"/>
              </w:rPr>
              <w:t>8.27</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002833</w:t>
            </w:r>
          </w:p>
        </w:tc>
        <w:tc>
          <w:tcPr>
            <w:tcW/>
          </w:tcPr>
          <w:p>
            <w:pPr>
              <w:spacing w:line="240" w:lineRule="auto"/>
              <w:jc w:val="left"/>
            </w:pPr>
            <w:r>
              <w:rPr>
                <w:rFonts w:ascii="宋体" w:hAnsi="宋体" w:cs="宋体" w:eastAsia="宋体"/>
                <w:b w:val="false"/>
              </w:rPr>
              <w:t>弘亚数控</w:t>
            </w:r>
          </w:p>
        </w:tc>
        <w:tc>
          <w:tcPr>
            <w:tcW/>
          </w:tcPr>
          <w:p>
            <w:pPr>
              <w:spacing w:line="240" w:lineRule="auto"/>
              <w:jc w:val="right"/>
            </w:pPr>
            <w:r>
              <w:rPr>
                <w:rFonts w:ascii="宋体" w:hAnsi="宋体" w:cs="宋体" w:eastAsia="宋体"/>
                <w:b w:val="false"/>
              </w:rPr>
              <w:t>744,758</w:t>
            </w:r>
          </w:p>
        </w:tc>
        <w:tc>
          <w:tcPr>
            <w:tcW/>
          </w:tcPr>
          <w:p>
            <w:pPr>
              <w:spacing w:line="240" w:lineRule="auto"/>
              <w:jc w:val="right"/>
            </w:pPr>
            <w:r>
              <w:rPr>
                <w:rFonts w:ascii="宋体" w:hAnsi="宋体" w:cs="宋体" w:eastAsia="宋体"/>
                <w:b w:val="false"/>
              </w:rPr>
              <w:t>12,184,240.88</w:t>
            </w:r>
          </w:p>
        </w:tc>
        <w:tc>
          <w:tcPr>
            <w:tcW/>
          </w:tcPr>
          <w:p>
            <w:pPr>
              <w:spacing w:line="240" w:lineRule="auto"/>
              <w:jc w:val="right"/>
            </w:pPr>
            <w:r>
              <w:rPr>
                <w:rFonts w:ascii="宋体" w:hAnsi="宋体" w:cs="宋体" w:eastAsia="宋体"/>
                <w:b w:val="false"/>
              </w:rPr>
              <w:t>8.10</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03690</w:t>
            </w:r>
          </w:p>
        </w:tc>
        <w:tc>
          <w:tcPr>
            <w:tcW/>
          </w:tcPr>
          <w:p>
            <w:pPr>
              <w:spacing w:line="240" w:lineRule="auto"/>
              <w:jc w:val="left"/>
            </w:pPr>
            <w:r>
              <w:rPr>
                <w:rFonts w:ascii="宋体" w:hAnsi="宋体" w:cs="宋体" w:eastAsia="宋体"/>
                <w:b w:val="false"/>
              </w:rPr>
              <w:t>美团－Ｗ</w:t>
            </w:r>
          </w:p>
        </w:tc>
        <w:tc>
          <w:tcPr>
            <w:tcW/>
          </w:tcPr>
          <w:p>
            <w:pPr>
              <w:spacing w:line="240" w:lineRule="auto"/>
              <w:jc w:val="right"/>
            </w:pPr>
            <w:r>
              <w:rPr>
                <w:rFonts w:ascii="宋体" w:hAnsi="宋体" w:cs="宋体" w:eastAsia="宋体"/>
                <w:b w:val="false"/>
              </w:rPr>
              <w:t>104,500</w:t>
            </w:r>
          </w:p>
        </w:tc>
        <w:tc>
          <w:tcPr>
            <w:tcW/>
          </w:tcPr>
          <w:p>
            <w:pPr>
              <w:spacing w:line="240" w:lineRule="auto"/>
              <w:jc w:val="right"/>
            </w:pPr>
            <w:r>
              <w:rPr>
                <w:rFonts w:ascii="宋体" w:hAnsi="宋体" w:cs="宋体" w:eastAsia="宋体"/>
                <w:b w:val="false"/>
              </w:rPr>
              <w:t>11,940,936.51</w:t>
            </w:r>
          </w:p>
        </w:tc>
        <w:tc>
          <w:tcPr>
            <w:tcW/>
          </w:tcPr>
          <w:p>
            <w:pPr>
              <w:spacing w:line="240" w:lineRule="auto"/>
              <w:jc w:val="right"/>
            </w:pPr>
            <w:r>
              <w:rPr>
                <w:rFonts w:ascii="宋体" w:hAnsi="宋体" w:cs="宋体" w:eastAsia="宋体"/>
                <w:b w:val="false"/>
              </w:rPr>
              <w:t>7.94</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8,607,998.90</w:t>
            </w:r>
          </w:p>
        </w:tc>
        <w:tc>
          <w:tcPr>
            <w:tcW/>
          </w:tcPr>
          <w:p>
            <w:pPr>
              <w:spacing w:line="240" w:lineRule="auto"/>
              <w:jc w:val="right"/>
            </w:pPr>
            <w:r>
              <w:rPr>
                <w:rFonts w:ascii="宋体" w:hAnsi="宋体" w:cs="宋体" w:eastAsia="宋体"/>
                <w:b w:val="false"/>
              </w:rPr>
              <w:t>5.72</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8,607,998.90</w:t>
            </w:r>
          </w:p>
        </w:tc>
        <w:tc>
          <w:tcPr>
            <w:tcW/>
          </w:tcPr>
          <w:p>
            <w:pPr>
              <w:spacing w:line="240" w:lineRule="auto"/>
              <w:jc w:val="right"/>
            </w:pPr>
            <w:r>
              <w:rPr>
                <w:rFonts w:ascii="宋体" w:hAnsi="宋体" w:cs="宋体" w:eastAsia="宋体"/>
                <w:b w:val="false"/>
              </w:rPr>
              <w:t>5.72</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019749</w:t>
            </w:r>
          </w:p>
        </w:tc>
        <w:tc>
          <w:tcPr>
            <w:tcW/>
          </w:tcPr>
          <w:p>
            <w:pPr>
              <w:spacing w:line="240" w:lineRule="auto"/>
              <w:jc w:val="left"/>
            </w:pPr>
            <w:r>
              <w:rPr>
                <w:rFonts w:ascii="宋体" w:hAnsi="宋体" w:cs="宋体" w:eastAsia="宋体"/>
                <w:b w:val="false"/>
              </w:rPr>
              <w:t>24国债15</w:t>
            </w:r>
          </w:p>
        </w:tc>
        <w:tc>
          <w:tcPr>
            <w:tcW/>
          </w:tcPr>
          <w:p>
            <w:pPr>
              <w:spacing w:line="240" w:lineRule="auto"/>
              <w:jc w:val="right"/>
            </w:pPr>
            <w:r>
              <w:rPr>
                <w:rFonts w:ascii="宋体" w:hAnsi="宋体" w:cs="宋体" w:eastAsia="宋体"/>
                <w:b w:val="false"/>
              </w:rPr>
              <w:t>85,000</w:t>
            </w:r>
          </w:p>
        </w:tc>
        <w:tc>
          <w:tcPr>
            <w:tcW/>
          </w:tcPr>
          <w:p>
            <w:pPr>
              <w:spacing w:line="240" w:lineRule="auto"/>
              <w:jc w:val="right"/>
            </w:pPr>
            <w:r>
              <w:rPr>
                <w:rFonts w:ascii="宋体" w:hAnsi="宋体" w:cs="宋体" w:eastAsia="宋体"/>
                <w:b w:val="false"/>
              </w:rPr>
              <w:t>8,607,998.90</w:t>
            </w:r>
          </w:p>
        </w:tc>
        <w:tc>
          <w:tcPr>
            <w:tcW/>
          </w:tcPr>
          <w:p>
            <w:pPr>
              <w:spacing w:line="240" w:lineRule="auto"/>
              <w:jc w:val="right"/>
            </w:pPr>
            <w:r>
              <w:rPr>
                <w:rFonts w:ascii="宋体" w:hAnsi="宋体" w:cs="宋体" w:eastAsia="宋体"/>
                <w:b w:val="false"/>
              </w:rPr>
              <w:t>5.72</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cr/>
      </w:r>
      <w:r>
        <w:rPr>
          <w:rFonts w:ascii="宋体" w:hAnsi="宋体" w:cs="宋体" w:eastAsia="宋体"/>
          <w:b w:val="false"/>
        </w:rPr>
        <w:t xml:space="preserve">    </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cr/>
      </w:r>
      <w:r>
        <w:rPr>
          <w:rFonts w:ascii="宋体" w:hAnsi="宋体" w:cs="宋体" w:eastAsia="宋体"/>
          <w:b w:val="false"/>
        </w:rPr>
        <w:t xml:space="preserve">    </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cr/>
      </w:r>
      <w:r>
        <w:rPr>
          <w:rFonts w:ascii="宋体" w:hAnsi="宋体" w:cs="宋体" w:eastAsia="宋体"/>
          <w:b w:val="false"/>
        </w:rPr>
        <w:t xml:space="preserve">    </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580,311.20</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127.81</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580,439.01</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cr/>
      </w:r>
      <w:r>
        <w:rPr>
          <w:rFonts w:ascii="宋体" w:hAnsi="宋体" w:cs="宋体" w:eastAsia="宋体"/>
          <w:b w:val="false"/>
        </w:rPr>
        <w:t xml:space="preserve">    </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东方阿尔法兴科一年持有混合A</w:t>
            </w:r>
          </w:p>
        </w:tc>
        <w:tc>
          <w:tcPr>
            <w:tcW w:type="pct" w:w="1300"/>
            <w:vAlign w:val="center"/>
          </w:tcPr>
          <w:p>
            <w:pPr>
              <w:spacing w:line="240" w:lineRule="auto"/>
              <w:jc w:val="center"/>
            </w:pPr>
            <w:r>
              <w:rPr>
                <w:rFonts w:ascii="宋体" w:hAnsi="宋体" w:cs="宋体" w:eastAsia="宋体"/>
                <w:b w:val="false"/>
              </w:rPr>
              <w:t>东方阿尔法兴科一年持有混合C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161,269,483.81</w:t>
            </w:r>
          </w:p>
        </w:tc>
        <w:tc>
          <w:tcPr>
            <w:tcW w:type="pct" w:w="1300"/>
            <w:vAlign w:val="center"/>
          </w:tcPr>
          <w:p>
            <w:pPr>
              <w:spacing w:line="240" w:lineRule="auto"/>
              <w:jc w:val="right"/>
            </w:pPr>
            <w:r>
              <w:rPr>
                <w:rFonts w:ascii="宋体" w:hAnsi="宋体" w:cs="宋体" w:eastAsia="宋体"/>
                <w:b w:val="false"/>
              </w:rPr>
              <w:t>32,401,052.86</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353,373.80</w:t>
            </w:r>
          </w:p>
        </w:tc>
        <w:tc>
          <w:tcPr>
            <w:tcW w:type="pct" w:w="1300"/>
            <w:vAlign w:val="center"/>
          </w:tcPr>
          <w:p>
            <w:pPr>
              <w:spacing w:line="240" w:lineRule="auto"/>
              <w:jc w:val="right"/>
            </w:pPr>
            <w:r>
              <w:rPr>
                <w:rFonts w:ascii="宋体" w:hAnsi="宋体" w:cs="宋体" w:eastAsia="宋体"/>
                <w:b w:val="false"/>
              </w:rPr>
              <w:t>209,852.80</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16,351,720.08</w:t>
            </w:r>
          </w:p>
        </w:tc>
        <w:tc>
          <w:tcPr>
            <w:tcW w:type="pct" w:w="1300"/>
            <w:vAlign w:val="center"/>
          </w:tcPr>
          <w:p>
            <w:pPr>
              <w:spacing w:line="240" w:lineRule="auto"/>
              <w:jc w:val="right"/>
            </w:pPr>
            <w:r>
              <w:rPr>
                <w:rFonts w:ascii="宋体" w:hAnsi="宋体" w:cs="宋体" w:eastAsia="宋体"/>
                <w:b w:val="false"/>
              </w:rPr>
              <w:t>1,858,904.57</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145,271,137.53</w:t>
            </w:r>
          </w:p>
        </w:tc>
        <w:tc>
          <w:tcPr>
            <w:tcW w:type="pct" w:w="1300"/>
            <w:vAlign w:val="center"/>
          </w:tcPr>
          <w:p>
            <w:pPr>
              <w:spacing w:line="240" w:lineRule="auto"/>
              <w:jc w:val="right"/>
            </w:pPr>
            <w:r>
              <w:rPr>
                <w:rFonts w:ascii="宋体" w:hAnsi="宋体" w:cs="宋体" w:eastAsia="宋体"/>
                <w:b w:val="false"/>
              </w:rPr>
              <w:t>30,752,001.09</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东方阿尔法兴科一年持有混合A</w:t>
            </w:r>
          </w:p>
        </w:tc>
        <w:tc>
          <w:tcPr>
            <w:tcW w:type="pct" w:w="950"/>
            <w:vAlign w:val="center"/>
          </w:tcPr>
          <w:p>
            <w:pPr>
              <w:spacing w:line="240" w:lineRule="auto"/>
              <w:jc w:val="center"/>
            </w:pPr>
            <w:r>
              <w:rPr>
                <w:rFonts w:ascii="宋体" w:hAnsi="宋体" w:cs="宋体" w:eastAsia="宋体"/>
                <w:b w:val="false"/>
              </w:rPr>
              <w:t>东方阿尔法兴科一年持有混合C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5,024,641.7</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5,024,641.7</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2.85</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 本基金管理人未运用固有资金投资本基金。</w:t>
      </w:r>
    </w:p>
    <w:p>
      <w:pPr>
        <w:pStyle w:val="1"/>
        <w:jc w:val="center"/>
      </w:pPr>
      <w:r>
        <w:rPr>
          <w:rFonts w:ascii="宋体" w:hAnsi="宋体" w:cs="宋体" w:eastAsia="宋体"/>
        </w:rPr>
        <w:t>§8 影响投资者决策的其他重要信息</w:t>
      </w:r>
    </w:p>
    <w:p>
      <w:pPr>
        <w:pStyle w:val="2"/>
        <w:jc w:val="left"/>
      </w:pPr>
      <w:r>
        <w:rPr>
          <w:rFonts w:ascii="宋体" w:hAnsi="宋体" w:cs="宋体" w:eastAsia="宋体"/>
        </w:rPr>
        <w:t>8.1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2025年4月1日- 2025年6月30日</w:t>
            </w:r>
          </w:p>
        </w:tc>
        <w:tc>
          <w:tcPr>
            <w:tcW/>
            <w:vAlign w:val="center"/>
          </w:tcPr>
          <w:p>
            <w:pPr>
              <w:spacing w:line="240" w:lineRule="auto"/>
              <w:jc w:val="right"/>
            </w:pPr>
            <w:r>
              <w:rPr>
                <w:rFonts w:ascii="宋体" w:hAnsi="宋体" w:cs="宋体" w:eastAsia="宋体"/>
                <w:b w:val="false"/>
              </w:rPr>
              <w:t>49,201,250.00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49,201,250.00</w:t>
            </w:r>
          </w:p>
        </w:tc>
        <w:tc>
          <w:tcPr>
            <w:tcW/>
            <w:vAlign w:val="center"/>
          </w:tcPr>
          <w:p>
            <w:pPr>
              <w:spacing w:line="240" w:lineRule="auto"/>
              <w:jc w:val="right"/>
            </w:pPr>
            <w:r>
              <w:rPr>
                <w:rFonts w:ascii="宋体" w:hAnsi="宋体" w:cs="宋体" w:eastAsia="宋体"/>
                <w:b w:val="false"/>
              </w:rPr>
              <w:t>27.95%</w:t>
            </w:r>
          </w:p>
        </w:tc>
      </w:tr>
      <w:tr>
        <w:tc>
          <w:tcPr>
            <w:tcW/>
            <w:hMerge w:val="restart"/>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8.2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§9 备查文件目录</w:t>
      </w:r>
    </w:p>
    <w:p>
      <w:pPr>
        <w:pStyle w:val="2"/>
        <w:jc w:val="left"/>
      </w:pPr>
      <w:r>
        <w:rPr>
          <w:rFonts w:ascii="宋体" w:hAnsi="宋体" w:cs="宋体" w:eastAsia="宋体"/>
        </w:rPr>
        <w:t>9.1 备查文件目录</w:t>
      </w:r>
    </w:p>
    <w:p>
      <w:r>
        <w:rPr>
          <w:rFonts w:ascii="宋体" w:hAnsi="宋体" w:cs="宋体" w:eastAsia="宋体"/>
          <w:b w:val="false"/>
        </w:rPr>
        <w:t xml:space="preserve">    1、中国证券监督管理委员会批准的东方阿尔法兴科一年持有期混合型证券投资基金设立的文件；</w:t>
        <w:cr/>
      </w:r>
      <w:r>
        <w:rPr>
          <w:rFonts w:ascii="宋体" w:hAnsi="宋体" w:cs="宋体" w:eastAsia="宋体"/>
          <w:b w:val="false"/>
        </w:rPr>
        <w:t xml:space="preserve">    2、《东方阿尔法兴科一年持有期混合型证券投资基金基金合同》；</w:t>
        <w:cr/>
      </w:r>
      <w:r>
        <w:rPr>
          <w:rFonts w:ascii="宋体" w:hAnsi="宋体" w:cs="宋体" w:eastAsia="宋体"/>
          <w:b w:val="false"/>
        </w:rPr>
        <w:t xml:space="preserve">    3、《东方阿尔法兴科一年持有期混合型证券投资基金托管协议》；</w:t>
        <w:cr/>
      </w:r>
      <w:r>
        <w:rPr>
          <w:rFonts w:ascii="宋体" w:hAnsi="宋体" w:cs="宋体" w:eastAsia="宋体"/>
          <w:b w:val="false"/>
        </w:rPr>
        <w:t xml:space="preserve">    4、《东方阿尔法兴科一年持有期混合型证券投资基金招募说明书》（含更新）；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9.2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9.3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二〇二五年七月十九日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东方阿尔法兴科一年持有期混合型证券投资基金2025年第2季度报告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