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tabs>
          <w:tab w:val="right" w:leader="dot" w:pos="9080"/>
        </w:tabs>
        <w:spacing w:before="72" w:after="120"/>
        <w:jc w:val="center"/>
        <w:rPr>
          <w:rFonts w:ascii="宋体" w:hAnsi="宋体"/>
          <w:b/>
          <w:bCs/>
          <w:sz w:val="24"/>
        </w:rPr>
      </w:pPr>
      <w:bookmarkStart w:id="67" w:name="_GoBack"/>
      <w:bookmarkEnd w:id="67"/>
    </w:p>
    <w:p w14:paraId="506D74B8">
      <w:pPr>
        <w:tabs>
          <w:tab w:val="right" w:leader="dot" w:pos="9080"/>
        </w:tabs>
        <w:spacing w:before="72" w:after="120"/>
        <w:jc w:val="center"/>
        <w:rPr>
          <w:rFonts w:ascii="宋体" w:hAnsi="宋体"/>
          <w:b/>
          <w:bCs/>
          <w:sz w:val="24"/>
        </w:rPr>
      </w:pPr>
    </w:p>
    <w:p w14:paraId="12239E3F">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东方阿尔法科技优选混合型发起式证券投资基金</w:t>
      </w:r>
    </w:p>
    <w:p w14:paraId="7B7AA3D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2025年中期报告</w:t>
      </w:r>
    </w:p>
    <w:p w14:paraId="2AEC377D">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43197BDE">
      <w:pPr>
        <w:tabs>
          <w:tab w:val="right" w:leader="dot" w:pos="9080"/>
        </w:tabs>
        <w:spacing w:before="72" w:after="120"/>
        <w:jc w:val="center"/>
        <w:rPr>
          <w:rFonts w:ascii="宋体" w:hAnsi="宋体"/>
          <w:b/>
          <w:bCs/>
          <w:sz w:val="24"/>
        </w:rPr>
      </w:pPr>
    </w:p>
    <w:p w14:paraId="43B1DC19">
      <w:pPr>
        <w:tabs>
          <w:tab w:val="right" w:leader="dot" w:pos="9080"/>
        </w:tabs>
        <w:spacing w:before="72" w:after="120"/>
        <w:jc w:val="center"/>
        <w:rPr>
          <w:rFonts w:ascii="宋体" w:hAnsi="宋体"/>
          <w:b/>
          <w:bCs/>
          <w:sz w:val="24"/>
        </w:rPr>
      </w:pPr>
    </w:p>
    <w:p w14:paraId="19558CDE">
      <w:pPr>
        <w:tabs>
          <w:tab w:val="right" w:leader="dot" w:pos="9080"/>
        </w:tabs>
        <w:spacing w:before="72" w:after="120"/>
        <w:jc w:val="center"/>
        <w:rPr>
          <w:rFonts w:ascii="宋体" w:hAnsi="宋体"/>
          <w:b/>
          <w:bCs/>
          <w:sz w:val="24"/>
        </w:rPr>
      </w:pPr>
    </w:p>
    <w:p w14:paraId="0209D5B4">
      <w:pPr>
        <w:tabs>
          <w:tab w:val="right" w:leader="dot" w:pos="9080"/>
        </w:tabs>
        <w:spacing w:before="72" w:after="120"/>
        <w:jc w:val="center"/>
        <w:rPr>
          <w:rFonts w:ascii="宋体" w:hAnsi="宋体"/>
          <w:b/>
          <w:bCs/>
          <w:sz w:val="24"/>
        </w:rPr>
      </w:pPr>
    </w:p>
    <w:p w14:paraId="4E57FE95">
      <w:pPr>
        <w:tabs>
          <w:tab w:val="right" w:leader="dot" w:pos="9080"/>
        </w:tabs>
        <w:spacing w:before="72" w:after="120"/>
        <w:jc w:val="center"/>
        <w:rPr>
          <w:rFonts w:ascii="宋体" w:hAnsi="宋体"/>
          <w:b/>
          <w:bCs/>
          <w:sz w:val="24"/>
        </w:rPr>
      </w:pPr>
    </w:p>
    <w:p w14:paraId="20CE69B5">
      <w:pPr>
        <w:tabs>
          <w:tab w:val="right" w:leader="dot" w:pos="9080"/>
        </w:tabs>
        <w:spacing w:before="72" w:after="120"/>
        <w:jc w:val="center"/>
        <w:rPr>
          <w:rFonts w:ascii="宋体" w:hAnsi="宋体"/>
          <w:b/>
          <w:bCs/>
          <w:sz w:val="24"/>
        </w:rPr>
      </w:pPr>
    </w:p>
    <w:p w14:paraId="29BA0B7D">
      <w:pPr>
        <w:tabs>
          <w:tab w:val="right" w:leader="dot" w:pos="9080"/>
        </w:tabs>
        <w:spacing w:before="72" w:after="120"/>
        <w:jc w:val="center"/>
        <w:rPr>
          <w:rFonts w:ascii="宋体" w:hAnsi="宋体"/>
          <w:b/>
          <w:bCs/>
          <w:sz w:val="24"/>
        </w:rPr>
      </w:pPr>
    </w:p>
    <w:p w14:paraId="61577FDE">
      <w:pPr>
        <w:tabs>
          <w:tab w:val="right" w:leader="dot" w:pos="9080"/>
        </w:tabs>
        <w:spacing w:before="72" w:after="120"/>
        <w:jc w:val="center"/>
        <w:rPr>
          <w:rFonts w:ascii="宋体" w:hAnsi="宋体"/>
          <w:b/>
          <w:bCs/>
          <w:sz w:val="24"/>
        </w:rPr>
      </w:pPr>
    </w:p>
    <w:p w14:paraId="74D15018">
      <w:pPr>
        <w:tabs>
          <w:tab w:val="right" w:leader="dot" w:pos="9080"/>
        </w:tabs>
        <w:spacing w:before="72" w:after="120"/>
        <w:jc w:val="center"/>
        <w:rPr>
          <w:rFonts w:ascii="宋体" w:hAnsi="宋体"/>
          <w:b/>
          <w:bCs/>
          <w:sz w:val="24"/>
        </w:rPr>
      </w:pPr>
    </w:p>
    <w:p w14:paraId="1CFAB0DE">
      <w:pPr>
        <w:tabs>
          <w:tab w:val="right" w:leader="dot" w:pos="9080"/>
        </w:tabs>
        <w:spacing w:before="72" w:after="120"/>
        <w:jc w:val="center"/>
        <w:rPr>
          <w:rFonts w:ascii="宋体" w:hAnsi="宋体"/>
          <w:b/>
          <w:bCs/>
          <w:sz w:val="24"/>
        </w:rPr>
      </w:pPr>
    </w:p>
    <w:p w14:paraId="585FE9C5">
      <w:pPr>
        <w:tabs>
          <w:tab w:val="right" w:leader="dot" w:pos="9080"/>
        </w:tabs>
        <w:spacing w:before="72" w:after="120"/>
        <w:jc w:val="center"/>
        <w:rPr>
          <w:rFonts w:ascii="宋体" w:hAnsi="宋体"/>
          <w:b/>
          <w:bCs/>
          <w:sz w:val="24"/>
        </w:rPr>
      </w:pPr>
    </w:p>
    <w:p w14:paraId="72982273">
      <w:pPr>
        <w:tabs>
          <w:tab w:val="right" w:leader="dot" w:pos="9080"/>
        </w:tabs>
        <w:spacing w:before="72" w:after="120"/>
        <w:jc w:val="center"/>
        <w:rPr>
          <w:rFonts w:ascii="宋体" w:hAnsi="宋体"/>
          <w:b/>
          <w:bCs/>
          <w:sz w:val="24"/>
        </w:rPr>
      </w:pPr>
    </w:p>
    <w:p w14:paraId="516E8798">
      <w:pPr>
        <w:tabs>
          <w:tab w:val="right" w:leader="dot" w:pos="9080"/>
        </w:tabs>
        <w:spacing w:before="72" w:after="120"/>
        <w:jc w:val="center"/>
        <w:rPr>
          <w:rFonts w:ascii="宋体" w:hAnsi="宋体"/>
          <w:b/>
          <w:bCs/>
          <w:sz w:val="24"/>
        </w:rPr>
      </w:pPr>
    </w:p>
    <w:p w14:paraId="1854A8C4">
      <w:pPr>
        <w:tabs>
          <w:tab w:val="right" w:leader="dot" w:pos="9080"/>
        </w:tabs>
        <w:spacing w:before="72" w:after="120"/>
        <w:jc w:val="center"/>
        <w:rPr>
          <w:rFonts w:ascii="宋体" w:hAnsi="宋体"/>
          <w:b/>
          <w:bCs/>
          <w:sz w:val="24"/>
        </w:rPr>
      </w:pPr>
    </w:p>
    <w:p w14:paraId="02DB12D1">
      <w:pPr>
        <w:tabs>
          <w:tab w:val="right" w:leader="dot" w:pos="9080"/>
        </w:tabs>
        <w:spacing w:before="72" w:after="120"/>
        <w:jc w:val="center"/>
        <w:rPr>
          <w:rFonts w:ascii="宋体" w:hAnsi="宋体"/>
          <w:b/>
          <w:bCs/>
          <w:sz w:val="24"/>
        </w:rPr>
      </w:pPr>
    </w:p>
    <w:p w14:paraId="296D8477">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14:paraId="5C69E2B6">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2025年08月30日</w:t>
      </w:r>
    </w:p>
    <w:p w14:paraId="652B3B4E">
      <w:pPr>
        <w:jc w:val="center"/>
      </w:pPr>
      <w:r>
        <w:br w:type="page"/>
      </w:r>
    </w:p>
    <w:p w14:paraId="468EFB59">
      <w:pPr>
        <w:pStyle w:val="2"/>
        <w:rPr>
          <w:rFonts w:ascii="宋体" w:hAnsi="宋体"/>
        </w:rPr>
      </w:pPr>
      <w:bookmarkStart w:id="0" w:name="_Toc35266759"/>
      <w:bookmarkStart w:id="1" w:name="_Toc3350"/>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10040"/>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中期报告已经三分之二以上独立董事签字同意，并由董事长签发。 </w:t>
      </w:r>
      <w:r>
        <w:cr/>
      </w:r>
      <w:r>
        <w:t xml:space="preserve">    基金托管人中信银行股份有限公司根据本基金合同规定,于2025年08月29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本报告中的财务资料未经审计。</w:t>
      </w:r>
      <w:r>
        <w:cr/>
      </w:r>
      <w:r>
        <w:t xml:space="preserve">    本报告期自2025年06月06日（基金合同生效日）起至2025年06月30日止。</w:t>
      </w:r>
    </w:p>
    <w:p w14:paraId="086E17BD">
      <w:r>
        <w:br w:type="page"/>
      </w:r>
    </w:p>
    <w:p w14:paraId="0291529B">
      <w:pPr>
        <w:pStyle w:val="3"/>
        <w:rPr>
          <w:rFonts w:ascii="宋体" w:hAnsi="宋体"/>
        </w:rPr>
      </w:pPr>
      <w:bookmarkStart w:id="4" w:name="_Toc22967"/>
      <w:r>
        <w:rPr>
          <w:rFonts w:hint="eastAsia" w:ascii="宋体" w:hAnsi="宋体"/>
        </w:rPr>
        <w:t>1</w:t>
      </w:r>
      <w:r>
        <w:rPr>
          <w:rFonts w:ascii="宋体" w:hAnsi="宋体"/>
        </w:rPr>
        <w:t xml:space="preserve">.2 </w:t>
      </w:r>
      <w:r>
        <w:rPr>
          <w:rFonts w:hint="eastAsia" w:ascii="宋体" w:hAnsi="宋体"/>
        </w:rPr>
        <w:t>目录</w:t>
      </w:r>
      <w:bookmarkEnd w:id="4"/>
    </w:p>
    <w:p w14:paraId="67568332">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_Toc3350 </w:instrText>
      </w:r>
      <w:r>
        <w:fldChar w:fldCharType="separate"/>
      </w:r>
      <w:r>
        <w:rPr>
          <w:rFonts w:hint="eastAsia" w:ascii="宋体" w:hAnsi="宋体"/>
        </w:rPr>
        <w:t>§1 重要提示及目录</w:t>
      </w:r>
      <w:r>
        <w:tab/>
      </w:r>
      <w:r>
        <w:fldChar w:fldCharType="begin"/>
      </w:r>
      <w:r>
        <w:instrText xml:space="preserve"> PAGEREF _Toc3350 \h </w:instrText>
      </w:r>
      <w:r>
        <w:fldChar w:fldCharType="separate"/>
      </w:r>
      <w:r>
        <w:t>1</w:t>
      </w:r>
      <w:r>
        <w:fldChar w:fldCharType="end"/>
      </w:r>
      <w:r>
        <w:fldChar w:fldCharType="end"/>
      </w:r>
    </w:p>
    <w:p w14:paraId="3410E7C7">
      <w:pPr>
        <w:pStyle w:val="22"/>
        <w:tabs>
          <w:tab w:val="right" w:leader="dot" w:pos="9070"/>
        </w:tabs>
      </w:pPr>
      <w:r>
        <w:fldChar w:fldCharType="begin"/>
      </w:r>
      <w:r>
        <w:instrText xml:space="preserve"> HYPERLINK \l _Toc10040 </w:instrText>
      </w:r>
      <w:r>
        <w:fldChar w:fldCharType="separate"/>
      </w:r>
      <w:r>
        <w:rPr>
          <w:rFonts w:hint="eastAsia" w:ascii="宋体" w:hAnsi="宋体"/>
        </w:rPr>
        <w:t>1.1 重要提示</w:t>
      </w:r>
      <w:r>
        <w:tab/>
      </w:r>
      <w:r>
        <w:fldChar w:fldCharType="begin"/>
      </w:r>
      <w:r>
        <w:instrText xml:space="preserve"> PAGEREF _Toc10040 \h </w:instrText>
      </w:r>
      <w:r>
        <w:fldChar w:fldCharType="separate"/>
      </w:r>
      <w:r>
        <w:t>1</w:t>
      </w:r>
      <w:r>
        <w:fldChar w:fldCharType="end"/>
      </w:r>
      <w:r>
        <w:fldChar w:fldCharType="end"/>
      </w:r>
    </w:p>
    <w:p w14:paraId="4AE356F8">
      <w:pPr>
        <w:pStyle w:val="22"/>
        <w:tabs>
          <w:tab w:val="right" w:leader="dot" w:pos="9070"/>
        </w:tabs>
      </w:pPr>
      <w:r>
        <w:fldChar w:fldCharType="begin"/>
      </w:r>
      <w:r>
        <w:instrText xml:space="preserve"> HYPERLINK \l _Toc22967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_Toc22967 \h </w:instrText>
      </w:r>
      <w:r>
        <w:fldChar w:fldCharType="separate"/>
      </w:r>
      <w:r>
        <w:t>2</w:t>
      </w:r>
      <w:r>
        <w:fldChar w:fldCharType="end"/>
      </w:r>
      <w:r>
        <w:fldChar w:fldCharType="end"/>
      </w:r>
    </w:p>
    <w:p w14:paraId="7F75FC5B">
      <w:pPr>
        <w:pStyle w:val="19"/>
        <w:tabs>
          <w:tab w:val="right" w:leader="dot" w:pos="9070"/>
          <w:tab w:val="clear" w:pos="9060"/>
        </w:tabs>
      </w:pPr>
      <w:r>
        <w:fldChar w:fldCharType="begin"/>
      </w:r>
      <w:r>
        <w:instrText xml:space="preserve"> HYPERLINK \l _Toc15034 </w:instrText>
      </w:r>
      <w:r>
        <w:fldChar w:fldCharType="separate"/>
      </w:r>
      <w:r>
        <w:rPr>
          <w:rFonts w:ascii="宋体" w:hAnsi="宋体" w:eastAsia="宋体" w:cs="宋体"/>
        </w:rPr>
        <w:t>§2 基金简介</w:t>
      </w:r>
      <w:r>
        <w:tab/>
      </w:r>
      <w:r>
        <w:fldChar w:fldCharType="begin"/>
      </w:r>
      <w:r>
        <w:instrText xml:space="preserve"> PAGEREF _Toc15034 \h </w:instrText>
      </w:r>
      <w:r>
        <w:fldChar w:fldCharType="separate"/>
      </w:r>
      <w:r>
        <w:t>4</w:t>
      </w:r>
      <w:r>
        <w:fldChar w:fldCharType="end"/>
      </w:r>
      <w:r>
        <w:fldChar w:fldCharType="end"/>
      </w:r>
    </w:p>
    <w:p w14:paraId="1B6A1E16">
      <w:pPr>
        <w:pStyle w:val="22"/>
        <w:tabs>
          <w:tab w:val="right" w:leader="dot" w:pos="9070"/>
        </w:tabs>
      </w:pPr>
      <w:r>
        <w:fldChar w:fldCharType="begin"/>
      </w:r>
      <w:r>
        <w:instrText xml:space="preserve"> HYPERLINK \l _Toc31901 </w:instrText>
      </w:r>
      <w:r>
        <w:fldChar w:fldCharType="separate"/>
      </w:r>
      <w:r>
        <w:rPr>
          <w:rFonts w:ascii="宋体" w:hAnsi="宋体" w:eastAsia="宋体" w:cs="宋体"/>
        </w:rPr>
        <w:t>2.1 基金基本情况</w:t>
      </w:r>
      <w:r>
        <w:tab/>
      </w:r>
      <w:r>
        <w:fldChar w:fldCharType="begin"/>
      </w:r>
      <w:r>
        <w:instrText xml:space="preserve"> PAGEREF _Toc31901 \h </w:instrText>
      </w:r>
      <w:r>
        <w:fldChar w:fldCharType="separate"/>
      </w:r>
      <w:r>
        <w:t>4</w:t>
      </w:r>
      <w:r>
        <w:fldChar w:fldCharType="end"/>
      </w:r>
      <w:r>
        <w:fldChar w:fldCharType="end"/>
      </w:r>
    </w:p>
    <w:p w14:paraId="71A8CDF6">
      <w:pPr>
        <w:pStyle w:val="22"/>
        <w:tabs>
          <w:tab w:val="right" w:leader="dot" w:pos="9070"/>
        </w:tabs>
      </w:pPr>
      <w:r>
        <w:fldChar w:fldCharType="begin"/>
      </w:r>
      <w:r>
        <w:instrText xml:space="preserve"> HYPERLINK \l _Toc23773 </w:instrText>
      </w:r>
      <w:r>
        <w:fldChar w:fldCharType="separate"/>
      </w:r>
      <w:r>
        <w:rPr>
          <w:rFonts w:ascii="宋体" w:hAnsi="宋体" w:eastAsia="宋体" w:cs="宋体"/>
        </w:rPr>
        <w:t>2.2 基金产品说明</w:t>
      </w:r>
      <w:r>
        <w:tab/>
      </w:r>
      <w:r>
        <w:fldChar w:fldCharType="begin"/>
      </w:r>
      <w:r>
        <w:instrText xml:space="preserve"> PAGEREF _Toc23773 \h </w:instrText>
      </w:r>
      <w:r>
        <w:fldChar w:fldCharType="separate"/>
      </w:r>
      <w:r>
        <w:t>4</w:t>
      </w:r>
      <w:r>
        <w:fldChar w:fldCharType="end"/>
      </w:r>
      <w:r>
        <w:fldChar w:fldCharType="end"/>
      </w:r>
    </w:p>
    <w:p w14:paraId="5D871585">
      <w:pPr>
        <w:pStyle w:val="22"/>
        <w:tabs>
          <w:tab w:val="right" w:leader="dot" w:pos="9070"/>
        </w:tabs>
      </w:pPr>
      <w:r>
        <w:fldChar w:fldCharType="begin"/>
      </w:r>
      <w:r>
        <w:instrText xml:space="preserve"> HYPERLINK \l _Toc3157 </w:instrText>
      </w:r>
      <w:r>
        <w:fldChar w:fldCharType="separate"/>
      </w:r>
      <w:r>
        <w:rPr>
          <w:rFonts w:ascii="宋体" w:hAnsi="宋体" w:eastAsia="宋体" w:cs="宋体"/>
        </w:rPr>
        <w:t>2.3 基金管理人和基金托管人</w:t>
      </w:r>
      <w:r>
        <w:tab/>
      </w:r>
      <w:r>
        <w:fldChar w:fldCharType="begin"/>
      </w:r>
      <w:r>
        <w:instrText xml:space="preserve"> PAGEREF _Toc3157 \h </w:instrText>
      </w:r>
      <w:r>
        <w:fldChar w:fldCharType="separate"/>
      </w:r>
      <w:r>
        <w:t>5</w:t>
      </w:r>
      <w:r>
        <w:fldChar w:fldCharType="end"/>
      </w:r>
      <w:r>
        <w:fldChar w:fldCharType="end"/>
      </w:r>
    </w:p>
    <w:p w14:paraId="6D7DF6E0">
      <w:pPr>
        <w:pStyle w:val="22"/>
        <w:tabs>
          <w:tab w:val="right" w:leader="dot" w:pos="9070"/>
        </w:tabs>
      </w:pPr>
      <w:r>
        <w:fldChar w:fldCharType="begin"/>
      </w:r>
      <w:r>
        <w:instrText xml:space="preserve"> HYPERLINK \l _Toc1907 </w:instrText>
      </w:r>
      <w:r>
        <w:fldChar w:fldCharType="separate"/>
      </w:r>
      <w:r>
        <w:rPr>
          <w:rFonts w:ascii="宋体" w:hAnsi="宋体" w:eastAsia="宋体" w:cs="宋体"/>
        </w:rPr>
        <w:t>2.4 信息披露方式</w:t>
      </w:r>
      <w:r>
        <w:tab/>
      </w:r>
      <w:r>
        <w:fldChar w:fldCharType="begin"/>
      </w:r>
      <w:r>
        <w:instrText xml:space="preserve"> PAGEREF _Toc1907 \h </w:instrText>
      </w:r>
      <w:r>
        <w:fldChar w:fldCharType="separate"/>
      </w:r>
      <w:r>
        <w:t>6</w:t>
      </w:r>
      <w:r>
        <w:fldChar w:fldCharType="end"/>
      </w:r>
      <w:r>
        <w:fldChar w:fldCharType="end"/>
      </w:r>
    </w:p>
    <w:p w14:paraId="3018BF6D">
      <w:pPr>
        <w:pStyle w:val="22"/>
        <w:tabs>
          <w:tab w:val="right" w:leader="dot" w:pos="9070"/>
        </w:tabs>
      </w:pPr>
      <w:r>
        <w:fldChar w:fldCharType="begin"/>
      </w:r>
      <w:r>
        <w:instrText xml:space="preserve"> HYPERLINK \l _Toc19193 </w:instrText>
      </w:r>
      <w:r>
        <w:fldChar w:fldCharType="separate"/>
      </w:r>
      <w:r>
        <w:rPr>
          <w:rFonts w:ascii="宋体" w:hAnsi="宋体" w:eastAsia="宋体" w:cs="宋体"/>
        </w:rPr>
        <w:t>2.5 其他相关资料</w:t>
      </w:r>
      <w:r>
        <w:tab/>
      </w:r>
      <w:r>
        <w:fldChar w:fldCharType="begin"/>
      </w:r>
      <w:r>
        <w:instrText xml:space="preserve"> PAGEREF _Toc19193 \h </w:instrText>
      </w:r>
      <w:r>
        <w:fldChar w:fldCharType="separate"/>
      </w:r>
      <w:r>
        <w:t>6</w:t>
      </w:r>
      <w:r>
        <w:fldChar w:fldCharType="end"/>
      </w:r>
      <w:r>
        <w:fldChar w:fldCharType="end"/>
      </w:r>
    </w:p>
    <w:p w14:paraId="233804E6">
      <w:pPr>
        <w:pStyle w:val="19"/>
        <w:tabs>
          <w:tab w:val="right" w:leader="dot" w:pos="9070"/>
          <w:tab w:val="clear" w:pos="9060"/>
        </w:tabs>
      </w:pPr>
      <w:r>
        <w:fldChar w:fldCharType="begin"/>
      </w:r>
      <w:r>
        <w:instrText xml:space="preserve"> HYPERLINK \l _Toc11640 </w:instrText>
      </w:r>
      <w:r>
        <w:fldChar w:fldCharType="separate"/>
      </w:r>
      <w:r>
        <w:rPr>
          <w:rFonts w:ascii="宋体" w:hAnsi="宋体" w:eastAsia="宋体" w:cs="宋体"/>
        </w:rPr>
        <w:t>§3 主要财务指标和基金净值表现</w:t>
      </w:r>
      <w:r>
        <w:tab/>
      </w:r>
      <w:r>
        <w:fldChar w:fldCharType="begin"/>
      </w:r>
      <w:r>
        <w:instrText xml:space="preserve"> PAGEREF _Toc11640 \h </w:instrText>
      </w:r>
      <w:r>
        <w:fldChar w:fldCharType="separate"/>
      </w:r>
      <w:r>
        <w:t>6</w:t>
      </w:r>
      <w:r>
        <w:fldChar w:fldCharType="end"/>
      </w:r>
      <w:r>
        <w:fldChar w:fldCharType="end"/>
      </w:r>
    </w:p>
    <w:p w14:paraId="140DF318">
      <w:pPr>
        <w:pStyle w:val="22"/>
        <w:tabs>
          <w:tab w:val="right" w:leader="dot" w:pos="9070"/>
        </w:tabs>
      </w:pPr>
      <w:r>
        <w:fldChar w:fldCharType="begin"/>
      </w:r>
      <w:r>
        <w:instrText xml:space="preserve"> HYPERLINK \l _Toc23478 </w:instrText>
      </w:r>
      <w:r>
        <w:fldChar w:fldCharType="separate"/>
      </w:r>
      <w:r>
        <w:rPr>
          <w:rFonts w:ascii="宋体" w:hAnsi="宋体" w:eastAsia="宋体" w:cs="宋体"/>
        </w:rPr>
        <w:t>3.1 主要会计数据和财务指标</w:t>
      </w:r>
      <w:r>
        <w:tab/>
      </w:r>
      <w:r>
        <w:fldChar w:fldCharType="begin"/>
      </w:r>
      <w:r>
        <w:instrText xml:space="preserve"> PAGEREF _Toc23478 \h </w:instrText>
      </w:r>
      <w:r>
        <w:fldChar w:fldCharType="separate"/>
      </w:r>
      <w:r>
        <w:t>6</w:t>
      </w:r>
      <w:r>
        <w:fldChar w:fldCharType="end"/>
      </w:r>
      <w:r>
        <w:fldChar w:fldCharType="end"/>
      </w:r>
    </w:p>
    <w:p w14:paraId="29C3AA83">
      <w:pPr>
        <w:pStyle w:val="22"/>
        <w:tabs>
          <w:tab w:val="right" w:leader="dot" w:pos="9070"/>
        </w:tabs>
      </w:pPr>
      <w:r>
        <w:fldChar w:fldCharType="begin"/>
      </w:r>
      <w:r>
        <w:instrText xml:space="preserve"> HYPERLINK \l _Toc30977 </w:instrText>
      </w:r>
      <w:r>
        <w:fldChar w:fldCharType="separate"/>
      </w:r>
      <w:r>
        <w:rPr>
          <w:rFonts w:ascii="宋体" w:hAnsi="宋体" w:eastAsia="宋体" w:cs="宋体"/>
        </w:rPr>
        <w:t>3.2 基金净值表现</w:t>
      </w:r>
      <w:r>
        <w:tab/>
      </w:r>
      <w:r>
        <w:fldChar w:fldCharType="begin"/>
      </w:r>
      <w:r>
        <w:instrText xml:space="preserve"> PAGEREF _Toc30977 \h </w:instrText>
      </w:r>
      <w:r>
        <w:fldChar w:fldCharType="separate"/>
      </w:r>
      <w:r>
        <w:t>7</w:t>
      </w:r>
      <w:r>
        <w:fldChar w:fldCharType="end"/>
      </w:r>
      <w:r>
        <w:fldChar w:fldCharType="end"/>
      </w:r>
    </w:p>
    <w:p w14:paraId="06E2301F">
      <w:pPr>
        <w:pStyle w:val="19"/>
        <w:tabs>
          <w:tab w:val="right" w:leader="dot" w:pos="9070"/>
          <w:tab w:val="clear" w:pos="9060"/>
        </w:tabs>
      </w:pPr>
      <w:r>
        <w:fldChar w:fldCharType="begin"/>
      </w:r>
      <w:r>
        <w:instrText xml:space="preserve"> HYPERLINK \l _Toc28027 </w:instrText>
      </w:r>
      <w:r>
        <w:fldChar w:fldCharType="separate"/>
      </w:r>
      <w:r>
        <w:rPr>
          <w:rFonts w:ascii="宋体" w:hAnsi="宋体" w:eastAsia="宋体" w:cs="宋体"/>
        </w:rPr>
        <w:t>§4 管理人报告</w:t>
      </w:r>
      <w:r>
        <w:tab/>
      </w:r>
      <w:r>
        <w:fldChar w:fldCharType="begin"/>
      </w:r>
      <w:r>
        <w:instrText xml:space="preserve"> PAGEREF _Toc28027 \h </w:instrText>
      </w:r>
      <w:r>
        <w:fldChar w:fldCharType="separate"/>
      </w:r>
      <w:r>
        <w:t>8</w:t>
      </w:r>
      <w:r>
        <w:fldChar w:fldCharType="end"/>
      </w:r>
      <w:r>
        <w:fldChar w:fldCharType="end"/>
      </w:r>
    </w:p>
    <w:p w14:paraId="150C1488">
      <w:pPr>
        <w:pStyle w:val="22"/>
        <w:tabs>
          <w:tab w:val="right" w:leader="dot" w:pos="9070"/>
        </w:tabs>
      </w:pPr>
      <w:r>
        <w:fldChar w:fldCharType="begin"/>
      </w:r>
      <w:r>
        <w:instrText xml:space="preserve"> HYPERLINK \l _Toc7591 </w:instrText>
      </w:r>
      <w:r>
        <w:fldChar w:fldCharType="separate"/>
      </w:r>
      <w:r>
        <w:rPr>
          <w:rFonts w:ascii="宋体" w:hAnsi="宋体" w:eastAsia="宋体" w:cs="宋体"/>
        </w:rPr>
        <w:t>4.1 基金管理人及基金经理情况</w:t>
      </w:r>
      <w:r>
        <w:tab/>
      </w:r>
      <w:r>
        <w:fldChar w:fldCharType="begin"/>
      </w:r>
      <w:r>
        <w:instrText xml:space="preserve"> PAGEREF _Toc7591 \h </w:instrText>
      </w:r>
      <w:r>
        <w:fldChar w:fldCharType="separate"/>
      </w:r>
      <w:r>
        <w:t>8</w:t>
      </w:r>
      <w:r>
        <w:fldChar w:fldCharType="end"/>
      </w:r>
      <w:r>
        <w:fldChar w:fldCharType="end"/>
      </w:r>
    </w:p>
    <w:p w14:paraId="217E8172">
      <w:pPr>
        <w:pStyle w:val="22"/>
        <w:tabs>
          <w:tab w:val="right" w:leader="dot" w:pos="9070"/>
        </w:tabs>
      </w:pPr>
      <w:r>
        <w:fldChar w:fldCharType="begin"/>
      </w:r>
      <w:r>
        <w:instrText xml:space="preserve"> HYPERLINK \l _Toc19527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_Toc19527 \h </w:instrText>
      </w:r>
      <w:r>
        <w:fldChar w:fldCharType="separate"/>
      </w:r>
      <w:r>
        <w:t>10</w:t>
      </w:r>
      <w:r>
        <w:fldChar w:fldCharType="end"/>
      </w:r>
      <w:r>
        <w:fldChar w:fldCharType="end"/>
      </w:r>
    </w:p>
    <w:p w14:paraId="10DB2391">
      <w:pPr>
        <w:pStyle w:val="22"/>
        <w:tabs>
          <w:tab w:val="right" w:leader="dot" w:pos="9070"/>
        </w:tabs>
      </w:pPr>
      <w:r>
        <w:fldChar w:fldCharType="begin"/>
      </w:r>
      <w:r>
        <w:instrText xml:space="preserve"> HYPERLINK \l _Toc2858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_Toc2858 \h </w:instrText>
      </w:r>
      <w:r>
        <w:fldChar w:fldCharType="separate"/>
      </w:r>
      <w:r>
        <w:t>10</w:t>
      </w:r>
      <w:r>
        <w:fldChar w:fldCharType="end"/>
      </w:r>
      <w:r>
        <w:fldChar w:fldCharType="end"/>
      </w:r>
    </w:p>
    <w:p w14:paraId="74C6D084">
      <w:pPr>
        <w:pStyle w:val="22"/>
        <w:tabs>
          <w:tab w:val="right" w:leader="dot" w:pos="9070"/>
        </w:tabs>
      </w:pPr>
      <w:r>
        <w:fldChar w:fldCharType="begin"/>
      </w:r>
      <w:r>
        <w:instrText xml:space="preserve"> HYPERLINK \l _Toc5545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_Toc5545 \h </w:instrText>
      </w:r>
      <w:r>
        <w:fldChar w:fldCharType="separate"/>
      </w:r>
      <w:r>
        <w:t>10</w:t>
      </w:r>
      <w:r>
        <w:fldChar w:fldCharType="end"/>
      </w:r>
      <w:r>
        <w:fldChar w:fldCharType="end"/>
      </w:r>
    </w:p>
    <w:p w14:paraId="349BF977">
      <w:pPr>
        <w:pStyle w:val="22"/>
        <w:tabs>
          <w:tab w:val="right" w:leader="dot" w:pos="9070"/>
        </w:tabs>
      </w:pPr>
      <w:r>
        <w:fldChar w:fldCharType="begin"/>
      </w:r>
      <w:r>
        <w:instrText xml:space="preserve"> HYPERLINK \l _Toc27239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_Toc27239 \h </w:instrText>
      </w:r>
      <w:r>
        <w:fldChar w:fldCharType="separate"/>
      </w:r>
      <w:r>
        <w:t>11</w:t>
      </w:r>
      <w:r>
        <w:fldChar w:fldCharType="end"/>
      </w:r>
      <w:r>
        <w:fldChar w:fldCharType="end"/>
      </w:r>
    </w:p>
    <w:p w14:paraId="2A618EF1">
      <w:pPr>
        <w:pStyle w:val="22"/>
        <w:tabs>
          <w:tab w:val="right" w:leader="dot" w:pos="9070"/>
        </w:tabs>
      </w:pPr>
      <w:r>
        <w:fldChar w:fldCharType="begin"/>
      </w:r>
      <w:r>
        <w:instrText xml:space="preserve"> HYPERLINK \l _Toc29291 </w:instrText>
      </w:r>
      <w:r>
        <w:fldChar w:fldCharType="separate"/>
      </w:r>
      <w:r>
        <w:rPr>
          <w:rFonts w:ascii="宋体" w:hAnsi="宋体" w:eastAsia="宋体" w:cs="宋体"/>
        </w:rPr>
        <w:t>4.6 管理人对报告期内基金估值程序等事项的说明</w:t>
      </w:r>
      <w:r>
        <w:tab/>
      </w:r>
      <w:r>
        <w:fldChar w:fldCharType="begin"/>
      </w:r>
      <w:r>
        <w:instrText xml:space="preserve"> PAGEREF _Toc29291 \h </w:instrText>
      </w:r>
      <w:r>
        <w:fldChar w:fldCharType="separate"/>
      </w:r>
      <w:r>
        <w:t>11</w:t>
      </w:r>
      <w:r>
        <w:fldChar w:fldCharType="end"/>
      </w:r>
      <w:r>
        <w:fldChar w:fldCharType="end"/>
      </w:r>
    </w:p>
    <w:p w14:paraId="54E1ADE8">
      <w:pPr>
        <w:pStyle w:val="22"/>
        <w:tabs>
          <w:tab w:val="right" w:leader="dot" w:pos="9070"/>
        </w:tabs>
      </w:pPr>
      <w:r>
        <w:fldChar w:fldCharType="begin"/>
      </w:r>
      <w:r>
        <w:instrText xml:space="preserve"> HYPERLINK \l _Toc24283 </w:instrText>
      </w:r>
      <w:r>
        <w:fldChar w:fldCharType="separate"/>
      </w:r>
      <w:r>
        <w:rPr>
          <w:rFonts w:ascii="宋体" w:hAnsi="宋体" w:eastAsia="宋体" w:cs="宋体"/>
        </w:rPr>
        <w:t>4.7 管理人对报告期内基金利润分配情况的说明</w:t>
      </w:r>
      <w:r>
        <w:tab/>
      </w:r>
      <w:r>
        <w:fldChar w:fldCharType="begin"/>
      </w:r>
      <w:r>
        <w:instrText xml:space="preserve"> PAGEREF _Toc24283 \h </w:instrText>
      </w:r>
      <w:r>
        <w:fldChar w:fldCharType="separate"/>
      </w:r>
      <w:r>
        <w:t>12</w:t>
      </w:r>
      <w:r>
        <w:fldChar w:fldCharType="end"/>
      </w:r>
      <w:r>
        <w:fldChar w:fldCharType="end"/>
      </w:r>
    </w:p>
    <w:p w14:paraId="1CFB48D1">
      <w:pPr>
        <w:pStyle w:val="22"/>
        <w:tabs>
          <w:tab w:val="right" w:leader="dot" w:pos="9070"/>
        </w:tabs>
      </w:pPr>
      <w:r>
        <w:fldChar w:fldCharType="begin"/>
      </w:r>
      <w:r>
        <w:instrText xml:space="preserve"> HYPERLINK \l _Toc1670 </w:instrText>
      </w:r>
      <w:r>
        <w:fldChar w:fldCharType="separate"/>
      </w:r>
      <w:r>
        <w:rPr>
          <w:rFonts w:ascii="宋体" w:hAnsi="宋体" w:eastAsia="宋体" w:cs="宋体"/>
        </w:rPr>
        <w:t>4.8 报告期内管理人对本基金持有人数或基金资产净值预警情形的说明</w:t>
      </w:r>
      <w:r>
        <w:tab/>
      </w:r>
      <w:r>
        <w:fldChar w:fldCharType="begin"/>
      </w:r>
      <w:r>
        <w:instrText xml:space="preserve"> PAGEREF _Toc1670 \h </w:instrText>
      </w:r>
      <w:r>
        <w:fldChar w:fldCharType="separate"/>
      </w:r>
      <w:r>
        <w:t>12</w:t>
      </w:r>
      <w:r>
        <w:fldChar w:fldCharType="end"/>
      </w:r>
      <w:r>
        <w:fldChar w:fldCharType="end"/>
      </w:r>
    </w:p>
    <w:p w14:paraId="1F6F2134">
      <w:pPr>
        <w:pStyle w:val="19"/>
        <w:tabs>
          <w:tab w:val="right" w:leader="dot" w:pos="9070"/>
          <w:tab w:val="clear" w:pos="9060"/>
        </w:tabs>
      </w:pPr>
      <w:r>
        <w:fldChar w:fldCharType="begin"/>
      </w:r>
      <w:r>
        <w:instrText xml:space="preserve"> HYPERLINK \l _Toc6463 </w:instrText>
      </w:r>
      <w:r>
        <w:fldChar w:fldCharType="separate"/>
      </w:r>
      <w:r>
        <w:rPr>
          <w:rFonts w:ascii="宋体" w:hAnsi="宋体" w:eastAsia="宋体" w:cs="宋体"/>
        </w:rPr>
        <w:t>§5 托管人报告</w:t>
      </w:r>
      <w:r>
        <w:tab/>
      </w:r>
      <w:r>
        <w:fldChar w:fldCharType="begin"/>
      </w:r>
      <w:r>
        <w:instrText xml:space="preserve"> PAGEREF _Toc6463 \h </w:instrText>
      </w:r>
      <w:r>
        <w:fldChar w:fldCharType="separate"/>
      </w:r>
      <w:r>
        <w:t>12</w:t>
      </w:r>
      <w:r>
        <w:fldChar w:fldCharType="end"/>
      </w:r>
      <w:r>
        <w:fldChar w:fldCharType="end"/>
      </w:r>
    </w:p>
    <w:p w14:paraId="4DB9E5D0">
      <w:pPr>
        <w:pStyle w:val="22"/>
        <w:tabs>
          <w:tab w:val="right" w:leader="dot" w:pos="9070"/>
        </w:tabs>
      </w:pPr>
      <w:r>
        <w:fldChar w:fldCharType="begin"/>
      </w:r>
      <w:r>
        <w:instrText xml:space="preserve"> HYPERLINK \l _Toc4565 </w:instrText>
      </w:r>
      <w:r>
        <w:fldChar w:fldCharType="separate"/>
      </w:r>
      <w:r>
        <w:rPr>
          <w:rFonts w:ascii="宋体" w:hAnsi="宋体" w:eastAsia="宋体" w:cs="宋体"/>
        </w:rPr>
        <w:t>5.1 报告期内本基金托管人遵规守信情况声明</w:t>
      </w:r>
      <w:r>
        <w:tab/>
      </w:r>
      <w:r>
        <w:fldChar w:fldCharType="begin"/>
      </w:r>
      <w:r>
        <w:instrText xml:space="preserve"> PAGEREF _Toc4565 \h </w:instrText>
      </w:r>
      <w:r>
        <w:fldChar w:fldCharType="separate"/>
      </w:r>
      <w:r>
        <w:t>12</w:t>
      </w:r>
      <w:r>
        <w:fldChar w:fldCharType="end"/>
      </w:r>
      <w:r>
        <w:fldChar w:fldCharType="end"/>
      </w:r>
    </w:p>
    <w:p w14:paraId="533A1E50">
      <w:pPr>
        <w:pStyle w:val="22"/>
        <w:tabs>
          <w:tab w:val="right" w:leader="dot" w:pos="9070"/>
        </w:tabs>
      </w:pPr>
      <w:r>
        <w:fldChar w:fldCharType="begin"/>
      </w:r>
      <w:r>
        <w:instrText xml:space="preserve"> HYPERLINK \l _Toc27652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_Toc27652 \h </w:instrText>
      </w:r>
      <w:r>
        <w:fldChar w:fldCharType="separate"/>
      </w:r>
      <w:r>
        <w:t>12</w:t>
      </w:r>
      <w:r>
        <w:fldChar w:fldCharType="end"/>
      </w:r>
      <w:r>
        <w:fldChar w:fldCharType="end"/>
      </w:r>
    </w:p>
    <w:p w14:paraId="0B5A74DE">
      <w:pPr>
        <w:pStyle w:val="22"/>
        <w:tabs>
          <w:tab w:val="right" w:leader="dot" w:pos="9070"/>
        </w:tabs>
      </w:pPr>
      <w:r>
        <w:fldChar w:fldCharType="begin"/>
      </w:r>
      <w:r>
        <w:instrText xml:space="preserve"> HYPERLINK \l _Toc20244 </w:instrText>
      </w:r>
      <w:r>
        <w:fldChar w:fldCharType="separate"/>
      </w:r>
      <w:r>
        <w:rPr>
          <w:rFonts w:ascii="宋体" w:hAnsi="宋体" w:eastAsia="宋体" w:cs="宋体"/>
        </w:rPr>
        <w:t>5.3 托管人对本中期报告中财务信息等内容的真实、准确和完整发表意见</w:t>
      </w:r>
      <w:r>
        <w:tab/>
      </w:r>
      <w:r>
        <w:fldChar w:fldCharType="begin"/>
      </w:r>
      <w:r>
        <w:instrText xml:space="preserve"> PAGEREF _Toc20244 \h </w:instrText>
      </w:r>
      <w:r>
        <w:fldChar w:fldCharType="separate"/>
      </w:r>
      <w:r>
        <w:t>12</w:t>
      </w:r>
      <w:r>
        <w:fldChar w:fldCharType="end"/>
      </w:r>
      <w:r>
        <w:fldChar w:fldCharType="end"/>
      </w:r>
    </w:p>
    <w:p w14:paraId="29A4A4D6">
      <w:pPr>
        <w:pStyle w:val="19"/>
        <w:tabs>
          <w:tab w:val="right" w:leader="dot" w:pos="9070"/>
          <w:tab w:val="clear" w:pos="9060"/>
        </w:tabs>
      </w:pPr>
      <w:r>
        <w:fldChar w:fldCharType="begin"/>
      </w:r>
      <w:r>
        <w:instrText xml:space="preserve"> HYPERLINK \l _Toc22715 </w:instrText>
      </w:r>
      <w:r>
        <w:fldChar w:fldCharType="separate"/>
      </w:r>
      <w:r>
        <w:rPr>
          <w:rFonts w:ascii="宋体" w:hAnsi="宋体" w:eastAsia="宋体" w:cs="宋体"/>
        </w:rPr>
        <w:t>§6 半年度财务会计报告(未经审计)</w:t>
      </w:r>
      <w:r>
        <w:tab/>
      </w:r>
      <w:r>
        <w:fldChar w:fldCharType="begin"/>
      </w:r>
      <w:r>
        <w:instrText xml:space="preserve"> PAGEREF _Toc22715 \h </w:instrText>
      </w:r>
      <w:r>
        <w:fldChar w:fldCharType="separate"/>
      </w:r>
      <w:r>
        <w:t>13</w:t>
      </w:r>
      <w:r>
        <w:fldChar w:fldCharType="end"/>
      </w:r>
      <w:r>
        <w:fldChar w:fldCharType="end"/>
      </w:r>
    </w:p>
    <w:p w14:paraId="10F26736">
      <w:pPr>
        <w:pStyle w:val="22"/>
        <w:tabs>
          <w:tab w:val="right" w:leader="dot" w:pos="9070"/>
        </w:tabs>
      </w:pPr>
      <w:r>
        <w:fldChar w:fldCharType="begin"/>
      </w:r>
      <w:r>
        <w:instrText xml:space="preserve"> HYPERLINK \l _Toc19508 </w:instrText>
      </w:r>
      <w:r>
        <w:fldChar w:fldCharType="separate"/>
      </w:r>
      <w:r>
        <w:rPr>
          <w:rFonts w:ascii="宋体" w:hAnsi="宋体" w:eastAsia="宋体" w:cs="宋体"/>
        </w:rPr>
        <w:t>6.1 资产负债表</w:t>
      </w:r>
      <w:r>
        <w:tab/>
      </w:r>
      <w:r>
        <w:fldChar w:fldCharType="begin"/>
      </w:r>
      <w:r>
        <w:instrText xml:space="preserve"> PAGEREF _Toc19508 \h </w:instrText>
      </w:r>
      <w:r>
        <w:fldChar w:fldCharType="separate"/>
      </w:r>
      <w:r>
        <w:t>13</w:t>
      </w:r>
      <w:r>
        <w:fldChar w:fldCharType="end"/>
      </w:r>
      <w:r>
        <w:fldChar w:fldCharType="end"/>
      </w:r>
    </w:p>
    <w:p w14:paraId="25858C77">
      <w:pPr>
        <w:pStyle w:val="22"/>
        <w:tabs>
          <w:tab w:val="right" w:leader="dot" w:pos="9070"/>
        </w:tabs>
      </w:pPr>
      <w:r>
        <w:fldChar w:fldCharType="begin"/>
      </w:r>
      <w:r>
        <w:instrText xml:space="preserve"> HYPERLINK \l _Toc1449 </w:instrText>
      </w:r>
      <w:r>
        <w:fldChar w:fldCharType="separate"/>
      </w:r>
      <w:r>
        <w:rPr>
          <w:rFonts w:ascii="宋体" w:hAnsi="宋体" w:eastAsia="宋体" w:cs="宋体"/>
        </w:rPr>
        <w:t>6.2 利润表</w:t>
      </w:r>
      <w:r>
        <w:tab/>
      </w:r>
      <w:r>
        <w:fldChar w:fldCharType="begin"/>
      </w:r>
      <w:r>
        <w:instrText xml:space="preserve"> PAGEREF _Toc1449 \h </w:instrText>
      </w:r>
      <w:r>
        <w:fldChar w:fldCharType="separate"/>
      </w:r>
      <w:r>
        <w:t>14</w:t>
      </w:r>
      <w:r>
        <w:fldChar w:fldCharType="end"/>
      </w:r>
      <w:r>
        <w:fldChar w:fldCharType="end"/>
      </w:r>
    </w:p>
    <w:p w14:paraId="61FEE2B5">
      <w:pPr>
        <w:pStyle w:val="22"/>
        <w:tabs>
          <w:tab w:val="right" w:leader="dot" w:pos="9070"/>
        </w:tabs>
      </w:pPr>
      <w:r>
        <w:fldChar w:fldCharType="begin"/>
      </w:r>
      <w:r>
        <w:instrText xml:space="preserve"> HYPERLINK \l _Toc3606 </w:instrText>
      </w:r>
      <w:r>
        <w:fldChar w:fldCharType="separate"/>
      </w:r>
      <w:r>
        <w:rPr>
          <w:rFonts w:ascii="宋体" w:hAnsi="宋体" w:eastAsia="宋体" w:cs="宋体"/>
        </w:rPr>
        <w:t>6.3 净资产变动表</w:t>
      </w:r>
      <w:r>
        <w:tab/>
      </w:r>
      <w:r>
        <w:fldChar w:fldCharType="begin"/>
      </w:r>
      <w:r>
        <w:instrText xml:space="preserve"> PAGEREF _Toc3606 \h </w:instrText>
      </w:r>
      <w:r>
        <w:fldChar w:fldCharType="separate"/>
      </w:r>
      <w:r>
        <w:t>15</w:t>
      </w:r>
      <w:r>
        <w:fldChar w:fldCharType="end"/>
      </w:r>
      <w:r>
        <w:fldChar w:fldCharType="end"/>
      </w:r>
    </w:p>
    <w:p w14:paraId="6EAB49F7">
      <w:pPr>
        <w:pStyle w:val="22"/>
        <w:tabs>
          <w:tab w:val="right" w:leader="dot" w:pos="9070"/>
        </w:tabs>
      </w:pPr>
      <w:r>
        <w:fldChar w:fldCharType="begin"/>
      </w:r>
      <w:r>
        <w:instrText xml:space="preserve"> HYPERLINK \l _Toc17692 </w:instrText>
      </w:r>
      <w:r>
        <w:fldChar w:fldCharType="separate"/>
      </w:r>
      <w:r>
        <w:rPr>
          <w:rFonts w:ascii="宋体" w:hAnsi="宋体" w:eastAsia="宋体" w:cs="宋体"/>
        </w:rPr>
        <w:t>6.4 报表附注</w:t>
      </w:r>
      <w:r>
        <w:tab/>
      </w:r>
      <w:r>
        <w:fldChar w:fldCharType="begin"/>
      </w:r>
      <w:r>
        <w:instrText xml:space="preserve"> PAGEREF _Toc17692 \h </w:instrText>
      </w:r>
      <w:r>
        <w:fldChar w:fldCharType="separate"/>
      </w:r>
      <w:r>
        <w:t>16</w:t>
      </w:r>
      <w:r>
        <w:fldChar w:fldCharType="end"/>
      </w:r>
      <w:r>
        <w:fldChar w:fldCharType="end"/>
      </w:r>
    </w:p>
    <w:p w14:paraId="2041D9EF">
      <w:pPr>
        <w:pStyle w:val="19"/>
        <w:tabs>
          <w:tab w:val="right" w:leader="dot" w:pos="9070"/>
          <w:tab w:val="clear" w:pos="9060"/>
        </w:tabs>
      </w:pPr>
      <w:r>
        <w:fldChar w:fldCharType="begin"/>
      </w:r>
      <w:r>
        <w:instrText xml:space="preserve"> HYPERLINK \l _Toc8982 </w:instrText>
      </w:r>
      <w:r>
        <w:fldChar w:fldCharType="separate"/>
      </w:r>
      <w:r>
        <w:rPr>
          <w:rFonts w:ascii="宋体" w:hAnsi="宋体" w:eastAsia="宋体" w:cs="宋体"/>
        </w:rPr>
        <w:t>§7 投资组合报告</w:t>
      </w:r>
      <w:r>
        <w:tab/>
      </w:r>
      <w:r>
        <w:fldChar w:fldCharType="begin"/>
      </w:r>
      <w:r>
        <w:instrText xml:space="preserve"> PAGEREF _Toc8982 \h </w:instrText>
      </w:r>
      <w:r>
        <w:fldChar w:fldCharType="separate"/>
      </w:r>
      <w:r>
        <w:t>37</w:t>
      </w:r>
      <w:r>
        <w:fldChar w:fldCharType="end"/>
      </w:r>
      <w:r>
        <w:fldChar w:fldCharType="end"/>
      </w:r>
    </w:p>
    <w:p w14:paraId="143BF505">
      <w:pPr>
        <w:pStyle w:val="22"/>
        <w:tabs>
          <w:tab w:val="right" w:leader="dot" w:pos="9070"/>
        </w:tabs>
      </w:pPr>
      <w:r>
        <w:fldChar w:fldCharType="begin"/>
      </w:r>
      <w:r>
        <w:instrText xml:space="preserve"> HYPERLINK \l _Toc25655 </w:instrText>
      </w:r>
      <w:r>
        <w:fldChar w:fldCharType="separate"/>
      </w:r>
      <w:r>
        <w:rPr>
          <w:rFonts w:ascii="宋体" w:hAnsi="宋体" w:eastAsia="宋体" w:cs="宋体"/>
        </w:rPr>
        <w:t>7.1 期末基金资产组合情况</w:t>
      </w:r>
      <w:r>
        <w:tab/>
      </w:r>
      <w:r>
        <w:fldChar w:fldCharType="begin"/>
      </w:r>
      <w:r>
        <w:instrText xml:space="preserve"> PAGEREF _Toc25655 \h </w:instrText>
      </w:r>
      <w:r>
        <w:fldChar w:fldCharType="separate"/>
      </w:r>
      <w:r>
        <w:t>37</w:t>
      </w:r>
      <w:r>
        <w:fldChar w:fldCharType="end"/>
      </w:r>
      <w:r>
        <w:fldChar w:fldCharType="end"/>
      </w:r>
    </w:p>
    <w:p w14:paraId="2518956E">
      <w:pPr>
        <w:pStyle w:val="22"/>
        <w:tabs>
          <w:tab w:val="right" w:leader="dot" w:pos="9070"/>
        </w:tabs>
      </w:pPr>
      <w:r>
        <w:fldChar w:fldCharType="begin"/>
      </w:r>
      <w:r>
        <w:instrText xml:space="preserve"> HYPERLINK \l _Toc8986 </w:instrText>
      </w:r>
      <w:r>
        <w:fldChar w:fldCharType="separate"/>
      </w:r>
      <w:r>
        <w:rPr>
          <w:rFonts w:ascii="宋体" w:hAnsi="宋体" w:eastAsia="宋体" w:cs="宋体"/>
        </w:rPr>
        <w:t>7.2 报告期末按行业分类的股票投资组合</w:t>
      </w:r>
      <w:r>
        <w:tab/>
      </w:r>
      <w:r>
        <w:fldChar w:fldCharType="begin"/>
      </w:r>
      <w:r>
        <w:instrText xml:space="preserve"> PAGEREF _Toc8986 \h </w:instrText>
      </w:r>
      <w:r>
        <w:fldChar w:fldCharType="separate"/>
      </w:r>
      <w:r>
        <w:t>38</w:t>
      </w:r>
      <w:r>
        <w:fldChar w:fldCharType="end"/>
      </w:r>
      <w:r>
        <w:fldChar w:fldCharType="end"/>
      </w:r>
    </w:p>
    <w:p w14:paraId="04934FE4">
      <w:pPr>
        <w:pStyle w:val="22"/>
        <w:tabs>
          <w:tab w:val="right" w:leader="dot" w:pos="9070"/>
        </w:tabs>
      </w:pPr>
      <w:r>
        <w:fldChar w:fldCharType="begin"/>
      </w:r>
      <w:r>
        <w:instrText xml:space="preserve"> HYPERLINK \l _Toc25934 </w:instrText>
      </w:r>
      <w:r>
        <w:fldChar w:fldCharType="separate"/>
      </w:r>
      <w:r>
        <w:rPr>
          <w:rFonts w:ascii="宋体" w:hAnsi="宋体" w:eastAsia="宋体" w:cs="宋体"/>
        </w:rPr>
        <w:t>7.3 期末按公允价值占基金资产净值比例大小排序的所有股票投资明细</w:t>
      </w:r>
      <w:r>
        <w:tab/>
      </w:r>
      <w:r>
        <w:fldChar w:fldCharType="begin"/>
      </w:r>
      <w:r>
        <w:instrText xml:space="preserve"> PAGEREF _Toc25934 \h </w:instrText>
      </w:r>
      <w:r>
        <w:fldChar w:fldCharType="separate"/>
      </w:r>
      <w:r>
        <w:t>39</w:t>
      </w:r>
      <w:r>
        <w:fldChar w:fldCharType="end"/>
      </w:r>
      <w:r>
        <w:fldChar w:fldCharType="end"/>
      </w:r>
    </w:p>
    <w:p w14:paraId="09DE9CC3">
      <w:pPr>
        <w:pStyle w:val="22"/>
        <w:tabs>
          <w:tab w:val="right" w:leader="dot" w:pos="9070"/>
        </w:tabs>
      </w:pPr>
      <w:r>
        <w:fldChar w:fldCharType="begin"/>
      </w:r>
      <w:r>
        <w:instrText xml:space="preserve"> HYPERLINK \l _Toc20742 </w:instrText>
      </w:r>
      <w:r>
        <w:fldChar w:fldCharType="separate"/>
      </w:r>
      <w:r>
        <w:rPr>
          <w:rFonts w:ascii="宋体" w:hAnsi="宋体" w:eastAsia="宋体" w:cs="宋体"/>
        </w:rPr>
        <w:t>7.4 报告期内股票投资组合的重大变动</w:t>
      </w:r>
      <w:r>
        <w:tab/>
      </w:r>
      <w:r>
        <w:fldChar w:fldCharType="begin"/>
      </w:r>
      <w:r>
        <w:instrText xml:space="preserve"> PAGEREF _Toc20742 \h </w:instrText>
      </w:r>
      <w:r>
        <w:fldChar w:fldCharType="separate"/>
      </w:r>
      <w:r>
        <w:t>40</w:t>
      </w:r>
      <w:r>
        <w:fldChar w:fldCharType="end"/>
      </w:r>
      <w:r>
        <w:fldChar w:fldCharType="end"/>
      </w:r>
    </w:p>
    <w:p w14:paraId="7878FFC5">
      <w:pPr>
        <w:pStyle w:val="22"/>
        <w:tabs>
          <w:tab w:val="right" w:leader="dot" w:pos="9070"/>
        </w:tabs>
      </w:pPr>
      <w:r>
        <w:fldChar w:fldCharType="begin"/>
      </w:r>
      <w:r>
        <w:instrText xml:space="preserve"> HYPERLINK \l _Toc10772 </w:instrText>
      </w:r>
      <w:r>
        <w:fldChar w:fldCharType="separate"/>
      </w:r>
      <w:r>
        <w:rPr>
          <w:rFonts w:ascii="宋体" w:hAnsi="宋体" w:eastAsia="宋体" w:cs="宋体"/>
        </w:rPr>
        <w:t>7.5 期末按债券品种分类的债券投资组合</w:t>
      </w:r>
      <w:r>
        <w:tab/>
      </w:r>
      <w:r>
        <w:fldChar w:fldCharType="begin"/>
      </w:r>
      <w:r>
        <w:instrText xml:space="preserve"> PAGEREF _Toc10772 \h </w:instrText>
      </w:r>
      <w:r>
        <w:fldChar w:fldCharType="separate"/>
      </w:r>
      <w:r>
        <w:t>41</w:t>
      </w:r>
      <w:r>
        <w:fldChar w:fldCharType="end"/>
      </w:r>
      <w:r>
        <w:fldChar w:fldCharType="end"/>
      </w:r>
    </w:p>
    <w:p w14:paraId="4EAC6399">
      <w:pPr>
        <w:pStyle w:val="22"/>
        <w:tabs>
          <w:tab w:val="right" w:leader="dot" w:pos="9070"/>
        </w:tabs>
      </w:pPr>
      <w:r>
        <w:fldChar w:fldCharType="begin"/>
      </w:r>
      <w:r>
        <w:instrText xml:space="preserve"> HYPERLINK \l _Toc28855 </w:instrText>
      </w:r>
      <w:r>
        <w:fldChar w:fldCharType="separate"/>
      </w:r>
      <w:r>
        <w:rPr>
          <w:rFonts w:ascii="宋体" w:hAnsi="宋体" w:eastAsia="宋体" w:cs="宋体"/>
        </w:rPr>
        <w:t>7.6 期末按公允价值占基金资产净值比例大小排序的前五名债券投资明细</w:t>
      </w:r>
      <w:r>
        <w:tab/>
      </w:r>
      <w:r>
        <w:fldChar w:fldCharType="begin"/>
      </w:r>
      <w:r>
        <w:instrText xml:space="preserve"> PAGEREF _Toc28855 \h </w:instrText>
      </w:r>
      <w:r>
        <w:fldChar w:fldCharType="separate"/>
      </w:r>
      <w:r>
        <w:t>42</w:t>
      </w:r>
      <w:r>
        <w:fldChar w:fldCharType="end"/>
      </w:r>
      <w:r>
        <w:fldChar w:fldCharType="end"/>
      </w:r>
    </w:p>
    <w:p w14:paraId="79A41979">
      <w:pPr>
        <w:pStyle w:val="22"/>
        <w:tabs>
          <w:tab w:val="right" w:leader="dot" w:pos="9070"/>
        </w:tabs>
      </w:pPr>
      <w:r>
        <w:fldChar w:fldCharType="begin"/>
      </w:r>
      <w:r>
        <w:instrText xml:space="preserve"> HYPERLINK \l _Toc29722 </w:instrText>
      </w:r>
      <w:r>
        <w:fldChar w:fldCharType="separate"/>
      </w:r>
      <w:r>
        <w:rPr>
          <w:rFonts w:ascii="宋体" w:hAnsi="宋体" w:eastAsia="宋体" w:cs="宋体"/>
        </w:rPr>
        <w:t>7.7 期末按公允价值占基金资产净值比例大小排序的所有资产支持证券投资明细</w:t>
      </w:r>
      <w:r>
        <w:tab/>
      </w:r>
      <w:r>
        <w:fldChar w:fldCharType="begin"/>
      </w:r>
      <w:r>
        <w:instrText xml:space="preserve"> PAGEREF _Toc29722 \h </w:instrText>
      </w:r>
      <w:r>
        <w:fldChar w:fldCharType="separate"/>
      </w:r>
      <w:r>
        <w:t>42</w:t>
      </w:r>
      <w:r>
        <w:fldChar w:fldCharType="end"/>
      </w:r>
      <w:r>
        <w:fldChar w:fldCharType="end"/>
      </w:r>
    </w:p>
    <w:p w14:paraId="2A561D3E">
      <w:pPr>
        <w:pStyle w:val="22"/>
        <w:tabs>
          <w:tab w:val="right" w:leader="dot" w:pos="9070"/>
        </w:tabs>
      </w:pPr>
      <w:r>
        <w:fldChar w:fldCharType="begin"/>
      </w:r>
      <w:r>
        <w:instrText xml:space="preserve"> HYPERLINK \l _Toc15864 </w:instrText>
      </w:r>
      <w:r>
        <w:fldChar w:fldCharType="separate"/>
      </w:r>
      <w:r>
        <w:rPr>
          <w:rFonts w:ascii="宋体" w:hAnsi="宋体" w:eastAsia="宋体" w:cs="宋体"/>
        </w:rPr>
        <w:t>7.8 报告期末按公允价值占基金资产净值比例大小排序的前五名贵金属投资明细</w:t>
      </w:r>
      <w:r>
        <w:tab/>
      </w:r>
      <w:r>
        <w:fldChar w:fldCharType="begin"/>
      </w:r>
      <w:r>
        <w:instrText xml:space="preserve"> PAGEREF _Toc15864 \h </w:instrText>
      </w:r>
      <w:r>
        <w:fldChar w:fldCharType="separate"/>
      </w:r>
      <w:r>
        <w:t>42</w:t>
      </w:r>
      <w:r>
        <w:fldChar w:fldCharType="end"/>
      </w:r>
      <w:r>
        <w:fldChar w:fldCharType="end"/>
      </w:r>
    </w:p>
    <w:p w14:paraId="04F7AA86">
      <w:pPr>
        <w:pStyle w:val="22"/>
        <w:tabs>
          <w:tab w:val="right" w:leader="dot" w:pos="9070"/>
        </w:tabs>
      </w:pPr>
      <w:r>
        <w:fldChar w:fldCharType="begin"/>
      </w:r>
      <w:r>
        <w:instrText xml:space="preserve"> HYPERLINK \l _Toc5753 </w:instrText>
      </w:r>
      <w:r>
        <w:fldChar w:fldCharType="separate"/>
      </w:r>
      <w:r>
        <w:rPr>
          <w:rFonts w:ascii="宋体" w:hAnsi="宋体" w:eastAsia="宋体" w:cs="宋体"/>
        </w:rPr>
        <w:t>7.9 期末按公允价值占基金资产净值比例大小排序的前五名权证投资明细</w:t>
      </w:r>
      <w:r>
        <w:tab/>
      </w:r>
      <w:r>
        <w:fldChar w:fldCharType="begin"/>
      </w:r>
      <w:r>
        <w:instrText xml:space="preserve"> PAGEREF _Toc5753 \h </w:instrText>
      </w:r>
      <w:r>
        <w:fldChar w:fldCharType="separate"/>
      </w:r>
      <w:r>
        <w:t>42</w:t>
      </w:r>
      <w:r>
        <w:fldChar w:fldCharType="end"/>
      </w:r>
      <w:r>
        <w:fldChar w:fldCharType="end"/>
      </w:r>
    </w:p>
    <w:p w14:paraId="73B8739E">
      <w:pPr>
        <w:pStyle w:val="22"/>
        <w:tabs>
          <w:tab w:val="right" w:leader="dot" w:pos="9070"/>
        </w:tabs>
      </w:pPr>
      <w:r>
        <w:fldChar w:fldCharType="begin"/>
      </w:r>
      <w:r>
        <w:instrText xml:space="preserve"> HYPERLINK \l _Toc5140 </w:instrText>
      </w:r>
      <w:r>
        <w:fldChar w:fldCharType="separate"/>
      </w:r>
      <w:r>
        <w:rPr>
          <w:rFonts w:ascii="宋体" w:hAnsi="宋体" w:eastAsia="宋体" w:cs="宋体"/>
        </w:rPr>
        <w:t>7.10 本基金投资股指期货的投资政策</w:t>
      </w:r>
      <w:r>
        <w:tab/>
      </w:r>
      <w:r>
        <w:fldChar w:fldCharType="begin"/>
      </w:r>
      <w:r>
        <w:instrText xml:space="preserve"> PAGEREF _Toc5140 \h </w:instrText>
      </w:r>
      <w:r>
        <w:fldChar w:fldCharType="separate"/>
      </w:r>
      <w:r>
        <w:t>42</w:t>
      </w:r>
      <w:r>
        <w:fldChar w:fldCharType="end"/>
      </w:r>
      <w:r>
        <w:fldChar w:fldCharType="end"/>
      </w:r>
    </w:p>
    <w:p w14:paraId="293ECE07">
      <w:pPr>
        <w:pStyle w:val="22"/>
        <w:tabs>
          <w:tab w:val="right" w:leader="dot" w:pos="9070"/>
        </w:tabs>
      </w:pPr>
      <w:r>
        <w:fldChar w:fldCharType="begin"/>
      </w:r>
      <w:r>
        <w:instrText xml:space="preserve"> HYPERLINK \l _Toc18845 </w:instrText>
      </w:r>
      <w:r>
        <w:fldChar w:fldCharType="separate"/>
      </w:r>
      <w:r>
        <w:rPr>
          <w:rFonts w:ascii="宋体" w:hAnsi="宋体" w:eastAsia="宋体" w:cs="宋体"/>
        </w:rPr>
        <w:t>7.11 报告期末本基金投资的国债期货交易情况说明</w:t>
      </w:r>
      <w:r>
        <w:tab/>
      </w:r>
      <w:r>
        <w:fldChar w:fldCharType="begin"/>
      </w:r>
      <w:r>
        <w:instrText xml:space="preserve"> PAGEREF _Toc18845 \h </w:instrText>
      </w:r>
      <w:r>
        <w:fldChar w:fldCharType="separate"/>
      </w:r>
      <w:r>
        <w:t>42</w:t>
      </w:r>
      <w:r>
        <w:fldChar w:fldCharType="end"/>
      </w:r>
      <w:r>
        <w:fldChar w:fldCharType="end"/>
      </w:r>
    </w:p>
    <w:p w14:paraId="068129E0">
      <w:pPr>
        <w:pStyle w:val="22"/>
        <w:tabs>
          <w:tab w:val="right" w:leader="dot" w:pos="9070"/>
        </w:tabs>
      </w:pPr>
      <w:r>
        <w:fldChar w:fldCharType="begin"/>
      </w:r>
      <w:r>
        <w:instrText xml:space="preserve"> HYPERLINK \l _Toc4840 </w:instrText>
      </w:r>
      <w:r>
        <w:fldChar w:fldCharType="separate"/>
      </w:r>
      <w:r>
        <w:rPr>
          <w:rFonts w:ascii="宋体" w:hAnsi="宋体" w:eastAsia="宋体" w:cs="宋体"/>
        </w:rPr>
        <w:t>7.12 投资组合报告附注</w:t>
      </w:r>
      <w:r>
        <w:tab/>
      </w:r>
      <w:r>
        <w:fldChar w:fldCharType="begin"/>
      </w:r>
      <w:r>
        <w:instrText xml:space="preserve"> PAGEREF _Toc4840 \h </w:instrText>
      </w:r>
      <w:r>
        <w:fldChar w:fldCharType="separate"/>
      </w:r>
      <w:r>
        <w:t>42</w:t>
      </w:r>
      <w:r>
        <w:fldChar w:fldCharType="end"/>
      </w:r>
      <w:r>
        <w:fldChar w:fldCharType="end"/>
      </w:r>
    </w:p>
    <w:p w14:paraId="43B52D83">
      <w:pPr>
        <w:pStyle w:val="19"/>
        <w:tabs>
          <w:tab w:val="right" w:leader="dot" w:pos="9070"/>
          <w:tab w:val="clear" w:pos="9060"/>
        </w:tabs>
      </w:pPr>
      <w:r>
        <w:fldChar w:fldCharType="begin"/>
      </w:r>
      <w:r>
        <w:instrText xml:space="preserve"> HYPERLINK \l _Toc23172 </w:instrText>
      </w:r>
      <w:r>
        <w:fldChar w:fldCharType="separate"/>
      </w:r>
      <w:r>
        <w:rPr>
          <w:rFonts w:ascii="宋体" w:hAnsi="宋体" w:eastAsia="宋体" w:cs="宋体"/>
        </w:rPr>
        <w:t>§8 基金份额持有人信息</w:t>
      </w:r>
      <w:r>
        <w:tab/>
      </w:r>
      <w:r>
        <w:fldChar w:fldCharType="begin"/>
      </w:r>
      <w:r>
        <w:instrText xml:space="preserve"> PAGEREF _Toc23172 \h </w:instrText>
      </w:r>
      <w:r>
        <w:fldChar w:fldCharType="separate"/>
      </w:r>
      <w:r>
        <w:t>43</w:t>
      </w:r>
      <w:r>
        <w:fldChar w:fldCharType="end"/>
      </w:r>
      <w:r>
        <w:fldChar w:fldCharType="end"/>
      </w:r>
    </w:p>
    <w:p w14:paraId="597E10C3">
      <w:pPr>
        <w:pStyle w:val="22"/>
        <w:tabs>
          <w:tab w:val="right" w:leader="dot" w:pos="9070"/>
        </w:tabs>
      </w:pPr>
      <w:r>
        <w:fldChar w:fldCharType="begin"/>
      </w:r>
      <w:r>
        <w:instrText xml:space="preserve"> HYPERLINK \l _Toc13737 </w:instrText>
      </w:r>
      <w:r>
        <w:fldChar w:fldCharType="separate"/>
      </w:r>
      <w:r>
        <w:rPr>
          <w:rFonts w:ascii="宋体" w:hAnsi="宋体" w:eastAsia="宋体" w:cs="宋体"/>
        </w:rPr>
        <w:t>8.1 期末基金份额持有人户数及持有人结构</w:t>
      </w:r>
      <w:r>
        <w:tab/>
      </w:r>
      <w:r>
        <w:fldChar w:fldCharType="begin"/>
      </w:r>
      <w:r>
        <w:instrText xml:space="preserve"> PAGEREF _Toc13737 \h </w:instrText>
      </w:r>
      <w:r>
        <w:fldChar w:fldCharType="separate"/>
      </w:r>
      <w:r>
        <w:t>43</w:t>
      </w:r>
      <w:r>
        <w:fldChar w:fldCharType="end"/>
      </w:r>
      <w:r>
        <w:fldChar w:fldCharType="end"/>
      </w:r>
    </w:p>
    <w:p w14:paraId="30868A76">
      <w:pPr>
        <w:pStyle w:val="22"/>
        <w:tabs>
          <w:tab w:val="right" w:leader="dot" w:pos="9070"/>
        </w:tabs>
      </w:pPr>
      <w:r>
        <w:fldChar w:fldCharType="begin"/>
      </w:r>
      <w:r>
        <w:instrText xml:space="preserve"> HYPERLINK \l _Toc30969 </w:instrText>
      </w:r>
      <w:r>
        <w:fldChar w:fldCharType="separate"/>
      </w:r>
      <w:r>
        <w:rPr>
          <w:rFonts w:ascii="宋体" w:hAnsi="宋体" w:eastAsia="宋体" w:cs="宋体"/>
        </w:rPr>
        <w:t>8.2 期末基金管理人的从业人员持有本基金的情况</w:t>
      </w:r>
      <w:r>
        <w:tab/>
      </w:r>
      <w:r>
        <w:fldChar w:fldCharType="begin"/>
      </w:r>
      <w:r>
        <w:instrText xml:space="preserve"> PAGEREF _Toc30969 \h </w:instrText>
      </w:r>
      <w:r>
        <w:fldChar w:fldCharType="separate"/>
      </w:r>
      <w:r>
        <w:t>44</w:t>
      </w:r>
      <w:r>
        <w:fldChar w:fldCharType="end"/>
      </w:r>
      <w:r>
        <w:fldChar w:fldCharType="end"/>
      </w:r>
    </w:p>
    <w:p w14:paraId="3A04DA3D">
      <w:pPr>
        <w:pStyle w:val="22"/>
        <w:tabs>
          <w:tab w:val="right" w:leader="dot" w:pos="9070"/>
        </w:tabs>
      </w:pPr>
      <w:r>
        <w:fldChar w:fldCharType="begin"/>
      </w:r>
      <w:r>
        <w:instrText xml:space="preserve"> HYPERLINK \l _Toc12477 </w:instrText>
      </w:r>
      <w:r>
        <w:fldChar w:fldCharType="separate"/>
      </w:r>
      <w:r>
        <w:rPr>
          <w:rFonts w:ascii="宋体" w:hAnsi="宋体" w:eastAsia="宋体" w:cs="宋体"/>
        </w:rPr>
        <w:t>8.3 期末基金管理人的从业人员持有本开放式基金份额总量区间情况</w:t>
      </w:r>
      <w:r>
        <w:tab/>
      </w:r>
      <w:r>
        <w:fldChar w:fldCharType="begin"/>
      </w:r>
      <w:r>
        <w:instrText xml:space="preserve"> PAGEREF _Toc12477 \h </w:instrText>
      </w:r>
      <w:r>
        <w:fldChar w:fldCharType="separate"/>
      </w:r>
      <w:r>
        <w:t>44</w:t>
      </w:r>
      <w:r>
        <w:fldChar w:fldCharType="end"/>
      </w:r>
      <w:r>
        <w:fldChar w:fldCharType="end"/>
      </w:r>
    </w:p>
    <w:p w14:paraId="51B672A9">
      <w:pPr>
        <w:pStyle w:val="22"/>
        <w:tabs>
          <w:tab w:val="right" w:leader="dot" w:pos="9070"/>
        </w:tabs>
      </w:pPr>
      <w:r>
        <w:fldChar w:fldCharType="begin"/>
      </w:r>
      <w:r>
        <w:instrText xml:space="preserve"> HYPERLINK \l _Toc17545 </w:instrText>
      </w:r>
      <w:r>
        <w:fldChar w:fldCharType="separate"/>
      </w:r>
      <w:r>
        <w:rPr>
          <w:rFonts w:ascii="宋体" w:hAnsi="宋体" w:eastAsia="宋体" w:cs="宋体"/>
        </w:rPr>
        <w:t>8.4 发起式基金发起资金持有份额情况</w:t>
      </w:r>
      <w:r>
        <w:tab/>
      </w:r>
      <w:r>
        <w:fldChar w:fldCharType="begin"/>
      </w:r>
      <w:r>
        <w:instrText xml:space="preserve"> PAGEREF _Toc17545 \h </w:instrText>
      </w:r>
      <w:r>
        <w:fldChar w:fldCharType="separate"/>
      </w:r>
      <w:r>
        <w:t>44</w:t>
      </w:r>
      <w:r>
        <w:fldChar w:fldCharType="end"/>
      </w:r>
      <w:r>
        <w:fldChar w:fldCharType="end"/>
      </w:r>
    </w:p>
    <w:p w14:paraId="07486C87">
      <w:pPr>
        <w:pStyle w:val="19"/>
        <w:tabs>
          <w:tab w:val="right" w:leader="dot" w:pos="9070"/>
          <w:tab w:val="clear" w:pos="9060"/>
        </w:tabs>
      </w:pPr>
      <w:r>
        <w:fldChar w:fldCharType="begin"/>
      </w:r>
      <w:r>
        <w:instrText xml:space="preserve"> HYPERLINK \l _Toc22346 </w:instrText>
      </w:r>
      <w:r>
        <w:fldChar w:fldCharType="separate"/>
      </w:r>
      <w:r>
        <w:rPr>
          <w:rFonts w:ascii="宋体" w:hAnsi="宋体" w:eastAsia="宋体" w:cs="宋体"/>
        </w:rPr>
        <w:t>§9 开放式基金份额变动</w:t>
      </w:r>
      <w:r>
        <w:tab/>
      </w:r>
      <w:r>
        <w:fldChar w:fldCharType="begin"/>
      </w:r>
      <w:r>
        <w:instrText xml:space="preserve"> PAGEREF _Toc22346 \h </w:instrText>
      </w:r>
      <w:r>
        <w:fldChar w:fldCharType="separate"/>
      </w:r>
      <w:r>
        <w:t>45</w:t>
      </w:r>
      <w:r>
        <w:fldChar w:fldCharType="end"/>
      </w:r>
      <w:r>
        <w:fldChar w:fldCharType="end"/>
      </w:r>
    </w:p>
    <w:p w14:paraId="6E120C52">
      <w:pPr>
        <w:pStyle w:val="19"/>
        <w:tabs>
          <w:tab w:val="right" w:leader="dot" w:pos="9070"/>
          <w:tab w:val="clear" w:pos="9060"/>
        </w:tabs>
      </w:pPr>
      <w:r>
        <w:fldChar w:fldCharType="begin"/>
      </w:r>
      <w:r>
        <w:instrText xml:space="preserve"> HYPERLINK \l _Toc30282 </w:instrText>
      </w:r>
      <w:r>
        <w:fldChar w:fldCharType="separate"/>
      </w:r>
      <w:r>
        <w:rPr>
          <w:rFonts w:ascii="宋体" w:hAnsi="宋体" w:eastAsia="宋体" w:cs="宋体"/>
        </w:rPr>
        <w:t>§10 重大事件揭示</w:t>
      </w:r>
      <w:r>
        <w:tab/>
      </w:r>
      <w:r>
        <w:fldChar w:fldCharType="begin"/>
      </w:r>
      <w:r>
        <w:instrText xml:space="preserve"> PAGEREF _Toc30282 \h </w:instrText>
      </w:r>
      <w:r>
        <w:fldChar w:fldCharType="separate"/>
      </w:r>
      <w:r>
        <w:t>45</w:t>
      </w:r>
      <w:r>
        <w:fldChar w:fldCharType="end"/>
      </w:r>
      <w:r>
        <w:fldChar w:fldCharType="end"/>
      </w:r>
    </w:p>
    <w:p w14:paraId="56E9ABB9">
      <w:pPr>
        <w:pStyle w:val="22"/>
        <w:tabs>
          <w:tab w:val="right" w:leader="dot" w:pos="9070"/>
        </w:tabs>
      </w:pPr>
      <w:r>
        <w:fldChar w:fldCharType="begin"/>
      </w:r>
      <w:r>
        <w:instrText xml:space="preserve"> HYPERLINK \l _Toc3699 </w:instrText>
      </w:r>
      <w:r>
        <w:fldChar w:fldCharType="separate"/>
      </w:r>
      <w:r>
        <w:rPr>
          <w:rFonts w:ascii="宋体" w:hAnsi="宋体" w:eastAsia="宋体" w:cs="宋体"/>
        </w:rPr>
        <w:t>10.1 基金份额持有人大会决议</w:t>
      </w:r>
      <w:r>
        <w:tab/>
      </w:r>
      <w:r>
        <w:fldChar w:fldCharType="begin"/>
      </w:r>
      <w:r>
        <w:instrText xml:space="preserve"> PAGEREF _Toc3699 \h </w:instrText>
      </w:r>
      <w:r>
        <w:fldChar w:fldCharType="separate"/>
      </w:r>
      <w:r>
        <w:t>45</w:t>
      </w:r>
      <w:r>
        <w:fldChar w:fldCharType="end"/>
      </w:r>
      <w:r>
        <w:fldChar w:fldCharType="end"/>
      </w:r>
    </w:p>
    <w:p w14:paraId="0A1A9DD8">
      <w:pPr>
        <w:pStyle w:val="22"/>
        <w:tabs>
          <w:tab w:val="right" w:leader="dot" w:pos="9070"/>
        </w:tabs>
      </w:pPr>
      <w:r>
        <w:fldChar w:fldCharType="begin"/>
      </w:r>
      <w:r>
        <w:instrText xml:space="preserve"> HYPERLINK \l _Toc13738 </w:instrText>
      </w:r>
      <w:r>
        <w:fldChar w:fldCharType="separate"/>
      </w:r>
      <w:r>
        <w:rPr>
          <w:rFonts w:ascii="宋体" w:hAnsi="宋体" w:eastAsia="宋体" w:cs="宋体"/>
        </w:rPr>
        <w:t>10.2 基金管理人、基金托管人的专门基金托管部门的重大人事变动</w:t>
      </w:r>
      <w:r>
        <w:tab/>
      </w:r>
      <w:r>
        <w:fldChar w:fldCharType="begin"/>
      </w:r>
      <w:r>
        <w:instrText xml:space="preserve"> PAGEREF _Toc13738 \h </w:instrText>
      </w:r>
      <w:r>
        <w:fldChar w:fldCharType="separate"/>
      </w:r>
      <w:r>
        <w:t>45</w:t>
      </w:r>
      <w:r>
        <w:fldChar w:fldCharType="end"/>
      </w:r>
      <w:r>
        <w:fldChar w:fldCharType="end"/>
      </w:r>
    </w:p>
    <w:p w14:paraId="698FC907">
      <w:pPr>
        <w:pStyle w:val="22"/>
        <w:tabs>
          <w:tab w:val="right" w:leader="dot" w:pos="9070"/>
        </w:tabs>
      </w:pPr>
      <w:r>
        <w:fldChar w:fldCharType="begin"/>
      </w:r>
      <w:r>
        <w:instrText xml:space="preserve"> HYPERLINK \l _Toc17249 </w:instrText>
      </w:r>
      <w:r>
        <w:fldChar w:fldCharType="separate"/>
      </w:r>
      <w:r>
        <w:rPr>
          <w:rFonts w:ascii="宋体" w:hAnsi="宋体" w:eastAsia="宋体" w:cs="宋体"/>
        </w:rPr>
        <w:t>10.3 涉及基金管理人、基金财产、基金托管业务的诉讼</w:t>
      </w:r>
      <w:r>
        <w:tab/>
      </w:r>
      <w:r>
        <w:fldChar w:fldCharType="begin"/>
      </w:r>
      <w:r>
        <w:instrText xml:space="preserve"> PAGEREF _Toc17249 \h </w:instrText>
      </w:r>
      <w:r>
        <w:fldChar w:fldCharType="separate"/>
      </w:r>
      <w:r>
        <w:t>45</w:t>
      </w:r>
      <w:r>
        <w:fldChar w:fldCharType="end"/>
      </w:r>
      <w:r>
        <w:fldChar w:fldCharType="end"/>
      </w:r>
    </w:p>
    <w:p w14:paraId="060A051E">
      <w:pPr>
        <w:pStyle w:val="22"/>
        <w:tabs>
          <w:tab w:val="right" w:leader="dot" w:pos="9070"/>
        </w:tabs>
      </w:pPr>
      <w:r>
        <w:fldChar w:fldCharType="begin"/>
      </w:r>
      <w:r>
        <w:instrText xml:space="preserve"> HYPERLINK \l _Toc22748 </w:instrText>
      </w:r>
      <w:r>
        <w:fldChar w:fldCharType="separate"/>
      </w:r>
      <w:r>
        <w:rPr>
          <w:rFonts w:ascii="宋体" w:hAnsi="宋体" w:eastAsia="宋体" w:cs="宋体"/>
        </w:rPr>
        <w:t>10.4 基金投资策略的改变</w:t>
      </w:r>
      <w:r>
        <w:tab/>
      </w:r>
      <w:r>
        <w:fldChar w:fldCharType="begin"/>
      </w:r>
      <w:r>
        <w:instrText xml:space="preserve"> PAGEREF _Toc22748 \h </w:instrText>
      </w:r>
      <w:r>
        <w:fldChar w:fldCharType="separate"/>
      </w:r>
      <w:r>
        <w:t>45</w:t>
      </w:r>
      <w:r>
        <w:fldChar w:fldCharType="end"/>
      </w:r>
      <w:r>
        <w:fldChar w:fldCharType="end"/>
      </w:r>
    </w:p>
    <w:p w14:paraId="23A5708F">
      <w:pPr>
        <w:pStyle w:val="22"/>
        <w:tabs>
          <w:tab w:val="right" w:leader="dot" w:pos="9070"/>
        </w:tabs>
      </w:pPr>
      <w:r>
        <w:fldChar w:fldCharType="begin"/>
      </w:r>
      <w:r>
        <w:instrText xml:space="preserve"> HYPERLINK \l _Toc17017 </w:instrText>
      </w:r>
      <w:r>
        <w:fldChar w:fldCharType="separate"/>
      </w:r>
      <w:r>
        <w:rPr>
          <w:rFonts w:ascii="宋体" w:hAnsi="宋体" w:eastAsia="宋体" w:cs="宋体"/>
        </w:rPr>
        <w:t>10.5 为基金进行审计的会计师事务所情况</w:t>
      </w:r>
      <w:r>
        <w:tab/>
      </w:r>
      <w:r>
        <w:fldChar w:fldCharType="begin"/>
      </w:r>
      <w:r>
        <w:instrText xml:space="preserve"> PAGEREF _Toc17017 \h </w:instrText>
      </w:r>
      <w:r>
        <w:fldChar w:fldCharType="separate"/>
      </w:r>
      <w:r>
        <w:t>45</w:t>
      </w:r>
      <w:r>
        <w:fldChar w:fldCharType="end"/>
      </w:r>
      <w:r>
        <w:fldChar w:fldCharType="end"/>
      </w:r>
    </w:p>
    <w:p w14:paraId="2DED3BA3">
      <w:pPr>
        <w:pStyle w:val="22"/>
        <w:tabs>
          <w:tab w:val="right" w:leader="dot" w:pos="9070"/>
        </w:tabs>
      </w:pPr>
      <w:r>
        <w:fldChar w:fldCharType="begin"/>
      </w:r>
      <w:r>
        <w:instrText xml:space="preserve"> HYPERLINK \l _Toc5543 </w:instrText>
      </w:r>
      <w:r>
        <w:fldChar w:fldCharType="separate"/>
      </w:r>
      <w:r>
        <w:rPr>
          <w:rFonts w:ascii="宋体" w:hAnsi="宋体" w:eastAsia="宋体" w:cs="宋体"/>
        </w:rPr>
        <w:t>10.6 管理人、托管人及其高级管理人员受稽查或处罚等情况</w:t>
      </w:r>
      <w:r>
        <w:tab/>
      </w:r>
      <w:r>
        <w:fldChar w:fldCharType="begin"/>
      </w:r>
      <w:r>
        <w:instrText xml:space="preserve"> PAGEREF _Toc5543 \h </w:instrText>
      </w:r>
      <w:r>
        <w:fldChar w:fldCharType="separate"/>
      </w:r>
      <w:r>
        <w:t>46</w:t>
      </w:r>
      <w:r>
        <w:fldChar w:fldCharType="end"/>
      </w:r>
      <w:r>
        <w:fldChar w:fldCharType="end"/>
      </w:r>
    </w:p>
    <w:p w14:paraId="7DE741C2">
      <w:pPr>
        <w:pStyle w:val="22"/>
        <w:tabs>
          <w:tab w:val="right" w:leader="dot" w:pos="9070"/>
        </w:tabs>
      </w:pPr>
      <w:r>
        <w:fldChar w:fldCharType="begin"/>
      </w:r>
      <w:r>
        <w:instrText xml:space="preserve"> HYPERLINK \l _Toc379 </w:instrText>
      </w:r>
      <w:r>
        <w:fldChar w:fldCharType="separate"/>
      </w:r>
      <w:r>
        <w:rPr>
          <w:rFonts w:ascii="宋体" w:hAnsi="宋体" w:eastAsia="宋体" w:cs="宋体"/>
        </w:rPr>
        <w:t>10.7 基金租用证券公司交易单元的有关情况</w:t>
      </w:r>
      <w:r>
        <w:tab/>
      </w:r>
      <w:r>
        <w:fldChar w:fldCharType="begin"/>
      </w:r>
      <w:r>
        <w:instrText xml:space="preserve"> PAGEREF _Toc379 \h </w:instrText>
      </w:r>
      <w:r>
        <w:fldChar w:fldCharType="separate"/>
      </w:r>
      <w:r>
        <w:t>46</w:t>
      </w:r>
      <w:r>
        <w:fldChar w:fldCharType="end"/>
      </w:r>
      <w:r>
        <w:fldChar w:fldCharType="end"/>
      </w:r>
    </w:p>
    <w:p w14:paraId="392B1584">
      <w:pPr>
        <w:pStyle w:val="22"/>
        <w:tabs>
          <w:tab w:val="right" w:leader="dot" w:pos="9070"/>
        </w:tabs>
      </w:pPr>
      <w:r>
        <w:fldChar w:fldCharType="begin"/>
      </w:r>
      <w:r>
        <w:instrText xml:space="preserve"> HYPERLINK \l _Toc3483 </w:instrText>
      </w:r>
      <w:r>
        <w:fldChar w:fldCharType="separate"/>
      </w:r>
      <w:r>
        <w:rPr>
          <w:rFonts w:ascii="宋体" w:hAnsi="宋体" w:eastAsia="宋体" w:cs="宋体"/>
        </w:rPr>
        <w:t>10.8 其他重大事件</w:t>
      </w:r>
      <w:r>
        <w:tab/>
      </w:r>
      <w:r>
        <w:fldChar w:fldCharType="begin"/>
      </w:r>
      <w:r>
        <w:instrText xml:space="preserve"> PAGEREF _Toc3483 \h </w:instrText>
      </w:r>
      <w:r>
        <w:fldChar w:fldCharType="separate"/>
      </w:r>
      <w:r>
        <w:t>47</w:t>
      </w:r>
      <w:r>
        <w:fldChar w:fldCharType="end"/>
      </w:r>
      <w:r>
        <w:fldChar w:fldCharType="end"/>
      </w:r>
    </w:p>
    <w:p w14:paraId="1927B6A7">
      <w:pPr>
        <w:pStyle w:val="19"/>
        <w:tabs>
          <w:tab w:val="right" w:leader="dot" w:pos="9070"/>
          <w:tab w:val="clear" w:pos="9060"/>
        </w:tabs>
      </w:pPr>
      <w:r>
        <w:fldChar w:fldCharType="begin"/>
      </w:r>
      <w:r>
        <w:instrText xml:space="preserve"> HYPERLINK \l _Toc15192 </w:instrText>
      </w:r>
      <w:r>
        <w:fldChar w:fldCharType="separate"/>
      </w:r>
      <w:r>
        <w:rPr>
          <w:rFonts w:ascii="宋体" w:hAnsi="宋体" w:eastAsia="宋体" w:cs="宋体"/>
        </w:rPr>
        <w:t>§11 影响投资者决策的其他重要信息</w:t>
      </w:r>
      <w:r>
        <w:tab/>
      </w:r>
      <w:r>
        <w:fldChar w:fldCharType="begin"/>
      </w:r>
      <w:r>
        <w:instrText xml:space="preserve"> PAGEREF _Toc15192 \h </w:instrText>
      </w:r>
      <w:r>
        <w:fldChar w:fldCharType="separate"/>
      </w:r>
      <w:r>
        <w:t>48</w:t>
      </w:r>
      <w:r>
        <w:fldChar w:fldCharType="end"/>
      </w:r>
      <w:r>
        <w:fldChar w:fldCharType="end"/>
      </w:r>
    </w:p>
    <w:p w14:paraId="6E90953E">
      <w:pPr>
        <w:pStyle w:val="22"/>
        <w:tabs>
          <w:tab w:val="right" w:leader="dot" w:pos="9070"/>
        </w:tabs>
      </w:pPr>
      <w:r>
        <w:fldChar w:fldCharType="begin"/>
      </w:r>
      <w:r>
        <w:instrText xml:space="preserve"> HYPERLINK \l _Toc14583 </w:instrText>
      </w:r>
      <w:r>
        <w:fldChar w:fldCharType="separate"/>
      </w:r>
      <w:r>
        <w:rPr>
          <w:rFonts w:ascii="宋体" w:hAnsi="宋体" w:eastAsia="宋体" w:cs="宋体"/>
        </w:rPr>
        <w:t>11.1 报告期内单一投资者持有基金份额比例达到或超过20%的情况</w:t>
      </w:r>
      <w:r>
        <w:tab/>
      </w:r>
      <w:r>
        <w:fldChar w:fldCharType="begin"/>
      </w:r>
      <w:r>
        <w:instrText xml:space="preserve"> PAGEREF _Toc14583 \h </w:instrText>
      </w:r>
      <w:r>
        <w:fldChar w:fldCharType="separate"/>
      </w:r>
      <w:r>
        <w:t>48</w:t>
      </w:r>
      <w:r>
        <w:fldChar w:fldCharType="end"/>
      </w:r>
      <w:r>
        <w:fldChar w:fldCharType="end"/>
      </w:r>
    </w:p>
    <w:p w14:paraId="1DF0AAEE">
      <w:pPr>
        <w:pStyle w:val="22"/>
        <w:tabs>
          <w:tab w:val="right" w:leader="dot" w:pos="9070"/>
        </w:tabs>
      </w:pPr>
      <w:r>
        <w:fldChar w:fldCharType="begin"/>
      </w:r>
      <w:r>
        <w:instrText xml:space="preserve"> HYPERLINK \l _Toc29702 </w:instrText>
      </w:r>
      <w:r>
        <w:fldChar w:fldCharType="separate"/>
      </w:r>
      <w:r>
        <w:rPr>
          <w:rFonts w:ascii="宋体" w:hAnsi="宋体" w:eastAsia="宋体" w:cs="宋体"/>
        </w:rPr>
        <w:t>11.2 影响投资者决策的其他重要信息</w:t>
      </w:r>
      <w:r>
        <w:tab/>
      </w:r>
      <w:r>
        <w:fldChar w:fldCharType="begin"/>
      </w:r>
      <w:r>
        <w:instrText xml:space="preserve"> PAGEREF _Toc29702 \h </w:instrText>
      </w:r>
      <w:r>
        <w:fldChar w:fldCharType="separate"/>
      </w:r>
      <w:r>
        <w:t>49</w:t>
      </w:r>
      <w:r>
        <w:fldChar w:fldCharType="end"/>
      </w:r>
      <w:r>
        <w:fldChar w:fldCharType="end"/>
      </w:r>
    </w:p>
    <w:p w14:paraId="7722902A">
      <w:pPr>
        <w:pStyle w:val="19"/>
        <w:tabs>
          <w:tab w:val="right" w:leader="dot" w:pos="9070"/>
          <w:tab w:val="clear" w:pos="9060"/>
        </w:tabs>
      </w:pPr>
      <w:r>
        <w:fldChar w:fldCharType="begin"/>
      </w:r>
      <w:r>
        <w:instrText xml:space="preserve"> HYPERLINK \l _Toc3530 </w:instrText>
      </w:r>
      <w:r>
        <w:fldChar w:fldCharType="separate"/>
      </w:r>
      <w:r>
        <w:rPr>
          <w:rFonts w:ascii="宋体" w:hAnsi="宋体" w:eastAsia="宋体" w:cs="宋体"/>
        </w:rPr>
        <w:t>§12 备查文件目录</w:t>
      </w:r>
      <w:r>
        <w:tab/>
      </w:r>
      <w:r>
        <w:fldChar w:fldCharType="begin"/>
      </w:r>
      <w:r>
        <w:instrText xml:space="preserve"> PAGEREF _Toc3530 \h </w:instrText>
      </w:r>
      <w:r>
        <w:fldChar w:fldCharType="separate"/>
      </w:r>
      <w:r>
        <w:t>49</w:t>
      </w:r>
      <w:r>
        <w:fldChar w:fldCharType="end"/>
      </w:r>
      <w:r>
        <w:fldChar w:fldCharType="end"/>
      </w:r>
    </w:p>
    <w:p w14:paraId="240DC57C">
      <w:pPr>
        <w:pStyle w:val="22"/>
        <w:tabs>
          <w:tab w:val="right" w:leader="dot" w:pos="9070"/>
        </w:tabs>
      </w:pPr>
      <w:r>
        <w:fldChar w:fldCharType="begin"/>
      </w:r>
      <w:r>
        <w:instrText xml:space="preserve"> HYPERLINK \l _Toc27542 </w:instrText>
      </w:r>
      <w:r>
        <w:fldChar w:fldCharType="separate"/>
      </w:r>
      <w:r>
        <w:rPr>
          <w:rFonts w:ascii="宋体" w:hAnsi="宋体" w:eastAsia="宋体" w:cs="宋体"/>
        </w:rPr>
        <w:t>12.1 备查文件目录</w:t>
      </w:r>
      <w:r>
        <w:tab/>
      </w:r>
      <w:r>
        <w:fldChar w:fldCharType="begin"/>
      </w:r>
      <w:r>
        <w:instrText xml:space="preserve"> PAGEREF _Toc27542 \h </w:instrText>
      </w:r>
      <w:r>
        <w:fldChar w:fldCharType="separate"/>
      </w:r>
      <w:r>
        <w:t>49</w:t>
      </w:r>
      <w:r>
        <w:fldChar w:fldCharType="end"/>
      </w:r>
      <w:r>
        <w:fldChar w:fldCharType="end"/>
      </w:r>
    </w:p>
    <w:p w14:paraId="34FF3D7C">
      <w:pPr>
        <w:pStyle w:val="22"/>
        <w:tabs>
          <w:tab w:val="right" w:leader="dot" w:pos="9070"/>
        </w:tabs>
      </w:pPr>
      <w:r>
        <w:fldChar w:fldCharType="begin"/>
      </w:r>
      <w:r>
        <w:instrText xml:space="preserve"> HYPERLINK \l _Toc27927 </w:instrText>
      </w:r>
      <w:r>
        <w:fldChar w:fldCharType="separate"/>
      </w:r>
      <w:r>
        <w:rPr>
          <w:rFonts w:ascii="宋体" w:hAnsi="宋体" w:eastAsia="宋体" w:cs="宋体"/>
        </w:rPr>
        <w:t>12.2 存放地点</w:t>
      </w:r>
      <w:r>
        <w:tab/>
      </w:r>
      <w:r>
        <w:fldChar w:fldCharType="begin"/>
      </w:r>
      <w:r>
        <w:instrText xml:space="preserve"> PAGEREF _Toc27927 \h </w:instrText>
      </w:r>
      <w:r>
        <w:fldChar w:fldCharType="separate"/>
      </w:r>
      <w:r>
        <w:t>49</w:t>
      </w:r>
      <w:r>
        <w:fldChar w:fldCharType="end"/>
      </w:r>
      <w:r>
        <w:fldChar w:fldCharType="end"/>
      </w:r>
    </w:p>
    <w:p w14:paraId="6B331351">
      <w:pPr>
        <w:pStyle w:val="22"/>
        <w:tabs>
          <w:tab w:val="right" w:leader="dot" w:pos="9070"/>
        </w:tabs>
      </w:pPr>
      <w:r>
        <w:fldChar w:fldCharType="begin"/>
      </w:r>
      <w:r>
        <w:instrText xml:space="preserve"> HYPERLINK \l _Toc856 </w:instrText>
      </w:r>
      <w:r>
        <w:fldChar w:fldCharType="separate"/>
      </w:r>
      <w:r>
        <w:rPr>
          <w:rFonts w:ascii="宋体" w:hAnsi="宋体" w:eastAsia="宋体" w:cs="宋体"/>
        </w:rPr>
        <w:t>12.3 查阅方式</w:t>
      </w:r>
      <w:r>
        <w:tab/>
      </w:r>
      <w:r>
        <w:fldChar w:fldCharType="begin"/>
      </w:r>
      <w:r>
        <w:instrText xml:space="preserve"> PAGEREF _Toc856 \h </w:instrText>
      </w:r>
      <w:r>
        <w:fldChar w:fldCharType="separate"/>
      </w:r>
      <w:r>
        <w:t>49</w:t>
      </w:r>
      <w:r>
        <w:fldChar w:fldCharType="end"/>
      </w:r>
      <w:r>
        <w:fldChar w:fldCharType="end"/>
      </w:r>
    </w:p>
    <w:p w14:paraId="1C1AA67A">
      <w:pPr>
        <w:rPr>
          <w:rFonts w:ascii="宋体" w:hAnsi="宋体" w:eastAsia="宋体"/>
        </w:rPr>
      </w:pPr>
      <w:r>
        <w:fldChar w:fldCharType="end"/>
      </w:r>
    </w:p>
    <w:p w14:paraId="45716991">
      <w:r>
        <w:br w:type="page"/>
      </w:r>
    </w:p>
    <w:p w14:paraId="0989EA73">
      <w:pPr>
        <w:pStyle w:val="2"/>
        <w:jc w:val="center"/>
      </w:pPr>
      <w:bookmarkStart w:id="5" w:name="_Toc15034"/>
      <w:r>
        <w:rPr>
          <w:rFonts w:ascii="宋体" w:hAnsi="宋体" w:eastAsia="宋体" w:cs="宋体"/>
        </w:rPr>
        <w:t>§2 基金简介</w:t>
      </w:r>
      <w:bookmarkEnd w:id="5"/>
    </w:p>
    <w:p w14:paraId="5D29CFE6">
      <w:pPr>
        <w:pStyle w:val="3"/>
        <w:jc w:val="left"/>
      </w:pPr>
      <w:bookmarkStart w:id="6" w:name="_Toc31901"/>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157"/>
        <w:gridCol w:w="3273"/>
      </w:tblGrid>
      <w:tr w14:paraId="0657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45925BA9">
            <w:pPr>
              <w:spacing w:line="240" w:lineRule="auto"/>
              <w:jc w:val="left"/>
            </w:pPr>
            <w:r>
              <w:rPr>
                <w:rFonts w:ascii="宋体" w:hAnsi="宋体" w:eastAsia="宋体" w:cs="宋体"/>
                <w:b w:val="0"/>
              </w:rPr>
              <w:t>基金名称</w:t>
            </w:r>
          </w:p>
        </w:tc>
        <w:tc>
          <w:tcPr>
            <w:tcW w:w="3462" w:type="pct"/>
            <w:gridSpan w:val="2"/>
          </w:tcPr>
          <w:p w14:paraId="1EEB8C2D">
            <w:pPr>
              <w:spacing w:line="240" w:lineRule="auto"/>
              <w:jc w:val="left"/>
            </w:pPr>
            <w:r>
              <w:rPr>
                <w:rFonts w:ascii="宋体" w:hAnsi="宋体" w:eastAsia="宋体" w:cs="宋体"/>
                <w:b w:val="0"/>
              </w:rPr>
              <w:t>东方阿尔法科技优选混合型发起式证券投资基金</w:t>
            </w:r>
          </w:p>
        </w:tc>
      </w:tr>
      <w:tr w14:paraId="182C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DF4CFE">
            <w:pPr>
              <w:spacing w:line="240" w:lineRule="auto"/>
              <w:jc w:val="left"/>
            </w:pPr>
            <w:r>
              <w:rPr>
                <w:rFonts w:ascii="宋体" w:hAnsi="宋体" w:eastAsia="宋体" w:cs="宋体"/>
                <w:b w:val="0"/>
              </w:rPr>
              <w:t>基金简称</w:t>
            </w:r>
          </w:p>
        </w:tc>
        <w:tc>
          <w:tcPr>
            <w:tcW w:w="0" w:type="dxa"/>
            <w:gridSpan w:val="2"/>
          </w:tcPr>
          <w:p w14:paraId="0DB6096E">
            <w:pPr>
              <w:spacing w:line="240" w:lineRule="auto"/>
              <w:jc w:val="left"/>
            </w:pPr>
            <w:r>
              <w:rPr>
                <w:rFonts w:ascii="宋体" w:hAnsi="宋体" w:eastAsia="宋体" w:cs="宋体"/>
                <w:b w:val="0"/>
              </w:rPr>
              <w:t>东方阿尔法科技优选混合发起</w:t>
            </w:r>
          </w:p>
        </w:tc>
      </w:tr>
      <w:tr w14:paraId="0C16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E1FB22">
            <w:pPr>
              <w:spacing w:line="240" w:lineRule="auto"/>
              <w:jc w:val="left"/>
            </w:pPr>
            <w:r>
              <w:rPr>
                <w:rFonts w:ascii="宋体" w:hAnsi="宋体" w:eastAsia="宋体" w:cs="宋体"/>
                <w:b w:val="0"/>
              </w:rPr>
              <w:t>基金主代码</w:t>
            </w:r>
          </w:p>
        </w:tc>
        <w:tc>
          <w:tcPr>
            <w:tcW w:w="0" w:type="dxa"/>
            <w:gridSpan w:val="2"/>
          </w:tcPr>
          <w:p w14:paraId="405AE40A">
            <w:pPr>
              <w:spacing w:line="240" w:lineRule="auto"/>
              <w:jc w:val="left"/>
            </w:pPr>
            <w:r>
              <w:rPr>
                <w:rFonts w:ascii="宋体" w:hAnsi="宋体" w:eastAsia="宋体" w:cs="宋体"/>
                <w:b w:val="0"/>
              </w:rPr>
              <w:t>024423</w:t>
            </w:r>
          </w:p>
        </w:tc>
      </w:tr>
      <w:tr w14:paraId="2C7C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A37328">
            <w:pPr>
              <w:spacing w:line="240" w:lineRule="auto"/>
              <w:jc w:val="left"/>
            </w:pPr>
            <w:r>
              <w:rPr>
                <w:rFonts w:ascii="宋体" w:hAnsi="宋体" w:eastAsia="宋体" w:cs="宋体"/>
                <w:b w:val="0"/>
              </w:rPr>
              <w:t>基金运作方式</w:t>
            </w:r>
          </w:p>
        </w:tc>
        <w:tc>
          <w:tcPr>
            <w:tcW w:w="0" w:type="dxa"/>
            <w:gridSpan w:val="2"/>
          </w:tcPr>
          <w:p w14:paraId="02BBC2D0">
            <w:pPr>
              <w:spacing w:line="240" w:lineRule="auto"/>
              <w:jc w:val="left"/>
            </w:pPr>
            <w:r>
              <w:rPr>
                <w:rFonts w:ascii="宋体" w:hAnsi="宋体" w:eastAsia="宋体" w:cs="宋体"/>
                <w:b w:val="0"/>
              </w:rPr>
              <w:t>契约型开放式</w:t>
            </w:r>
          </w:p>
        </w:tc>
      </w:tr>
      <w:tr w14:paraId="0055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B98BC7">
            <w:pPr>
              <w:spacing w:line="240" w:lineRule="auto"/>
              <w:jc w:val="left"/>
            </w:pPr>
            <w:r>
              <w:rPr>
                <w:rFonts w:ascii="宋体" w:hAnsi="宋体" w:eastAsia="宋体" w:cs="宋体"/>
                <w:b w:val="0"/>
              </w:rPr>
              <w:t>基金合同生效日</w:t>
            </w:r>
          </w:p>
        </w:tc>
        <w:tc>
          <w:tcPr>
            <w:tcW w:w="0" w:type="dxa"/>
            <w:gridSpan w:val="2"/>
          </w:tcPr>
          <w:p w14:paraId="21E6030D">
            <w:pPr>
              <w:spacing w:line="240" w:lineRule="auto"/>
              <w:jc w:val="left"/>
            </w:pPr>
            <w:r>
              <w:rPr>
                <w:rFonts w:ascii="宋体" w:hAnsi="宋体" w:eastAsia="宋体" w:cs="宋体"/>
                <w:b w:val="0"/>
              </w:rPr>
              <w:t>2025年06月06日</w:t>
            </w:r>
          </w:p>
        </w:tc>
      </w:tr>
      <w:tr w14:paraId="126E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440990">
            <w:pPr>
              <w:spacing w:line="240" w:lineRule="auto"/>
              <w:jc w:val="left"/>
            </w:pPr>
            <w:r>
              <w:rPr>
                <w:rFonts w:ascii="宋体" w:hAnsi="宋体" w:eastAsia="宋体" w:cs="宋体"/>
                <w:b w:val="0"/>
              </w:rPr>
              <w:t>基金管理人</w:t>
            </w:r>
          </w:p>
        </w:tc>
        <w:tc>
          <w:tcPr>
            <w:tcW w:w="0" w:type="dxa"/>
            <w:gridSpan w:val="2"/>
          </w:tcPr>
          <w:p w14:paraId="240A3F1C">
            <w:pPr>
              <w:spacing w:line="240" w:lineRule="auto"/>
              <w:jc w:val="left"/>
            </w:pPr>
            <w:r>
              <w:rPr>
                <w:rFonts w:ascii="宋体" w:hAnsi="宋体" w:eastAsia="宋体" w:cs="宋体"/>
                <w:b w:val="0"/>
              </w:rPr>
              <w:t>东方阿尔法基金管理有限公司</w:t>
            </w:r>
          </w:p>
        </w:tc>
      </w:tr>
      <w:tr w14:paraId="5CBB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0D3DDA">
            <w:pPr>
              <w:spacing w:line="240" w:lineRule="auto"/>
              <w:jc w:val="left"/>
            </w:pPr>
            <w:r>
              <w:rPr>
                <w:rFonts w:ascii="宋体" w:hAnsi="宋体" w:eastAsia="宋体" w:cs="宋体"/>
                <w:b w:val="0"/>
              </w:rPr>
              <w:t>基金托管人</w:t>
            </w:r>
          </w:p>
        </w:tc>
        <w:tc>
          <w:tcPr>
            <w:tcW w:w="0" w:type="dxa"/>
            <w:gridSpan w:val="2"/>
          </w:tcPr>
          <w:p w14:paraId="2C9F0F33">
            <w:pPr>
              <w:spacing w:line="240" w:lineRule="auto"/>
              <w:jc w:val="left"/>
            </w:pPr>
            <w:r>
              <w:rPr>
                <w:rFonts w:ascii="宋体" w:hAnsi="宋体" w:eastAsia="宋体" w:cs="宋体"/>
                <w:b w:val="0"/>
              </w:rPr>
              <w:t>中信银行股份有限公司</w:t>
            </w:r>
          </w:p>
        </w:tc>
      </w:tr>
      <w:tr w14:paraId="2C5D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857F3A">
            <w:pPr>
              <w:spacing w:line="240" w:lineRule="auto"/>
              <w:jc w:val="left"/>
            </w:pPr>
            <w:r>
              <w:rPr>
                <w:rFonts w:ascii="宋体" w:hAnsi="宋体" w:eastAsia="宋体" w:cs="宋体"/>
                <w:b w:val="0"/>
              </w:rPr>
              <w:t>报告期末基金份额总额</w:t>
            </w:r>
          </w:p>
        </w:tc>
        <w:tc>
          <w:tcPr>
            <w:tcW w:w="0" w:type="dxa"/>
            <w:gridSpan w:val="2"/>
          </w:tcPr>
          <w:p w14:paraId="3F8DC3F0">
            <w:pPr>
              <w:spacing w:line="240" w:lineRule="auto"/>
              <w:jc w:val="left"/>
            </w:pPr>
            <w:r>
              <w:rPr>
                <w:rFonts w:ascii="宋体" w:hAnsi="宋体" w:eastAsia="宋体" w:cs="宋体"/>
                <w:b w:val="0"/>
              </w:rPr>
              <w:t>11,925,107.03份</w:t>
            </w:r>
          </w:p>
        </w:tc>
      </w:tr>
      <w:tr w14:paraId="4A9A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813B9E">
            <w:pPr>
              <w:spacing w:line="240" w:lineRule="auto"/>
              <w:jc w:val="left"/>
            </w:pPr>
            <w:r>
              <w:rPr>
                <w:rFonts w:ascii="宋体" w:hAnsi="宋体" w:eastAsia="宋体" w:cs="宋体"/>
                <w:b w:val="0"/>
              </w:rPr>
              <w:t>基金合同存续期</w:t>
            </w:r>
          </w:p>
        </w:tc>
        <w:tc>
          <w:tcPr>
            <w:tcW w:w="0" w:type="dxa"/>
            <w:gridSpan w:val="2"/>
          </w:tcPr>
          <w:p w14:paraId="5DD15923">
            <w:pPr>
              <w:spacing w:line="240" w:lineRule="auto"/>
              <w:jc w:val="left"/>
            </w:pPr>
            <w:r>
              <w:rPr>
                <w:rFonts w:ascii="宋体" w:hAnsi="宋体" w:eastAsia="宋体" w:cs="宋体"/>
                <w:b w:val="0"/>
              </w:rPr>
              <w:t>不定期</w:t>
            </w:r>
          </w:p>
        </w:tc>
      </w:tr>
      <w:tr w14:paraId="2CA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3046CA">
            <w:pPr>
              <w:spacing w:line="240" w:lineRule="auto"/>
              <w:jc w:val="left"/>
            </w:pPr>
            <w:r>
              <w:rPr>
                <w:rFonts w:ascii="宋体" w:hAnsi="宋体" w:eastAsia="宋体" w:cs="宋体"/>
                <w:b w:val="0"/>
              </w:rPr>
              <w:t>下属分级基金的基金简称</w:t>
            </w:r>
          </w:p>
        </w:tc>
        <w:tc>
          <w:tcPr>
            <w:tcW w:w="1700" w:type="pct"/>
          </w:tcPr>
          <w:p w14:paraId="5938FAE3">
            <w:pPr>
              <w:spacing w:line="240" w:lineRule="auto"/>
              <w:jc w:val="left"/>
            </w:pPr>
            <w:r>
              <w:rPr>
                <w:rFonts w:ascii="宋体" w:hAnsi="宋体" w:eastAsia="宋体" w:cs="宋体"/>
                <w:b w:val="0"/>
              </w:rPr>
              <w:t>东方阿尔法科技优选混合发起A</w:t>
            </w:r>
          </w:p>
        </w:tc>
        <w:tc>
          <w:tcPr>
            <w:tcW w:w="1700" w:type="pct"/>
          </w:tcPr>
          <w:p w14:paraId="5879F4B3">
            <w:pPr>
              <w:spacing w:line="240" w:lineRule="auto"/>
              <w:jc w:val="left"/>
            </w:pPr>
            <w:r>
              <w:rPr>
                <w:rFonts w:ascii="宋体" w:hAnsi="宋体" w:eastAsia="宋体" w:cs="宋体"/>
                <w:b w:val="0"/>
              </w:rPr>
              <w:t>东方阿尔法科技优选混合发起C</w:t>
            </w:r>
          </w:p>
        </w:tc>
      </w:tr>
      <w:tr w14:paraId="5AA2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F965AF">
            <w:pPr>
              <w:spacing w:line="240" w:lineRule="auto"/>
              <w:jc w:val="left"/>
            </w:pPr>
            <w:r>
              <w:rPr>
                <w:rFonts w:ascii="宋体" w:hAnsi="宋体" w:eastAsia="宋体" w:cs="宋体"/>
                <w:b w:val="0"/>
              </w:rPr>
              <w:t>下属分级基金的交易代码</w:t>
            </w:r>
          </w:p>
        </w:tc>
        <w:tc>
          <w:tcPr>
            <w:tcW w:w="1700" w:type="pct"/>
          </w:tcPr>
          <w:p w14:paraId="37F4A1B2">
            <w:pPr>
              <w:spacing w:line="240" w:lineRule="auto"/>
              <w:jc w:val="left"/>
            </w:pPr>
            <w:r>
              <w:rPr>
                <w:rFonts w:ascii="宋体" w:hAnsi="宋体" w:eastAsia="宋体" w:cs="宋体"/>
                <w:b w:val="0"/>
              </w:rPr>
              <w:t>024423</w:t>
            </w:r>
          </w:p>
        </w:tc>
        <w:tc>
          <w:tcPr>
            <w:tcW w:w="1700" w:type="pct"/>
          </w:tcPr>
          <w:p w14:paraId="0D67541A">
            <w:pPr>
              <w:spacing w:line="240" w:lineRule="auto"/>
              <w:jc w:val="left"/>
            </w:pPr>
            <w:r>
              <w:rPr>
                <w:rFonts w:ascii="宋体" w:hAnsi="宋体" w:eastAsia="宋体" w:cs="宋体"/>
                <w:b w:val="0"/>
              </w:rPr>
              <w:t>024424</w:t>
            </w:r>
          </w:p>
        </w:tc>
      </w:tr>
      <w:tr w14:paraId="5AD8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CEF6D7">
            <w:pPr>
              <w:spacing w:line="240" w:lineRule="auto"/>
              <w:jc w:val="left"/>
            </w:pPr>
            <w:r>
              <w:rPr>
                <w:rFonts w:ascii="宋体" w:hAnsi="宋体" w:eastAsia="宋体" w:cs="宋体"/>
                <w:b w:val="0"/>
              </w:rPr>
              <w:t>报告期末下属分级基金的份额总额</w:t>
            </w:r>
          </w:p>
        </w:tc>
        <w:tc>
          <w:tcPr>
            <w:tcW w:w="1700" w:type="pct"/>
          </w:tcPr>
          <w:p w14:paraId="461D9616">
            <w:pPr>
              <w:spacing w:line="240" w:lineRule="auto"/>
              <w:jc w:val="left"/>
            </w:pPr>
            <w:r>
              <w:rPr>
                <w:rFonts w:ascii="宋体" w:hAnsi="宋体" w:eastAsia="宋体" w:cs="宋体"/>
                <w:b w:val="0"/>
              </w:rPr>
              <w:t>11,871,418.33份</w:t>
            </w:r>
          </w:p>
        </w:tc>
        <w:tc>
          <w:tcPr>
            <w:tcW w:w="1700" w:type="pct"/>
          </w:tcPr>
          <w:p w14:paraId="455B47EA">
            <w:pPr>
              <w:spacing w:line="240" w:lineRule="auto"/>
              <w:jc w:val="left"/>
            </w:pPr>
            <w:r>
              <w:rPr>
                <w:rFonts w:ascii="宋体" w:hAnsi="宋体" w:eastAsia="宋体" w:cs="宋体"/>
                <w:b w:val="0"/>
              </w:rPr>
              <w:t>53,688.70份</w:t>
            </w:r>
          </w:p>
        </w:tc>
      </w:tr>
    </w:tbl>
    <w:p w14:paraId="2425ECD3"/>
    <w:p w14:paraId="21DCBE5E">
      <w:pPr>
        <w:pStyle w:val="3"/>
        <w:jc w:val="left"/>
      </w:pPr>
      <w:bookmarkStart w:id="7" w:name="_Toc23773"/>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01F9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56E982F2">
            <w:pPr>
              <w:spacing w:line="240" w:lineRule="auto"/>
              <w:jc w:val="left"/>
            </w:pPr>
            <w:r>
              <w:rPr>
                <w:rFonts w:ascii="宋体" w:hAnsi="宋体" w:eastAsia="宋体" w:cs="宋体"/>
                <w:b w:val="0"/>
              </w:rPr>
              <w:t>投资目标</w:t>
            </w:r>
          </w:p>
        </w:tc>
        <w:tc>
          <w:tcPr>
            <w:tcW w:w="3077" w:type="pct"/>
          </w:tcPr>
          <w:p w14:paraId="737C2298">
            <w:pPr>
              <w:spacing w:line="240" w:lineRule="auto"/>
              <w:jc w:val="left"/>
            </w:pPr>
            <w:r>
              <w:rPr>
                <w:rFonts w:ascii="宋体" w:hAnsi="宋体" w:eastAsia="宋体" w:cs="宋体"/>
                <w:b w:val="0"/>
              </w:rPr>
              <w:t xml:space="preserve">    本基金在严格控制风险并保持良好流动性的前提下，重点投资于科技主题相关证券，力争获取超越业绩比较基准的投资回报，谋求基金资产的长期增值。</w:t>
            </w:r>
          </w:p>
        </w:tc>
      </w:tr>
      <w:tr w14:paraId="43EE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21A197">
            <w:pPr>
              <w:spacing w:line="240" w:lineRule="auto"/>
              <w:jc w:val="left"/>
            </w:pPr>
            <w:r>
              <w:rPr>
                <w:rFonts w:ascii="宋体" w:hAnsi="宋体" w:eastAsia="宋体" w:cs="宋体"/>
                <w:b w:val="0"/>
              </w:rPr>
              <w:t>投资策略</w:t>
            </w:r>
          </w:p>
        </w:tc>
        <w:tc>
          <w:tcPr>
            <w:tcW w:w="0" w:type="dxa"/>
          </w:tcPr>
          <w:p w14:paraId="0F5A387A">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1、资产配置策略</w:t>
            </w:r>
            <w:r>
              <w:rPr>
                <w:rFonts w:ascii="宋体" w:hAnsi="宋体" w:eastAsia="宋体" w:cs="宋体"/>
                <w:b w:val="0"/>
              </w:rPr>
              <w:br w:type="textWrapping"/>
            </w:r>
            <w:r>
              <w:rPr>
                <w:rFonts w:ascii="宋体" w:hAnsi="宋体" w:eastAsia="宋体" w:cs="宋体"/>
                <w:b w:val="0"/>
              </w:rPr>
              <w:t xml:space="preserve">    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本基金通过定性与定量结合的积极策略，自下而上精选科技主题股票，构建多元资产组合以实现长期稳健增值。</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9、国债期货投资策略</w:t>
            </w:r>
            <w:r>
              <w:rPr>
                <w:rFonts w:ascii="宋体" w:hAnsi="宋体" w:eastAsia="宋体" w:cs="宋体"/>
                <w:b w:val="0"/>
              </w:rPr>
              <w:br w:type="textWrapping"/>
            </w:r>
            <w:r>
              <w:rPr>
                <w:rFonts w:ascii="宋体" w:hAnsi="宋体" w:eastAsia="宋体" w:cs="宋体"/>
                <w:b w:val="0"/>
              </w:rPr>
              <w:t xml:space="preserve">    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10、股票期权投资策略</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14:paraId="2B0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710619">
            <w:pPr>
              <w:spacing w:line="240" w:lineRule="auto"/>
              <w:jc w:val="left"/>
            </w:pPr>
            <w:r>
              <w:rPr>
                <w:rFonts w:ascii="宋体" w:hAnsi="宋体" w:eastAsia="宋体" w:cs="宋体"/>
                <w:b w:val="0"/>
              </w:rPr>
              <w:t>业绩比较基准</w:t>
            </w:r>
          </w:p>
        </w:tc>
        <w:tc>
          <w:tcPr>
            <w:tcW w:w="0" w:type="dxa"/>
          </w:tcPr>
          <w:p w14:paraId="05664E23">
            <w:pPr>
              <w:spacing w:line="240" w:lineRule="auto"/>
              <w:jc w:val="left"/>
            </w:pPr>
            <w:r>
              <w:rPr>
                <w:rFonts w:ascii="宋体" w:hAnsi="宋体" w:eastAsia="宋体" w:cs="宋体"/>
                <w:b w:val="0"/>
              </w:rPr>
              <w:t xml:space="preserve">    中国战略新兴产业成份指数收益率*70%+中债-综合指数(全价)收益率*20%+恒生科技指数收益率(按估值汇率折算)*10%</w:t>
            </w:r>
          </w:p>
        </w:tc>
      </w:tr>
      <w:tr w14:paraId="380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7C282B">
            <w:pPr>
              <w:spacing w:line="240" w:lineRule="auto"/>
              <w:jc w:val="left"/>
            </w:pPr>
            <w:r>
              <w:rPr>
                <w:rFonts w:ascii="宋体" w:hAnsi="宋体" w:eastAsia="宋体" w:cs="宋体"/>
                <w:b w:val="0"/>
              </w:rPr>
              <w:t>风险收益特征</w:t>
            </w:r>
          </w:p>
        </w:tc>
        <w:tc>
          <w:tcPr>
            <w:tcW w:w="0" w:type="dxa"/>
          </w:tcPr>
          <w:p w14:paraId="7478DCCF">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449B508F"/>
    <w:p w14:paraId="362EC0D8">
      <w:pPr>
        <w:pStyle w:val="3"/>
        <w:jc w:val="left"/>
      </w:pPr>
      <w:bookmarkStart w:id="8" w:name="_Toc3157"/>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498"/>
        <w:gridCol w:w="3145"/>
        <w:gridCol w:w="3145"/>
      </w:tblGrid>
      <w:tr w14:paraId="3570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gridSpan w:val="2"/>
            <w:shd w:val="clear" w:color="auto" w:fill="D9D9D9"/>
          </w:tcPr>
          <w:p w14:paraId="5D5920B8">
            <w:pPr>
              <w:spacing w:line="240" w:lineRule="auto"/>
              <w:jc w:val="center"/>
            </w:pPr>
            <w:r>
              <w:rPr>
                <w:rFonts w:ascii="宋体" w:hAnsi="宋体" w:eastAsia="宋体" w:cs="宋体"/>
                <w:b w:val="0"/>
              </w:rPr>
              <w:t>项目</w:t>
            </w:r>
          </w:p>
        </w:tc>
        <w:tc>
          <w:tcPr>
            <w:tcW w:w="1615" w:type="pct"/>
            <w:shd w:val="clear" w:color="auto" w:fill="D9D9D9"/>
          </w:tcPr>
          <w:p w14:paraId="0B8F29AB">
            <w:pPr>
              <w:spacing w:line="240" w:lineRule="auto"/>
              <w:jc w:val="center"/>
            </w:pPr>
            <w:r>
              <w:rPr>
                <w:rFonts w:ascii="宋体" w:hAnsi="宋体" w:eastAsia="宋体" w:cs="宋体"/>
                <w:b w:val="0"/>
              </w:rPr>
              <w:t>基金管理人</w:t>
            </w:r>
          </w:p>
        </w:tc>
        <w:tc>
          <w:tcPr>
            <w:tcW w:w="1615" w:type="pct"/>
            <w:shd w:val="clear" w:color="auto" w:fill="D9D9D9"/>
          </w:tcPr>
          <w:p w14:paraId="33D452D0">
            <w:pPr>
              <w:spacing w:line="240" w:lineRule="auto"/>
              <w:jc w:val="center"/>
            </w:pPr>
            <w:r>
              <w:rPr>
                <w:rFonts w:ascii="宋体" w:hAnsi="宋体" w:eastAsia="宋体" w:cs="宋体"/>
                <w:b w:val="0"/>
              </w:rPr>
              <w:t>基金托管人</w:t>
            </w:r>
          </w:p>
        </w:tc>
      </w:tr>
      <w:tr w14:paraId="560C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0ECF49A">
            <w:pPr>
              <w:spacing w:line="240" w:lineRule="auto"/>
              <w:jc w:val="left"/>
            </w:pPr>
            <w:r>
              <w:rPr>
                <w:rFonts w:ascii="宋体" w:hAnsi="宋体" w:eastAsia="宋体" w:cs="宋体"/>
                <w:b w:val="0"/>
              </w:rPr>
              <w:t>名称</w:t>
            </w:r>
          </w:p>
        </w:tc>
        <w:tc>
          <w:tcPr>
            <w:tcW w:w="0" w:type="dxa"/>
          </w:tcPr>
          <w:p w14:paraId="38AED1C1">
            <w:pPr>
              <w:spacing w:line="240" w:lineRule="auto"/>
              <w:jc w:val="left"/>
            </w:pPr>
            <w:r>
              <w:rPr>
                <w:rFonts w:ascii="宋体" w:hAnsi="宋体" w:eastAsia="宋体" w:cs="宋体"/>
                <w:b w:val="0"/>
              </w:rPr>
              <w:t>东方阿尔法基金管理有限公司</w:t>
            </w:r>
          </w:p>
        </w:tc>
        <w:tc>
          <w:tcPr>
            <w:tcW w:w="0" w:type="dxa"/>
          </w:tcPr>
          <w:p w14:paraId="25BA5945">
            <w:pPr>
              <w:spacing w:line="240" w:lineRule="auto"/>
              <w:jc w:val="left"/>
            </w:pPr>
            <w:r>
              <w:rPr>
                <w:rFonts w:ascii="宋体" w:hAnsi="宋体" w:eastAsia="宋体" w:cs="宋体"/>
                <w:b w:val="0"/>
              </w:rPr>
              <w:t>中信银行股份有限公司</w:t>
            </w:r>
          </w:p>
        </w:tc>
      </w:tr>
      <w:tr w14:paraId="34D1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64460824">
            <w:pPr>
              <w:spacing w:line="240" w:lineRule="auto"/>
              <w:jc w:val="left"/>
            </w:pPr>
            <w:r>
              <w:rPr>
                <w:rFonts w:ascii="宋体" w:hAnsi="宋体" w:eastAsia="宋体" w:cs="宋体"/>
                <w:b w:val="0"/>
              </w:rPr>
              <w:t>信息披露负责人</w:t>
            </w:r>
          </w:p>
        </w:tc>
        <w:tc>
          <w:tcPr>
            <w:tcW w:w="769" w:type="pct"/>
          </w:tcPr>
          <w:p w14:paraId="344989DD">
            <w:pPr>
              <w:spacing w:line="240" w:lineRule="auto"/>
              <w:jc w:val="left"/>
            </w:pPr>
            <w:r>
              <w:rPr>
                <w:rFonts w:ascii="宋体" w:hAnsi="宋体" w:eastAsia="宋体" w:cs="宋体"/>
                <w:b w:val="0"/>
              </w:rPr>
              <w:t>姓名</w:t>
            </w:r>
          </w:p>
        </w:tc>
        <w:tc>
          <w:tcPr>
            <w:tcW w:w="0" w:type="dxa"/>
          </w:tcPr>
          <w:p w14:paraId="6F3083D8">
            <w:pPr>
              <w:spacing w:line="240" w:lineRule="auto"/>
              <w:jc w:val="left"/>
            </w:pPr>
            <w:r>
              <w:rPr>
                <w:rFonts w:ascii="宋体" w:hAnsi="宋体" w:eastAsia="宋体" w:cs="宋体"/>
                <w:b w:val="0"/>
              </w:rPr>
              <w:t>曾健</w:t>
            </w:r>
          </w:p>
        </w:tc>
        <w:tc>
          <w:tcPr>
            <w:tcW w:w="0" w:type="dxa"/>
          </w:tcPr>
          <w:p w14:paraId="519D79E3">
            <w:pPr>
              <w:spacing w:line="240" w:lineRule="auto"/>
              <w:jc w:val="left"/>
            </w:pPr>
            <w:r>
              <w:rPr>
                <w:rFonts w:ascii="宋体" w:hAnsi="宋体" w:eastAsia="宋体" w:cs="宋体"/>
                <w:b w:val="0"/>
              </w:rPr>
              <w:t>滕菲菲</w:t>
            </w:r>
          </w:p>
        </w:tc>
      </w:tr>
      <w:tr w14:paraId="7080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52BCC8"/>
        </w:tc>
        <w:tc>
          <w:tcPr>
            <w:tcW w:w="0" w:type="dxa"/>
          </w:tcPr>
          <w:p w14:paraId="490046C8">
            <w:pPr>
              <w:spacing w:line="240" w:lineRule="auto"/>
              <w:jc w:val="left"/>
            </w:pPr>
            <w:r>
              <w:rPr>
                <w:rFonts w:ascii="宋体" w:hAnsi="宋体" w:eastAsia="宋体" w:cs="宋体"/>
                <w:b w:val="0"/>
              </w:rPr>
              <w:t>联系电话</w:t>
            </w:r>
          </w:p>
        </w:tc>
        <w:tc>
          <w:tcPr>
            <w:tcW w:w="0" w:type="dxa"/>
          </w:tcPr>
          <w:p w14:paraId="69C2108E">
            <w:pPr>
              <w:spacing w:line="240" w:lineRule="auto"/>
              <w:jc w:val="left"/>
            </w:pPr>
            <w:r>
              <w:rPr>
                <w:rFonts w:ascii="宋体" w:hAnsi="宋体" w:eastAsia="宋体" w:cs="宋体"/>
                <w:b w:val="0"/>
              </w:rPr>
              <w:t>0755-21872900</w:t>
            </w:r>
          </w:p>
        </w:tc>
        <w:tc>
          <w:tcPr>
            <w:tcW w:w="0" w:type="dxa"/>
          </w:tcPr>
          <w:p w14:paraId="1FE14258">
            <w:pPr>
              <w:spacing w:line="240" w:lineRule="auto"/>
              <w:jc w:val="left"/>
            </w:pPr>
            <w:r>
              <w:rPr>
                <w:rFonts w:ascii="宋体" w:hAnsi="宋体" w:eastAsia="宋体" w:cs="宋体"/>
                <w:b w:val="0"/>
              </w:rPr>
              <w:t>4006800000</w:t>
            </w:r>
          </w:p>
        </w:tc>
      </w:tr>
      <w:tr w14:paraId="5387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F5B7880"/>
        </w:tc>
        <w:tc>
          <w:tcPr>
            <w:tcW w:w="0" w:type="dxa"/>
          </w:tcPr>
          <w:p w14:paraId="1E8A7069">
            <w:pPr>
              <w:spacing w:line="240" w:lineRule="auto"/>
              <w:jc w:val="left"/>
            </w:pPr>
            <w:r>
              <w:rPr>
                <w:rFonts w:ascii="宋体" w:hAnsi="宋体" w:eastAsia="宋体" w:cs="宋体"/>
                <w:b w:val="0"/>
              </w:rPr>
              <w:t>电子邮箱</w:t>
            </w:r>
          </w:p>
        </w:tc>
        <w:tc>
          <w:tcPr>
            <w:tcW w:w="0" w:type="dxa"/>
          </w:tcPr>
          <w:p w14:paraId="56969B4F">
            <w:pPr>
              <w:spacing w:line="240" w:lineRule="auto"/>
              <w:jc w:val="left"/>
            </w:pPr>
            <w:r>
              <w:rPr>
                <w:rFonts w:ascii="宋体" w:hAnsi="宋体" w:eastAsia="宋体" w:cs="宋体"/>
                <w:b w:val="0"/>
              </w:rPr>
              <w:t>service@dfa66.com</w:t>
            </w:r>
          </w:p>
        </w:tc>
        <w:tc>
          <w:tcPr>
            <w:tcW w:w="0" w:type="dxa"/>
          </w:tcPr>
          <w:p w14:paraId="0897F069">
            <w:pPr>
              <w:spacing w:line="240" w:lineRule="auto"/>
              <w:jc w:val="left"/>
            </w:pPr>
            <w:r>
              <w:rPr>
                <w:rFonts w:ascii="宋体" w:hAnsi="宋体" w:eastAsia="宋体" w:cs="宋体"/>
                <w:b w:val="0"/>
              </w:rPr>
              <w:t>tengfeifei@citicbank.com</w:t>
            </w:r>
          </w:p>
        </w:tc>
      </w:tr>
      <w:tr w14:paraId="300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CEB07F7">
            <w:pPr>
              <w:spacing w:line="240" w:lineRule="auto"/>
              <w:jc w:val="left"/>
            </w:pPr>
            <w:r>
              <w:rPr>
                <w:rFonts w:ascii="宋体" w:hAnsi="宋体" w:eastAsia="宋体" w:cs="宋体"/>
                <w:b w:val="0"/>
              </w:rPr>
              <w:t>客户服务电话</w:t>
            </w:r>
          </w:p>
        </w:tc>
        <w:tc>
          <w:tcPr>
            <w:tcW w:w="0" w:type="dxa"/>
          </w:tcPr>
          <w:p w14:paraId="2801588B">
            <w:pPr>
              <w:spacing w:line="240" w:lineRule="auto"/>
              <w:jc w:val="left"/>
            </w:pPr>
            <w:r>
              <w:rPr>
                <w:rFonts w:ascii="宋体" w:hAnsi="宋体" w:eastAsia="宋体" w:cs="宋体"/>
                <w:b w:val="0"/>
              </w:rPr>
              <w:t>400-930-6677</w:t>
            </w:r>
          </w:p>
        </w:tc>
        <w:tc>
          <w:tcPr>
            <w:tcW w:w="0" w:type="dxa"/>
          </w:tcPr>
          <w:p w14:paraId="6F7F5352">
            <w:pPr>
              <w:spacing w:line="240" w:lineRule="auto"/>
              <w:jc w:val="left"/>
            </w:pPr>
            <w:r>
              <w:rPr>
                <w:rFonts w:ascii="宋体" w:hAnsi="宋体" w:eastAsia="宋体" w:cs="宋体"/>
                <w:b w:val="0"/>
              </w:rPr>
              <w:t>95558</w:t>
            </w:r>
          </w:p>
        </w:tc>
      </w:tr>
      <w:tr w14:paraId="68D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10E983C">
            <w:pPr>
              <w:spacing w:line="240" w:lineRule="auto"/>
              <w:jc w:val="left"/>
            </w:pPr>
            <w:r>
              <w:rPr>
                <w:rFonts w:ascii="宋体" w:hAnsi="宋体" w:eastAsia="宋体" w:cs="宋体"/>
                <w:b w:val="0"/>
              </w:rPr>
              <w:t>传真</w:t>
            </w:r>
          </w:p>
        </w:tc>
        <w:tc>
          <w:tcPr>
            <w:tcW w:w="0" w:type="dxa"/>
          </w:tcPr>
          <w:p w14:paraId="435F9A4C">
            <w:pPr>
              <w:spacing w:line="240" w:lineRule="auto"/>
              <w:jc w:val="left"/>
            </w:pPr>
            <w:r>
              <w:rPr>
                <w:rFonts w:ascii="宋体" w:hAnsi="宋体" w:eastAsia="宋体" w:cs="宋体"/>
                <w:b w:val="0"/>
              </w:rPr>
              <w:t>0755-21872902</w:t>
            </w:r>
          </w:p>
        </w:tc>
        <w:tc>
          <w:tcPr>
            <w:tcW w:w="0" w:type="dxa"/>
          </w:tcPr>
          <w:p w14:paraId="5CA50BC4">
            <w:pPr>
              <w:spacing w:line="240" w:lineRule="auto"/>
              <w:jc w:val="left"/>
            </w:pPr>
            <w:r>
              <w:rPr>
                <w:rFonts w:ascii="宋体" w:hAnsi="宋体" w:eastAsia="宋体" w:cs="宋体"/>
                <w:b w:val="0"/>
              </w:rPr>
              <w:t>010-85230024</w:t>
            </w:r>
          </w:p>
        </w:tc>
      </w:tr>
      <w:tr w14:paraId="68D3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5162373">
            <w:pPr>
              <w:spacing w:line="240" w:lineRule="auto"/>
              <w:jc w:val="left"/>
            </w:pPr>
            <w:r>
              <w:rPr>
                <w:rFonts w:ascii="宋体" w:hAnsi="宋体" w:eastAsia="宋体" w:cs="宋体"/>
                <w:b w:val="0"/>
              </w:rPr>
              <w:t>注册地址</w:t>
            </w:r>
          </w:p>
        </w:tc>
        <w:tc>
          <w:tcPr>
            <w:tcW w:w="0" w:type="dxa"/>
          </w:tcPr>
          <w:p w14:paraId="33A58478">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48F2DC5E">
            <w:pPr>
              <w:spacing w:line="240" w:lineRule="auto"/>
              <w:jc w:val="left"/>
            </w:pPr>
            <w:r>
              <w:rPr>
                <w:rFonts w:ascii="宋体" w:hAnsi="宋体" w:eastAsia="宋体" w:cs="宋体"/>
                <w:b w:val="0"/>
              </w:rPr>
              <w:t>北京市朝阳区光华路10号院1号楼6-30层、32-42层</w:t>
            </w:r>
          </w:p>
        </w:tc>
      </w:tr>
      <w:tr w14:paraId="79E4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629F438">
            <w:pPr>
              <w:spacing w:line="240" w:lineRule="auto"/>
              <w:jc w:val="left"/>
            </w:pPr>
            <w:r>
              <w:rPr>
                <w:rFonts w:ascii="宋体" w:hAnsi="宋体" w:eastAsia="宋体" w:cs="宋体"/>
                <w:b w:val="0"/>
              </w:rPr>
              <w:t>办公地址</w:t>
            </w:r>
          </w:p>
        </w:tc>
        <w:tc>
          <w:tcPr>
            <w:tcW w:w="0" w:type="dxa"/>
          </w:tcPr>
          <w:p w14:paraId="2896E62A">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05386CB5">
            <w:pPr>
              <w:spacing w:line="240" w:lineRule="auto"/>
              <w:jc w:val="left"/>
            </w:pPr>
            <w:r>
              <w:rPr>
                <w:rFonts w:ascii="宋体" w:hAnsi="宋体" w:eastAsia="宋体" w:cs="宋体"/>
                <w:b w:val="0"/>
              </w:rPr>
              <w:t>北京市朝阳区光华路10号院1号楼6-30层、32-42层</w:t>
            </w:r>
          </w:p>
        </w:tc>
      </w:tr>
      <w:tr w14:paraId="09F6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F42DAFC">
            <w:pPr>
              <w:spacing w:line="240" w:lineRule="auto"/>
              <w:jc w:val="left"/>
            </w:pPr>
            <w:r>
              <w:rPr>
                <w:rFonts w:ascii="宋体" w:hAnsi="宋体" w:eastAsia="宋体" w:cs="宋体"/>
                <w:b w:val="0"/>
              </w:rPr>
              <w:t>邮政编码</w:t>
            </w:r>
          </w:p>
        </w:tc>
        <w:tc>
          <w:tcPr>
            <w:tcW w:w="0" w:type="dxa"/>
          </w:tcPr>
          <w:p w14:paraId="55765160">
            <w:pPr>
              <w:spacing w:line="240" w:lineRule="auto"/>
              <w:jc w:val="left"/>
            </w:pPr>
            <w:r>
              <w:rPr>
                <w:rFonts w:ascii="宋体" w:hAnsi="宋体" w:eastAsia="宋体" w:cs="宋体"/>
                <w:b w:val="0"/>
              </w:rPr>
              <w:t>518034</w:t>
            </w:r>
          </w:p>
        </w:tc>
        <w:tc>
          <w:tcPr>
            <w:tcW w:w="0" w:type="dxa"/>
          </w:tcPr>
          <w:p w14:paraId="536522E2">
            <w:pPr>
              <w:spacing w:line="240" w:lineRule="auto"/>
              <w:jc w:val="left"/>
            </w:pPr>
            <w:r>
              <w:rPr>
                <w:rFonts w:ascii="宋体" w:hAnsi="宋体" w:eastAsia="宋体" w:cs="宋体"/>
                <w:b w:val="0"/>
              </w:rPr>
              <w:t>100020</w:t>
            </w:r>
          </w:p>
        </w:tc>
      </w:tr>
      <w:tr w14:paraId="061F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7962680">
            <w:pPr>
              <w:spacing w:line="240" w:lineRule="auto"/>
              <w:jc w:val="left"/>
            </w:pPr>
            <w:r>
              <w:rPr>
                <w:rFonts w:ascii="宋体" w:hAnsi="宋体" w:eastAsia="宋体" w:cs="宋体"/>
                <w:b w:val="0"/>
              </w:rPr>
              <w:t>法定代表人</w:t>
            </w:r>
          </w:p>
        </w:tc>
        <w:tc>
          <w:tcPr>
            <w:tcW w:w="0" w:type="dxa"/>
          </w:tcPr>
          <w:p w14:paraId="47410291">
            <w:pPr>
              <w:spacing w:line="240" w:lineRule="auto"/>
              <w:jc w:val="left"/>
            </w:pPr>
            <w:r>
              <w:rPr>
                <w:rFonts w:ascii="宋体" w:hAnsi="宋体" w:eastAsia="宋体" w:cs="宋体"/>
                <w:b w:val="0"/>
              </w:rPr>
              <w:t>刘明</w:t>
            </w:r>
          </w:p>
        </w:tc>
        <w:tc>
          <w:tcPr>
            <w:tcW w:w="0" w:type="dxa"/>
          </w:tcPr>
          <w:p w14:paraId="4473FF17">
            <w:pPr>
              <w:spacing w:line="240" w:lineRule="auto"/>
              <w:jc w:val="left"/>
            </w:pPr>
            <w:r>
              <w:rPr>
                <w:rFonts w:ascii="宋体" w:hAnsi="宋体" w:eastAsia="宋体" w:cs="宋体"/>
                <w:b w:val="0"/>
              </w:rPr>
              <w:t>方合英</w:t>
            </w:r>
          </w:p>
        </w:tc>
      </w:tr>
    </w:tbl>
    <w:p w14:paraId="318B1290"/>
    <w:p w14:paraId="15167BD8">
      <w:pPr>
        <w:pStyle w:val="3"/>
        <w:jc w:val="left"/>
      </w:pPr>
      <w:bookmarkStart w:id="9" w:name="_Toc1907"/>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5CE7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1736A55E">
            <w:pPr>
              <w:spacing w:line="240" w:lineRule="auto"/>
              <w:jc w:val="left"/>
            </w:pPr>
            <w:r>
              <w:rPr>
                <w:rFonts w:ascii="宋体" w:hAnsi="宋体" w:eastAsia="宋体" w:cs="宋体"/>
                <w:b w:val="0"/>
              </w:rPr>
              <w:t>本基金选定的信息披露报纸名称</w:t>
            </w:r>
          </w:p>
        </w:tc>
        <w:tc>
          <w:tcPr>
            <w:tcW w:w="3077" w:type="pct"/>
          </w:tcPr>
          <w:p w14:paraId="509DBC32">
            <w:pPr>
              <w:spacing w:line="240" w:lineRule="auto"/>
              <w:jc w:val="left"/>
            </w:pPr>
            <w:r>
              <w:rPr>
                <w:rFonts w:ascii="宋体" w:hAnsi="宋体" w:eastAsia="宋体" w:cs="宋体"/>
                <w:b w:val="0"/>
              </w:rPr>
              <w:t>中国证券报</w:t>
            </w:r>
          </w:p>
        </w:tc>
      </w:tr>
      <w:tr w14:paraId="5B62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5B3BAA">
            <w:pPr>
              <w:spacing w:line="240" w:lineRule="auto"/>
              <w:jc w:val="left"/>
            </w:pPr>
            <w:r>
              <w:rPr>
                <w:rFonts w:ascii="宋体" w:hAnsi="宋体" w:eastAsia="宋体" w:cs="宋体"/>
                <w:b w:val="0"/>
              </w:rPr>
              <w:t>登载基金中期报告正文的管理人互联网网址</w:t>
            </w:r>
          </w:p>
        </w:tc>
        <w:tc>
          <w:tcPr>
            <w:tcW w:w="0" w:type="dxa"/>
          </w:tcPr>
          <w:p w14:paraId="6097ABF1">
            <w:pPr>
              <w:spacing w:line="240" w:lineRule="auto"/>
              <w:jc w:val="left"/>
            </w:pPr>
            <w:r>
              <w:rPr>
                <w:rFonts w:ascii="宋体" w:hAnsi="宋体" w:eastAsia="宋体" w:cs="宋体"/>
                <w:b w:val="0"/>
              </w:rPr>
              <w:t>https://www.dfa66.com</w:t>
            </w:r>
          </w:p>
        </w:tc>
      </w:tr>
      <w:tr w14:paraId="2B25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9766C1">
            <w:pPr>
              <w:spacing w:line="240" w:lineRule="auto"/>
              <w:jc w:val="left"/>
            </w:pPr>
            <w:r>
              <w:rPr>
                <w:rFonts w:ascii="宋体" w:hAnsi="宋体" w:eastAsia="宋体" w:cs="宋体"/>
                <w:b w:val="0"/>
              </w:rPr>
              <w:t>基金中期报告备置地点</w:t>
            </w:r>
          </w:p>
        </w:tc>
        <w:tc>
          <w:tcPr>
            <w:tcW w:w="0" w:type="dxa"/>
          </w:tcPr>
          <w:p w14:paraId="14EC613C">
            <w:pPr>
              <w:spacing w:line="240" w:lineRule="auto"/>
              <w:jc w:val="left"/>
            </w:pPr>
            <w:r>
              <w:rPr>
                <w:rFonts w:ascii="宋体" w:hAnsi="宋体" w:eastAsia="宋体" w:cs="宋体"/>
                <w:b w:val="0"/>
              </w:rPr>
              <w:t>基金管理人的办公场所</w:t>
            </w:r>
          </w:p>
        </w:tc>
      </w:tr>
    </w:tbl>
    <w:p w14:paraId="5FB9E0F6"/>
    <w:p w14:paraId="7E757C11">
      <w:pPr>
        <w:pStyle w:val="3"/>
        <w:jc w:val="left"/>
      </w:pPr>
      <w:bookmarkStart w:id="10" w:name="_Toc19193"/>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258"/>
        <w:gridCol w:w="4073"/>
      </w:tblGrid>
      <w:tr w14:paraId="73C3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tcPr>
          <w:p w14:paraId="038E67F1">
            <w:pPr>
              <w:spacing w:line="240" w:lineRule="auto"/>
              <w:jc w:val="center"/>
            </w:pPr>
            <w:r>
              <w:rPr>
                <w:rFonts w:ascii="宋体" w:hAnsi="宋体" w:eastAsia="宋体" w:cs="宋体"/>
                <w:b w:val="0"/>
              </w:rPr>
              <w:t>项目</w:t>
            </w:r>
          </w:p>
        </w:tc>
        <w:tc>
          <w:tcPr>
            <w:tcW w:w="1538" w:type="pct"/>
            <w:shd w:val="clear" w:color="auto" w:fill="D9D9D9"/>
          </w:tcPr>
          <w:p w14:paraId="16C78D73">
            <w:pPr>
              <w:spacing w:line="240" w:lineRule="auto"/>
              <w:jc w:val="center"/>
            </w:pPr>
            <w:r>
              <w:rPr>
                <w:rFonts w:ascii="宋体" w:hAnsi="宋体" w:eastAsia="宋体" w:cs="宋体"/>
                <w:b w:val="0"/>
              </w:rPr>
              <w:t>名称</w:t>
            </w:r>
          </w:p>
        </w:tc>
        <w:tc>
          <w:tcPr>
            <w:tcW w:w="1923" w:type="pct"/>
            <w:shd w:val="clear" w:color="auto" w:fill="D9D9D9"/>
          </w:tcPr>
          <w:p w14:paraId="5623394F">
            <w:pPr>
              <w:spacing w:line="240" w:lineRule="auto"/>
              <w:jc w:val="center"/>
            </w:pPr>
            <w:r>
              <w:rPr>
                <w:rFonts w:ascii="宋体" w:hAnsi="宋体" w:eastAsia="宋体" w:cs="宋体"/>
                <w:b w:val="0"/>
              </w:rPr>
              <w:t>办公地址</w:t>
            </w:r>
          </w:p>
        </w:tc>
      </w:tr>
      <w:tr w14:paraId="3CF2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19D13F">
            <w:pPr>
              <w:spacing w:line="240" w:lineRule="auto"/>
              <w:jc w:val="left"/>
            </w:pPr>
            <w:r>
              <w:rPr>
                <w:rFonts w:ascii="宋体" w:hAnsi="宋体" w:eastAsia="宋体" w:cs="宋体"/>
                <w:b w:val="0"/>
              </w:rPr>
              <w:t>金融运营服务机构</w:t>
            </w:r>
          </w:p>
        </w:tc>
        <w:tc>
          <w:tcPr>
            <w:tcW w:w="0" w:type="dxa"/>
          </w:tcPr>
          <w:p w14:paraId="20E52310">
            <w:pPr>
              <w:spacing w:line="240" w:lineRule="auto"/>
              <w:jc w:val="left"/>
            </w:pPr>
            <w:r>
              <w:rPr>
                <w:rFonts w:ascii="宋体" w:hAnsi="宋体" w:eastAsia="宋体" w:cs="宋体"/>
                <w:b w:val="0"/>
              </w:rPr>
              <w:t>招商证券股份有限公司</w:t>
            </w:r>
          </w:p>
        </w:tc>
        <w:tc>
          <w:tcPr>
            <w:tcW w:w="0" w:type="dxa"/>
          </w:tcPr>
          <w:p w14:paraId="7CBDEF19">
            <w:pPr>
              <w:spacing w:line="240" w:lineRule="auto"/>
              <w:jc w:val="left"/>
            </w:pPr>
            <w:r>
              <w:rPr>
                <w:rFonts w:ascii="宋体" w:hAnsi="宋体" w:eastAsia="宋体" w:cs="宋体"/>
                <w:b w:val="0"/>
              </w:rPr>
              <w:t>广东省深圳市福田区福华一路111号招商证券大厦</w:t>
            </w:r>
          </w:p>
        </w:tc>
      </w:tr>
    </w:tbl>
    <w:p w14:paraId="5B191598">
      <w:pPr>
        <w:pStyle w:val="2"/>
        <w:jc w:val="center"/>
      </w:pPr>
      <w:bookmarkStart w:id="11" w:name="_Toc11640"/>
      <w:r>
        <w:rPr>
          <w:rFonts w:ascii="宋体" w:hAnsi="宋体" w:eastAsia="宋体" w:cs="宋体"/>
        </w:rPr>
        <w:t>§3 主要财务指标和基金净值表现</w:t>
      </w:r>
      <w:bookmarkEnd w:id="11"/>
    </w:p>
    <w:p w14:paraId="2F84B35C">
      <w:pPr>
        <w:pStyle w:val="3"/>
        <w:jc w:val="left"/>
      </w:pPr>
      <w:bookmarkStart w:id="12" w:name="_Toc23478"/>
      <w:r>
        <w:rPr>
          <w:rFonts w:ascii="宋体" w:hAnsi="宋体" w:eastAsia="宋体" w:cs="宋体"/>
        </w:rPr>
        <w:t>3.1 主要会计数据和财务指标</w:t>
      </w:r>
      <w:bookmarkEnd w:id="12"/>
    </w:p>
    <w:p w14:paraId="0DC083F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067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3C703E90">
            <w:pPr>
              <w:spacing w:line="240" w:lineRule="auto"/>
              <w:jc w:val="left"/>
            </w:pPr>
            <w:r>
              <w:rPr>
                <w:rFonts w:ascii="宋体" w:hAnsi="宋体" w:eastAsia="宋体" w:cs="宋体"/>
                <w:b/>
              </w:rPr>
              <w:t>3.1.1期间数据和指标</w:t>
            </w:r>
          </w:p>
        </w:tc>
        <w:tc>
          <w:tcPr>
            <w:tcW w:w="3077" w:type="pct"/>
            <w:gridSpan w:val="2"/>
            <w:shd w:val="clear" w:color="auto" w:fill="D9D9D9"/>
          </w:tcPr>
          <w:p w14:paraId="47B0DF19">
            <w:pPr>
              <w:spacing w:line="240" w:lineRule="auto"/>
              <w:jc w:val="center"/>
            </w:pPr>
            <w:r>
              <w:rPr>
                <w:rFonts w:ascii="宋体" w:hAnsi="宋体" w:eastAsia="宋体" w:cs="宋体"/>
                <w:b w:val="0"/>
              </w:rPr>
              <w:t>报告期（2025年06月06日（基金合同生效日）-2025年06月30日）</w:t>
            </w:r>
          </w:p>
        </w:tc>
      </w:tr>
      <w:tr w14:paraId="08D8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CF28052"/>
        </w:tc>
        <w:tc>
          <w:tcPr>
            <w:tcW w:w="1500" w:type="pct"/>
            <w:shd w:val="clear" w:color="auto" w:fill="D9D9D9"/>
          </w:tcPr>
          <w:p w14:paraId="67C3FDDB">
            <w:pPr>
              <w:spacing w:line="240" w:lineRule="auto"/>
              <w:jc w:val="center"/>
            </w:pPr>
            <w:r>
              <w:rPr>
                <w:rFonts w:ascii="宋体" w:hAnsi="宋体" w:eastAsia="宋体" w:cs="宋体"/>
                <w:b w:val="0"/>
              </w:rPr>
              <w:t>东方阿尔法科技优选混合发起A</w:t>
            </w:r>
          </w:p>
        </w:tc>
        <w:tc>
          <w:tcPr>
            <w:tcW w:w="1500" w:type="pct"/>
            <w:shd w:val="clear" w:color="auto" w:fill="D9D9D9"/>
          </w:tcPr>
          <w:p w14:paraId="68284EFD">
            <w:pPr>
              <w:spacing w:line="240" w:lineRule="auto"/>
              <w:jc w:val="center"/>
            </w:pPr>
            <w:r>
              <w:rPr>
                <w:rFonts w:ascii="宋体" w:hAnsi="宋体" w:eastAsia="宋体" w:cs="宋体"/>
                <w:b w:val="0"/>
              </w:rPr>
              <w:t>东方阿尔法科技优选混合发起C</w:t>
            </w:r>
          </w:p>
        </w:tc>
      </w:tr>
      <w:tr w14:paraId="34B3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3AC33A">
            <w:pPr>
              <w:spacing w:line="240" w:lineRule="auto"/>
              <w:jc w:val="left"/>
            </w:pPr>
            <w:r>
              <w:rPr>
                <w:rFonts w:ascii="宋体" w:hAnsi="宋体" w:eastAsia="宋体" w:cs="宋体"/>
                <w:b w:val="0"/>
              </w:rPr>
              <w:t xml:space="preserve">本期已实现收益 </w:t>
            </w:r>
          </w:p>
        </w:tc>
        <w:tc>
          <w:tcPr>
            <w:tcW w:w="1500" w:type="pct"/>
          </w:tcPr>
          <w:p w14:paraId="3FD2A095">
            <w:pPr>
              <w:spacing w:line="240" w:lineRule="auto"/>
              <w:jc w:val="right"/>
            </w:pPr>
            <w:r>
              <w:rPr>
                <w:rFonts w:ascii="宋体" w:hAnsi="宋体" w:eastAsia="宋体" w:cs="宋体"/>
                <w:b w:val="0"/>
              </w:rPr>
              <w:t>-156,641.79</w:t>
            </w:r>
          </w:p>
        </w:tc>
        <w:tc>
          <w:tcPr>
            <w:tcW w:w="1500" w:type="pct"/>
          </w:tcPr>
          <w:p w14:paraId="524A8E9E">
            <w:pPr>
              <w:spacing w:line="240" w:lineRule="auto"/>
              <w:jc w:val="right"/>
            </w:pPr>
            <w:r>
              <w:rPr>
                <w:rFonts w:ascii="宋体" w:hAnsi="宋体" w:eastAsia="宋体" w:cs="宋体"/>
                <w:b w:val="0"/>
              </w:rPr>
              <w:t>-567.48</w:t>
            </w:r>
          </w:p>
        </w:tc>
      </w:tr>
      <w:tr w14:paraId="4201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229D2E">
            <w:pPr>
              <w:spacing w:line="240" w:lineRule="auto"/>
              <w:jc w:val="left"/>
            </w:pPr>
            <w:r>
              <w:rPr>
                <w:rFonts w:ascii="宋体" w:hAnsi="宋体" w:eastAsia="宋体" w:cs="宋体"/>
                <w:b w:val="0"/>
              </w:rPr>
              <w:t xml:space="preserve">本期利润 </w:t>
            </w:r>
          </w:p>
        </w:tc>
        <w:tc>
          <w:tcPr>
            <w:tcW w:w="1500" w:type="pct"/>
          </w:tcPr>
          <w:p w14:paraId="020964F8">
            <w:pPr>
              <w:spacing w:line="240" w:lineRule="auto"/>
              <w:jc w:val="right"/>
            </w:pPr>
            <w:r>
              <w:rPr>
                <w:rFonts w:ascii="宋体" w:hAnsi="宋体" w:eastAsia="宋体" w:cs="宋体"/>
                <w:b w:val="0"/>
              </w:rPr>
              <w:t>-83,624.29</w:t>
            </w:r>
          </w:p>
        </w:tc>
        <w:tc>
          <w:tcPr>
            <w:tcW w:w="1500" w:type="pct"/>
          </w:tcPr>
          <w:p w14:paraId="4078FD43">
            <w:pPr>
              <w:spacing w:line="240" w:lineRule="auto"/>
              <w:jc w:val="right"/>
            </w:pPr>
            <w:r>
              <w:rPr>
                <w:rFonts w:ascii="宋体" w:hAnsi="宋体" w:eastAsia="宋体" w:cs="宋体"/>
                <w:b w:val="0"/>
              </w:rPr>
              <w:t>378.15</w:t>
            </w:r>
          </w:p>
        </w:tc>
      </w:tr>
      <w:tr w14:paraId="3021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A49CBF">
            <w:pPr>
              <w:spacing w:line="240" w:lineRule="auto"/>
              <w:jc w:val="left"/>
            </w:pPr>
            <w:r>
              <w:rPr>
                <w:rFonts w:ascii="宋体" w:hAnsi="宋体" w:eastAsia="宋体" w:cs="宋体"/>
                <w:b w:val="0"/>
              </w:rPr>
              <w:t xml:space="preserve">加权平均基金份额本期利润 </w:t>
            </w:r>
          </w:p>
        </w:tc>
        <w:tc>
          <w:tcPr>
            <w:tcW w:w="1500" w:type="pct"/>
          </w:tcPr>
          <w:p w14:paraId="0B2FBDF1">
            <w:pPr>
              <w:spacing w:line="240" w:lineRule="auto"/>
              <w:jc w:val="right"/>
            </w:pPr>
            <w:r>
              <w:rPr>
                <w:rFonts w:ascii="宋体" w:hAnsi="宋体" w:eastAsia="宋体" w:cs="宋体"/>
                <w:b w:val="0"/>
              </w:rPr>
              <w:t>-0.0070</w:t>
            </w:r>
          </w:p>
        </w:tc>
        <w:tc>
          <w:tcPr>
            <w:tcW w:w="1500" w:type="pct"/>
          </w:tcPr>
          <w:p w14:paraId="465C4192">
            <w:pPr>
              <w:spacing w:line="240" w:lineRule="auto"/>
              <w:jc w:val="right"/>
            </w:pPr>
            <w:r>
              <w:rPr>
                <w:rFonts w:ascii="宋体" w:hAnsi="宋体" w:eastAsia="宋体" w:cs="宋体"/>
                <w:b w:val="0"/>
              </w:rPr>
              <w:t>0.0285</w:t>
            </w:r>
          </w:p>
        </w:tc>
      </w:tr>
      <w:tr w14:paraId="5882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044FAE">
            <w:pPr>
              <w:spacing w:line="240" w:lineRule="auto"/>
              <w:jc w:val="left"/>
            </w:pPr>
            <w:r>
              <w:rPr>
                <w:rFonts w:ascii="宋体" w:hAnsi="宋体" w:eastAsia="宋体" w:cs="宋体"/>
                <w:b w:val="0"/>
              </w:rPr>
              <w:t>本期加权平均净值利润率</w:t>
            </w:r>
          </w:p>
        </w:tc>
        <w:tc>
          <w:tcPr>
            <w:tcW w:w="1500" w:type="pct"/>
          </w:tcPr>
          <w:p w14:paraId="783F2C41">
            <w:pPr>
              <w:spacing w:line="240" w:lineRule="auto"/>
              <w:jc w:val="right"/>
            </w:pPr>
            <w:r>
              <w:rPr>
                <w:rFonts w:ascii="宋体" w:hAnsi="宋体" w:eastAsia="宋体" w:cs="宋体"/>
                <w:b w:val="0"/>
              </w:rPr>
              <w:t>-0.72%</w:t>
            </w:r>
          </w:p>
        </w:tc>
        <w:tc>
          <w:tcPr>
            <w:tcW w:w="1500" w:type="pct"/>
          </w:tcPr>
          <w:p w14:paraId="32086B30">
            <w:pPr>
              <w:spacing w:line="240" w:lineRule="auto"/>
              <w:jc w:val="right"/>
            </w:pPr>
            <w:r>
              <w:rPr>
                <w:rFonts w:ascii="宋体" w:hAnsi="宋体" w:eastAsia="宋体" w:cs="宋体"/>
                <w:b w:val="0"/>
              </w:rPr>
              <w:t>2.92%</w:t>
            </w:r>
          </w:p>
        </w:tc>
      </w:tr>
      <w:tr w14:paraId="408E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4AF888">
            <w:pPr>
              <w:spacing w:line="240" w:lineRule="auto"/>
              <w:jc w:val="left"/>
            </w:pPr>
            <w:r>
              <w:rPr>
                <w:rFonts w:ascii="宋体" w:hAnsi="宋体" w:eastAsia="宋体" w:cs="宋体"/>
                <w:b w:val="0"/>
              </w:rPr>
              <w:t>本期基金份额净值增长率</w:t>
            </w:r>
          </w:p>
        </w:tc>
        <w:tc>
          <w:tcPr>
            <w:tcW w:w="1500" w:type="pct"/>
          </w:tcPr>
          <w:p w14:paraId="74315FAE">
            <w:pPr>
              <w:spacing w:line="240" w:lineRule="auto"/>
              <w:jc w:val="right"/>
            </w:pPr>
            <w:r>
              <w:rPr>
                <w:rFonts w:ascii="宋体" w:hAnsi="宋体" w:eastAsia="宋体" w:cs="宋体"/>
                <w:b w:val="0"/>
              </w:rPr>
              <w:t>-0.70%</w:t>
            </w:r>
          </w:p>
        </w:tc>
        <w:tc>
          <w:tcPr>
            <w:tcW w:w="1500" w:type="pct"/>
          </w:tcPr>
          <w:p w14:paraId="6031A854">
            <w:pPr>
              <w:spacing w:line="240" w:lineRule="auto"/>
              <w:jc w:val="right"/>
            </w:pPr>
            <w:r>
              <w:rPr>
                <w:rFonts w:ascii="宋体" w:hAnsi="宋体" w:eastAsia="宋体" w:cs="宋体"/>
                <w:b w:val="0"/>
              </w:rPr>
              <w:t>-0.73%</w:t>
            </w:r>
          </w:p>
        </w:tc>
      </w:tr>
      <w:tr w14:paraId="180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72189DE4">
            <w:pPr>
              <w:spacing w:line="240" w:lineRule="auto"/>
              <w:jc w:val="left"/>
            </w:pPr>
            <w:r>
              <w:rPr>
                <w:rFonts w:ascii="宋体" w:hAnsi="宋体" w:eastAsia="宋体" w:cs="宋体"/>
                <w:b/>
              </w:rPr>
              <w:t>3.1.2期末数据和指标</w:t>
            </w:r>
          </w:p>
        </w:tc>
        <w:tc>
          <w:tcPr>
            <w:tcW w:w="0" w:type="dxa"/>
            <w:gridSpan w:val="2"/>
            <w:shd w:val="clear" w:color="auto" w:fill="D9D9D9"/>
          </w:tcPr>
          <w:p w14:paraId="4B370202">
            <w:pPr>
              <w:spacing w:line="240" w:lineRule="auto"/>
              <w:jc w:val="center"/>
            </w:pPr>
            <w:r>
              <w:rPr>
                <w:rFonts w:ascii="宋体" w:hAnsi="宋体" w:eastAsia="宋体" w:cs="宋体"/>
                <w:b w:val="0"/>
              </w:rPr>
              <w:t>报告期末（2025年06月30日）</w:t>
            </w:r>
          </w:p>
        </w:tc>
      </w:tr>
      <w:tr w14:paraId="458D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CA16C5">
            <w:pPr>
              <w:spacing w:line="240" w:lineRule="auto"/>
              <w:jc w:val="left"/>
            </w:pPr>
            <w:r>
              <w:rPr>
                <w:rFonts w:ascii="宋体" w:hAnsi="宋体" w:eastAsia="宋体" w:cs="宋体"/>
                <w:b w:val="0"/>
              </w:rPr>
              <w:t xml:space="preserve">期末可供分配利润 </w:t>
            </w:r>
          </w:p>
        </w:tc>
        <w:tc>
          <w:tcPr>
            <w:tcW w:w="1500" w:type="pct"/>
          </w:tcPr>
          <w:p w14:paraId="031B5E62">
            <w:pPr>
              <w:spacing w:line="240" w:lineRule="auto"/>
              <w:jc w:val="right"/>
            </w:pPr>
            <w:r>
              <w:rPr>
                <w:rFonts w:ascii="宋体" w:hAnsi="宋体" w:eastAsia="宋体" w:cs="宋体"/>
                <w:b w:val="0"/>
              </w:rPr>
              <w:t>-156,642.34</w:t>
            </w:r>
          </w:p>
        </w:tc>
        <w:tc>
          <w:tcPr>
            <w:tcW w:w="1500" w:type="pct"/>
          </w:tcPr>
          <w:p w14:paraId="0769A97F">
            <w:pPr>
              <w:spacing w:line="240" w:lineRule="auto"/>
              <w:jc w:val="right"/>
            </w:pPr>
            <w:r>
              <w:rPr>
                <w:rFonts w:ascii="宋体" w:hAnsi="宋体" w:eastAsia="宋体" w:cs="宋体"/>
                <w:b w:val="0"/>
              </w:rPr>
              <w:t>-723.45</w:t>
            </w:r>
          </w:p>
        </w:tc>
      </w:tr>
      <w:tr w14:paraId="46C5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82B5E6">
            <w:pPr>
              <w:spacing w:line="240" w:lineRule="auto"/>
              <w:jc w:val="left"/>
            </w:pPr>
            <w:r>
              <w:rPr>
                <w:rFonts w:ascii="宋体" w:hAnsi="宋体" w:eastAsia="宋体" w:cs="宋体"/>
                <w:b w:val="0"/>
              </w:rPr>
              <w:t>期末可供分配基金份额利润</w:t>
            </w:r>
          </w:p>
        </w:tc>
        <w:tc>
          <w:tcPr>
            <w:tcW w:w="1500" w:type="pct"/>
          </w:tcPr>
          <w:p w14:paraId="403ADCF9">
            <w:pPr>
              <w:spacing w:line="240" w:lineRule="auto"/>
              <w:jc w:val="right"/>
            </w:pPr>
            <w:r>
              <w:rPr>
                <w:rFonts w:ascii="宋体" w:hAnsi="宋体" w:eastAsia="宋体" w:cs="宋体"/>
                <w:b w:val="0"/>
              </w:rPr>
              <w:t>-0.0132</w:t>
            </w:r>
          </w:p>
        </w:tc>
        <w:tc>
          <w:tcPr>
            <w:tcW w:w="1500" w:type="pct"/>
          </w:tcPr>
          <w:p w14:paraId="22861300">
            <w:pPr>
              <w:spacing w:line="240" w:lineRule="auto"/>
              <w:jc w:val="right"/>
            </w:pPr>
            <w:r>
              <w:rPr>
                <w:rFonts w:ascii="宋体" w:hAnsi="宋体" w:eastAsia="宋体" w:cs="宋体"/>
                <w:b w:val="0"/>
              </w:rPr>
              <w:t>-0.0135</w:t>
            </w:r>
          </w:p>
        </w:tc>
      </w:tr>
      <w:tr w14:paraId="06C0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D5695C">
            <w:pPr>
              <w:spacing w:line="240" w:lineRule="auto"/>
              <w:jc w:val="left"/>
            </w:pPr>
            <w:r>
              <w:rPr>
                <w:rFonts w:ascii="宋体" w:hAnsi="宋体" w:eastAsia="宋体" w:cs="宋体"/>
                <w:b w:val="0"/>
              </w:rPr>
              <w:t>期末基金资产净值</w:t>
            </w:r>
          </w:p>
        </w:tc>
        <w:tc>
          <w:tcPr>
            <w:tcW w:w="1500" w:type="pct"/>
          </w:tcPr>
          <w:p w14:paraId="37EABC86">
            <w:pPr>
              <w:spacing w:line="240" w:lineRule="auto"/>
              <w:jc w:val="right"/>
            </w:pPr>
            <w:r>
              <w:rPr>
                <w:rFonts w:ascii="宋体" w:hAnsi="宋体" w:eastAsia="宋体" w:cs="宋体"/>
                <w:b w:val="0"/>
              </w:rPr>
              <w:t>11,787,830.79</w:t>
            </w:r>
          </w:p>
        </w:tc>
        <w:tc>
          <w:tcPr>
            <w:tcW w:w="1500" w:type="pct"/>
          </w:tcPr>
          <w:p w14:paraId="3386C0A8">
            <w:pPr>
              <w:spacing w:line="240" w:lineRule="auto"/>
              <w:jc w:val="right"/>
            </w:pPr>
            <w:r>
              <w:rPr>
                <w:rFonts w:ascii="宋体" w:hAnsi="宋体" w:eastAsia="宋体" w:cs="宋体"/>
                <w:b w:val="0"/>
              </w:rPr>
              <w:t>53,295.26</w:t>
            </w:r>
          </w:p>
        </w:tc>
      </w:tr>
      <w:tr w14:paraId="0973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04CC9D">
            <w:pPr>
              <w:spacing w:line="240" w:lineRule="auto"/>
              <w:jc w:val="left"/>
            </w:pPr>
            <w:r>
              <w:rPr>
                <w:rFonts w:ascii="宋体" w:hAnsi="宋体" w:eastAsia="宋体" w:cs="宋体"/>
                <w:b w:val="0"/>
              </w:rPr>
              <w:t>期末基金份额净值</w:t>
            </w:r>
          </w:p>
        </w:tc>
        <w:tc>
          <w:tcPr>
            <w:tcW w:w="1500" w:type="pct"/>
          </w:tcPr>
          <w:p w14:paraId="22C71219">
            <w:pPr>
              <w:spacing w:line="240" w:lineRule="auto"/>
              <w:jc w:val="right"/>
            </w:pPr>
            <w:r>
              <w:rPr>
                <w:rFonts w:ascii="宋体" w:hAnsi="宋体" w:eastAsia="宋体" w:cs="宋体"/>
                <w:b w:val="0"/>
              </w:rPr>
              <w:t>0.9930</w:t>
            </w:r>
          </w:p>
        </w:tc>
        <w:tc>
          <w:tcPr>
            <w:tcW w:w="1500" w:type="pct"/>
          </w:tcPr>
          <w:p w14:paraId="19E5C1A6">
            <w:pPr>
              <w:spacing w:line="240" w:lineRule="auto"/>
              <w:jc w:val="right"/>
            </w:pPr>
            <w:r>
              <w:rPr>
                <w:rFonts w:ascii="宋体" w:hAnsi="宋体" w:eastAsia="宋体" w:cs="宋体"/>
                <w:b w:val="0"/>
              </w:rPr>
              <w:t>0.9927</w:t>
            </w:r>
          </w:p>
        </w:tc>
      </w:tr>
      <w:tr w14:paraId="6F73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4C7E15C0">
            <w:pPr>
              <w:spacing w:line="240" w:lineRule="auto"/>
              <w:jc w:val="left"/>
            </w:pPr>
            <w:r>
              <w:rPr>
                <w:rFonts w:ascii="宋体" w:hAnsi="宋体" w:eastAsia="宋体" w:cs="宋体"/>
                <w:b/>
              </w:rPr>
              <w:t>3.1.3累计期末指标</w:t>
            </w:r>
          </w:p>
        </w:tc>
        <w:tc>
          <w:tcPr>
            <w:tcW w:w="0" w:type="dxa"/>
            <w:gridSpan w:val="2"/>
            <w:shd w:val="clear" w:color="auto" w:fill="D9D9D9"/>
          </w:tcPr>
          <w:p w14:paraId="37A1517A">
            <w:pPr>
              <w:spacing w:line="240" w:lineRule="auto"/>
              <w:jc w:val="center"/>
            </w:pPr>
            <w:r>
              <w:rPr>
                <w:rFonts w:ascii="宋体" w:hAnsi="宋体" w:eastAsia="宋体" w:cs="宋体"/>
                <w:b w:val="0"/>
              </w:rPr>
              <w:t>报告期末（2025年06月30日）</w:t>
            </w:r>
          </w:p>
        </w:tc>
      </w:tr>
      <w:tr w14:paraId="748A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D93389">
            <w:pPr>
              <w:spacing w:line="240" w:lineRule="auto"/>
              <w:jc w:val="left"/>
            </w:pPr>
            <w:r>
              <w:rPr>
                <w:rFonts w:ascii="宋体" w:hAnsi="宋体" w:eastAsia="宋体" w:cs="宋体"/>
                <w:b w:val="0"/>
              </w:rPr>
              <w:t>基金份额累计净值增长率</w:t>
            </w:r>
          </w:p>
        </w:tc>
        <w:tc>
          <w:tcPr>
            <w:tcW w:w="1500" w:type="pct"/>
          </w:tcPr>
          <w:p w14:paraId="3EDF2033">
            <w:pPr>
              <w:spacing w:line="240" w:lineRule="auto"/>
              <w:jc w:val="right"/>
            </w:pPr>
            <w:r>
              <w:rPr>
                <w:rFonts w:ascii="宋体" w:hAnsi="宋体" w:eastAsia="宋体" w:cs="宋体"/>
                <w:b w:val="0"/>
              </w:rPr>
              <w:t>-0.70%</w:t>
            </w:r>
          </w:p>
        </w:tc>
        <w:tc>
          <w:tcPr>
            <w:tcW w:w="1500" w:type="pct"/>
          </w:tcPr>
          <w:p w14:paraId="792A99F7">
            <w:pPr>
              <w:spacing w:line="240" w:lineRule="auto"/>
              <w:jc w:val="right"/>
            </w:pPr>
            <w:r>
              <w:rPr>
                <w:rFonts w:ascii="宋体" w:hAnsi="宋体" w:eastAsia="宋体" w:cs="宋体"/>
                <w:b w:val="0"/>
              </w:rPr>
              <w:t>-0.73%</w:t>
            </w:r>
          </w:p>
        </w:tc>
      </w:tr>
    </w:tbl>
    <w:p w14:paraId="7B1AD6B9">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r>
        <w:rPr>
          <w:rFonts w:ascii="宋体" w:hAnsi="宋体" w:eastAsia="宋体" w:cs="宋体"/>
          <w:b w:val="0"/>
        </w:rPr>
        <w:cr/>
      </w:r>
      <w:r>
        <w:rPr>
          <w:rFonts w:ascii="宋体" w:hAnsi="宋体" w:eastAsia="宋体" w:cs="宋体"/>
          <w:b w:val="0"/>
        </w:rPr>
        <w:t>4.本基金基金合同于2025年6月6日生效，截止2025年6月30日，本基金成立未满1年。</w:t>
      </w:r>
    </w:p>
    <w:p w14:paraId="535149B6"/>
    <w:p w14:paraId="7171940B">
      <w:pPr>
        <w:pStyle w:val="3"/>
        <w:jc w:val="left"/>
      </w:pPr>
      <w:bookmarkStart w:id="13" w:name="_Toc30977"/>
      <w:r>
        <w:rPr>
          <w:rFonts w:ascii="宋体" w:hAnsi="宋体" w:eastAsia="宋体" w:cs="宋体"/>
        </w:rPr>
        <w:t>3.2 基金净值表现</w:t>
      </w:r>
      <w:bookmarkEnd w:id="13"/>
    </w:p>
    <w:p w14:paraId="505DA9FE">
      <w:r>
        <w:rPr>
          <w:rFonts w:ascii="宋体" w:hAnsi="宋体" w:eastAsia="宋体" w:cs="宋体"/>
          <w:b/>
        </w:rPr>
        <w:t>3.2.1 基金份额净值增长率及其与同期业绩比较基准收益率的比较</w:t>
      </w:r>
    </w:p>
    <w:p w14:paraId="6A8FBECA">
      <w:pPr>
        <w:jc w:val="left"/>
      </w:pPr>
      <w:r>
        <w:rPr>
          <w:rFonts w:ascii="宋体" w:hAnsi="宋体" w:eastAsia="宋体" w:cs="宋体"/>
          <w:b/>
        </w:rPr>
        <w:t>东方阿尔法科技优选混合发起A净值表现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2C10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2962F58">
            <w:pPr>
              <w:spacing w:line="240" w:lineRule="auto"/>
              <w:jc w:val="center"/>
            </w:pPr>
            <w:r>
              <w:rPr>
                <w:rFonts w:ascii="宋体" w:hAnsi="宋体" w:eastAsia="宋体" w:cs="宋体"/>
                <w:b w:val="0"/>
              </w:rPr>
              <w:t>阶段</w:t>
            </w:r>
          </w:p>
        </w:tc>
        <w:tc>
          <w:tcPr>
            <w:tcW w:w="692" w:type="pct"/>
            <w:shd w:val="clear" w:color="auto" w:fill="D9D9D9"/>
            <w:vAlign w:val="center"/>
          </w:tcPr>
          <w:p w14:paraId="29286542">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6B27069C">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0BB1162B">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1C11BA65">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5F297803">
            <w:pPr>
              <w:spacing w:line="240" w:lineRule="auto"/>
              <w:jc w:val="center"/>
            </w:pPr>
            <w:r>
              <w:rPr>
                <w:rFonts w:ascii="宋体" w:hAnsi="宋体" w:eastAsia="宋体" w:cs="宋体"/>
                <w:b w:val="0"/>
              </w:rPr>
              <w:t>①－③</w:t>
            </w:r>
          </w:p>
        </w:tc>
        <w:tc>
          <w:tcPr>
            <w:tcW w:w="692" w:type="pct"/>
            <w:shd w:val="clear" w:color="auto" w:fill="D9D9D9"/>
            <w:vAlign w:val="center"/>
          </w:tcPr>
          <w:p w14:paraId="5EC4B5EB">
            <w:pPr>
              <w:spacing w:line="240" w:lineRule="auto"/>
              <w:jc w:val="center"/>
            </w:pPr>
            <w:r>
              <w:rPr>
                <w:rFonts w:ascii="宋体" w:hAnsi="宋体" w:eastAsia="宋体" w:cs="宋体"/>
                <w:b w:val="0"/>
              </w:rPr>
              <w:t>②－④</w:t>
            </w:r>
          </w:p>
        </w:tc>
      </w:tr>
      <w:tr w14:paraId="0A21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990259">
            <w:pPr>
              <w:spacing w:line="240" w:lineRule="auto"/>
              <w:jc w:val="left"/>
            </w:pPr>
            <w:r>
              <w:rPr>
                <w:rFonts w:ascii="宋体" w:hAnsi="宋体" w:eastAsia="宋体" w:cs="宋体"/>
                <w:b w:val="0"/>
              </w:rPr>
              <w:t>自基金合同生效起至今</w:t>
            </w:r>
          </w:p>
        </w:tc>
        <w:tc>
          <w:tcPr>
            <w:tcW w:w="0" w:type="dxa"/>
          </w:tcPr>
          <w:p w14:paraId="6897A9BE">
            <w:pPr>
              <w:spacing w:line="240" w:lineRule="auto"/>
              <w:jc w:val="right"/>
            </w:pPr>
            <w:r>
              <w:rPr>
                <w:rFonts w:ascii="宋体" w:hAnsi="宋体" w:eastAsia="宋体" w:cs="宋体"/>
                <w:b w:val="0"/>
              </w:rPr>
              <w:t>-0.70%</w:t>
            </w:r>
          </w:p>
        </w:tc>
        <w:tc>
          <w:tcPr>
            <w:tcW w:w="0" w:type="dxa"/>
          </w:tcPr>
          <w:p w14:paraId="43E435AA">
            <w:pPr>
              <w:spacing w:line="240" w:lineRule="auto"/>
              <w:jc w:val="right"/>
            </w:pPr>
            <w:r>
              <w:rPr>
                <w:rFonts w:ascii="宋体" w:hAnsi="宋体" w:eastAsia="宋体" w:cs="宋体"/>
                <w:b w:val="0"/>
              </w:rPr>
              <w:t>1.40%</w:t>
            </w:r>
          </w:p>
        </w:tc>
        <w:tc>
          <w:tcPr>
            <w:tcW w:w="0" w:type="dxa"/>
          </w:tcPr>
          <w:p w14:paraId="29B64A91">
            <w:pPr>
              <w:spacing w:line="240" w:lineRule="auto"/>
              <w:jc w:val="right"/>
            </w:pPr>
            <w:r>
              <w:rPr>
                <w:rFonts w:ascii="宋体" w:hAnsi="宋体" w:eastAsia="宋体" w:cs="宋体"/>
                <w:b w:val="0"/>
              </w:rPr>
              <w:t>3.94%</w:t>
            </w:r>
          </w:p>
        </w:tc>
        <w:tc>
          <w:tcPr>
            <w:tcW w:w="0" w:type="dxa"/>
          </w:tcPr>
          <w:p w14:paraId="33E001B7">
            <w:pPr>
              <w:spacing w:line="240" w:lineRule="auto"/>
              <w:jc w:val="right"/>
            </w:pPr>
            <w:r>
              <w:rPr>
                <w:rFonts w:ascii="宋体" w:hAnsi="宋体" w:eastAsia="宋体" w:cs="宋体"/>
                <w:b w:val="0"/>
              </w:rPr>
              <w:t>0.79%</w:t>
            </w:r>
          </w:p>
        </w:tc>
        <w:tc>
          <w:tcPr>
            <w:tcW w:w="0" w:type="dxa"/>
          </w:tcPr>
          <w:p w14:paraId="038E61A3">
            <w:pPr>
              <w:spacing w:line="240" w:lineRule="auto"/>
              <w:jc w:val="right"/>
            </w:pPr>
            <w:r>
              <w:rPr>
                <w:rFonts w:ascii="宋体" w:hAnsi="宋体" w:eastAsia="宋体" w:cs="宋体"/>
                <w:b w:val="0"/>
              </w:rPr>
              <w:t>-4.64%</w:t>
            </w:r>
          </w:p>
        </w:tc>
        <w:tc>
          <w:tcPr>
            <w:tcW w:w="0" w:type="dxa"/>
          </w:tcPr>
          <w:p w14:paraId="58AD2BCC">
            <w:pPr>
              <w:spacing w:line="240" w:lineRule="auto"/>
              <w:jc w:val="right"/>
            </w:pPr>
            <w:r>
              <w:rPr>
                <w:rFonts w:ascii="宋体" w:hAnsi="宋体" w:eastAsia="宋体" w:cs="宋体"/>
                <w:b w:val="0"/>
              </w:rPr>
              <w:t>0.61%</w:t>
            </w:r>
          </w:p>
        </w:tc>
      </w:tr>
    </w:tbl>
    <w:p w14:paraId="32005464">
      <w:pPr>
        <w:jc w:val="left"/>
      </w:pPr>
      <w:r>
        <w:rPr>
          <w:rFonts w:ascii="宋体" w:hAnsi="宋体" w:eastAsia="宋体" w:cs="宋体"/>
          <w:b/>
        </w:rPr>
        <w:t>东方阿尔法科技优选混合发起C净值表现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1DD2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DEA7913">
            <w:pPr>
              <w:spacing w:line="240" w:lineRule="auto"/>
              <w:jc w:val="center"/>
            </w:pPr>
            <w:r>
              <w:rPr>
                <w:rFonts w:ascii="宋体" w:hAnsi="宋体" w:eastAsia="宋体" w:cs="宋体"/>
                <w:b w:val="0"/>
              </w:rPr>
              <w:t>阶段</w:t>
            </w:r>
          </w:p>
        </w:tc>
        <w:tc>
          <w:tcPr>
            <w:tcW w:w="692" w:type="pct"/>
            <w:shd w:val="clear" w:color="auto" w:fill="D9D9D9"/>
            <w:vAlign w:val="center"/>
          </w:tcPr>
          <w:p w14:paraId="65FFDB5D">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7472C40C">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EA82FE5">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154636BE">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5F7687DD">
            <w:pPr>
              <w:spacing w:line="240" w:lineRule="auto"/>
              <w:jc w:val="center"/>
            </w:pPr>
            <w:r>
              <w:rPr>
                <w:rFonts w:ascii="宋体" w:hAnsi="宋体" w:eastAsia="宋体" w:cs="宋体"/>
                <w:b w:val="0"/>
              </w:rPr>
              <w:t>①－③</w:t>
            </w:r>
          </w:p>
        </w:tc>
        <w:tc>
          <w:tcPr>
            <w:tcW w:w="692" w:type="pct"/>
            <w:shd w:val="clear" w:color="auto" w:fill="D9D9D9"/>
            <w:vAlign w:val="center"/>
          </w:tcPr>
          <w:p w14:paraId="2D273127">
            <w:pPr>
              <w:spacing w:line="240" w:lineRule="auto"/>
              <w:jc w:val="center"/>
            </w:pPr>
            <w:r>
              <w:rPr>
                <w:rFonts w:ascii="宋体" w:hAnsi="宋体" w:eastAsia="宋体" w:cs="宋体"/>
                <w:b w:val="0"/>
              </w:rPr>
              <w:t>②－④</w:t>
            </w:r>
          </w:p>
        </w:tc>
      </w:tr>
      <w:tr w14:paraId="57AA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133F17">
            <w:pPr>
              <w:spacing w:line="240" w:lineRule="auto"/>
              <w:jc w:val="left"/>
            </w:pPr>
            <w:r>
              <w:rPr>
                <w:rFonts w:ascii="宋体" w:hAnsi="宋体" w:eastAsia="宋体" w:cs="宋体"/>
                <w:b w:val="0"/>
              </w:rPr>
              <w:t>自基金合同生效起至今</w:t>
            </w:r>
          </w:p>
        </w:tc>
        <w:tc>
          <w:tcPr>
            <w:tcW w:w="0" w:type="dxa"/>
          </w:tcPr>
          <w:p w14:paraId="1483C887">
            <w:pPr>
              <w:spacing w:line="240" w:lineRule="auto"/>
              <w:jc w:val="right"/>
            </w:pPr>
            <w:r>
              <w:rPr>
                <w:rFonts w:ascii="宋体" w:hAnsi="宋体" w:eastAsia="宋体" w:cs="宋体"/>
                <w:b w:val="0"/>
              </w:rPr>
              <w:t>-0.73%</w:t>
            </w:r>
          </w:p>
        </w:tc>
        <w:tc>
          <w:tcPr>
            <w:tcW w:w="0" w:type="dxa"/>
          </w:tcPr>
          <w:p w14:paraId="020AD0BE">
            <w:pPr>
              <w:spacing w:line="240" w:lineRule="auto"/>
              <w:jc w:val="right"/>
            </w:pPr>
            <w:r>
              <w:rPr>
                <w:rFonts w:ascii="宋体" w:hAnsi="宋体" w:eastAsia="宋体" w:cs="宋体"/>
                <w:b w:val="0"/>
              </w:rPr>
              <w:t>1.39%</w:t>
            </w:r>
          </w:p>
        </w:tc>
        <w:tc>
          <w:tcPr>
            <w:tcW w:w="0" w:type="dxa"/>
          </w:tcPr>
          <w:p w14:paraId="63EEF433">
            <w:pPr>
              <w:spacing w:line="240" w:lineRule="auto"/>
              <w:jc w:val="right"/>
            </w:pPr>
            <w:r>
              <w:rPr>
                <w:rFonts w:ascii="宋体" w:hAnsi="宋体" w:eastAsia="宋体" w:cs="宋体"/>
                <w:b w:val="0"/>
              </w:rPr>
              <w:t>3.94%</w:t>
            </w:r>
          </w:p>
        </w:tc>
        <w:tc>
          <w:tcPr>
            <w:tcW w:w="0" w:type="dxa"/>
          </w:tcPr>
          <w:p w14:paraId="40740764">
            <w:pPr>
              <w:spacing w:line="240" w:lineRule="auto"/>
              <w:jc w:val="right"/>
            </w:pPr>
            <w:r>
              <w:rPr>
                <w:rFonts w:ascii="宋体" w:hAnsi="宋体" w:eastAsia="宋体" w:cs="宋体"/>
                <w:b w:val="0"/>
              </w:rPr>
              <w:t>0.79%</w:t>
            </w:r>
          </w:p>
        </w:tc>
        <w:tc>
          <w:tcPr>
            <w:tcW w:w="0" w:type="dxa"/>
          </w:tcPr>
          <w:p w14:paraId="0C63D99D">
            <w:pPr>
              <w:spacing w:line="240" w:lineRule="auto"/>
              <w:jc w:val="right"/>
            </w:pPr>
            <w:r>
              <w:rPr>
                <w:rFonts w:ascii="宋体" w:hAnsi="宋体" w:eastAsia="宋体" w:cs="宋体"/>
                <w:b w:val="0"/>
              </w:rPr>
              <w:t>-4.67%</w:t>
            </w:r>
          </w:p>
        </w:tc>
        <w:tc>
          <w:tcPr>
            <w:tcW w:w="0" w:type="dxa"/>
          </w:tcPr>
          <w:p w14:paraId="4D9AC859">
            <w:pPr>
              <w:spacing w:line="240" w:lineRule="auto"/>
              <w:jc w:val="right"/>
            </w:pPr>
            <w:r>
              <w:rPr>
                <w:rFonts w:ascii="宋体" w:hAnsi="宋体" w:eastAsia="宋体" w:cs="宋体"/>
                <w:b w:val="0"/>
              </w:rPr>
              <w:t>0.60%</w:t>
            </w:r>
          </w:p>
        </w:tc>
      </w:tr>
    </w:tbl>
    <w:p w14:paraId="54243055">
      <w:r>
        <w:rPr>
          <w:rFonts w:ascii="宋体" w:hAnsi="宋体" w:eastAsia="宋体" w:cs="宋体"/>
          <w:b w:val="0"/>
        </w:rPr>
        <w:t>注：1、本基金业绩比较基准为：中国战略新兴产业成份指数收益率*70%+中债-综合指数(全价)收益率*20%+恒生科技指数收益率(按估值汇率折算)*10%</w:t>
      </w:r>
      <w:r>
        <w:rPr>
          <w:rFonts w:ascii="宋体" w:hAnsi="宋体" w:eastAsia="宋体" w:cs="宋体"/>
          <w:b w:val="0"/>
        </w:rPr>
        <w:cr/>
      </w:r>
      <w:r>
        <w:rPr>
          <w:rFonts w:ascii="宋体" w:hAnsi="宋体" w:eastAsia="宋体" w:cs="宋体"/>
          <w:b w:val="0"/>
        </w:rPr>
        <w:t>2、本基金自2025年6月6日成立至今尚未满1个月，无过去一个月、三个月、六个月、一年和三年的净值表现。</w:t>
      </w:r>
    </w:p>
    <w:p w14:paraId="2B6BCE62"/>
    <w:p w14:paraId="657685DD">
      <w:r>
        <w:rPr>
          <w:rFonts w:ascii="宋体" w:hAnsi="宋体" w:eastAsia="宋体" w:cs="宋体"/>
          <w:b/>
        </w:rPr>
        <w:t>3.2.2 自基金合同生效以来基金份额累计净值增长率变动及其与同期业绩比较基准收益率变动的比较</w:t>
      </w:r>
    </w:p>
    <w:p w14:paraId="040FD01D">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275800AE"/>
    <w:p w14:paraId="2A567B7A">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402B49A0">
      <w:r>
        <w:rPr>
          <w:rFonts w:ascii="宋体" w:hAnsi="宋体" w:eastAsia="宋体" w:cs="宋体"/>
          <w:b w:val="0"/>
        </w:rPr>
        <w:t>注：本基金的基金合同于2025年06月06日生效，截至本报告期末，本基金成立未满1年。2025年本基金净值增长率与同期业绩比较基准收益率按本基金实际存续期计算。</w:t>
      </w:r>
    </w:p>
    <w:p w14:paraId="73C3D334">
      <w:pPr>
        <w:pStyle w:val="2"/>
        <w:jc w:val="center"/>
      </w:pPr>
      <w:bookmarkStart w:id="14" w:name="_Toc28027"/>
      <w:r>
        <w:rPr>
          <w:rFonts w:ascii="宋体" w:hAnsi="宋体" w:eastAsia="宋体" w:cs="宋体"/>
        </w:rPr>
        <w:t>§4 管理人报告</w:t>
      </w:r>
      <w:bookmarkEnd w:id="14"/>
    </w:p>
    <w:p w14:paraId="333DD070">
      <w:pPr>
        <w:pStyle w:val="3"/>
        <w:jc w:val="left"/>
      </w:pPr>
      <w:bookmarkStart w:id="15" w:name="_Toc7591"/>
      <w:r>
        <w:rPr>
          <w:rFonts w:ascii="宋体" w:hAnsi="宋体" w:eastAsia="宋体" w:cs="宋体"/>
        </w:rPr>
        <w:t>4.1 基金管理人及基金经理情况</w:t>
      </w:r>
      <w:bookmarkEnd w:id="15"/>
    </w:p>
    <w:p w14:paraId="2FD23468">
      <w:r>
        <w:rPr>
          <w:rFonts w:ascii="宋体" w:hAnsi="宋体" w:eastAsia="宋体" w:cs="宋体"/>
          <w:b/>
        </w:rPr>
        <w:t>4.1.1 基金管理人及其管理基金的经验</w:t>
      </w:r>
    </w:p>
    <w:p w14:paraId="3CE209A9">
      <w:pPr>
        <w:jc w:val="left"/>
      </w:pPr>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截至报告期末，东方阿尔法基金管理资产规模54.38亿元，旗下管理10只公开募集证券投资基金和1只私募资产管理计划。</w:t>
      </w:r>
    </w:p>
    <w:p w14:paraId="0C28D901"/>
    <w:p w14:paraId="7EC4E5D4">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66C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0567B7C6">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5330DC21">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5BBE4999">
            <w:pPr>
              <w:spacing w:line="240" w:lineRule="auto"/>
              <w:jc w:val="center"/>
            </w:pPr>
            <w:r>
              <w:rPr>
                <w:rFonts w:ascii="宋体" w:hAnsi="宋体" w:eastAsia="宋体" w:cs="宋体"/>
                <w:b w:val="0"/>
              </w:rPr>
              <w:t>任本基金的基金经理（助理）期限</w:t>
            </w:r>
          </w:p>
        </w:tc>
        <w:tc>
          <w:tcPr>
            <w:tcW w:w="308" w:type="pct"/>
            <w:vMerge w:val="restart"/>
            <w:shd w:val="clear" w:color="auto" w:fill="D9D9D9"/>
            <w:vAlign w:val="center"/>
          </w:tcPr>
          <w:p w14:paraId="2F0FD37E">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09291363">
            <w:pPr>
              <w:spacing w:line="240" w:lineRule="auto"/>
              <w:jc w:val="center"/>
            </w:pPr>
            <w:r>
              <w:rPr>
                <w:rFonts w:ascii="宋体" w:hAnsi="宋体" w:eastAsia="宋体" w:cs="宋体"/>
                <w:b w:val="0"/>
              </w:rPr>
              <w:t>说明</w:t>
            </w:r>
          </w:p>
        </w:tc>
      </w:tr>
      <w:tr w14:paraId="389A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AE691D"/>
        </w:tc>
        <w:tc>
          <w:tcPr>
            <w:vMerge w:val="continue"/>
          </w:tcPr>
          <w:p w14:paraId="1FEA1729"/>
        </w:tc>
        <w:tc>
          <w:tcPr>
            <w:tcW w:w="400" w:type="pct"/>
            <w:shd w:val="clear" w:color="auto" w:fill="D9D9D9"/>
            <w:vAlign w:val="center"/>
          </w:tcPr>
          <w:p w14:paraId="0A9C1AD0">
            <w:pPr>
              <w:spacing w:line="240" w:lineRule="auto"/>
              <w:jc w:val="center"/>
            </w:pPr>
            <w:r>
              <w:rPr>
                <w:rFonts w:ascii="宋体" w:hAnsi="宋体" w:eastAsia="宋体" w:cs="宋体"/>
                <w:b w:val="0"/>
              </w:rPr>
              <w:t>任职日期</w:t>
            </w:r>
          </w:p>
        </w:tc>
        <w:tc>
          <w:tcPr>
            <w:tcW w:w="392" w:type="pct"/>
            <w:shd w:val="clear" w:color="auto" w:fill="D9D9D9"/>
            <w:vAlign w:val="center"/>
          </w:tcPr>
          <w:p w14:paraId="162A9D3A">
            <w:pPr>
              <w:spacing w:line="240" w:lineRule="auto"/>
              <w:jc w:val="center"/>
            </w:pPr>
            <w:r>
              <w:rPr>
                <w:rFonts w:ascii="宋体" w:hAnsi="宋体" w:eastAsia="宋体" w:cs="宋体"/>
                <w:b w:val="0"/>
              </w:rPr>
              <w:t>离任日期</w:t>
            </w:r>
          </w:p>
        </w:tc>
        <w:tc>
          <w:tcPr>
            <w:vMerge w:val="continue"/>
          </w:tcPr>
          <w:p w14:paraId="5F5EE25C"/>
        </w:tc>
        <w:tc>
          <w:tcPr>
            <w:vMerge w:val="continue"/>
          </w:tcPr>
          <w:p w14:paraId="55CF7745"/>
        </w:tc>
      </w:tr>
      <w:tr w14:paraId="5303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AA6699">
            <w:pPr>
              <w:spacing w:line="240" w:lineRule="auto"/>
              <w:jc w:val="left"/>
            </w:pPr>
            <w:r>
              <w:rPr>
                <w:rFonts w:ascii="宋体" w:hAnsi="宋体" w:eastAsia="宋体" w:cs="宋体"/>
                <w:b w:val="0"/>
              </w:rPr>
              <w:t>潘令梓</w:t>
            </w:r>
          </w:p>
        </w:tc>
        <w:tc>
          <w:tcPr>
            <w:tcW w:w="0" w:type="dxa"/>
            <w:vAlign w:val="center"/>
          </w:tcPr>
          <w:p w14:paraId="7433D63B">
            <w:pPr>
              <w:spacing w:line="240" w:lineRule="auto"/>
              <w:jc w:val="left"/>
            </w:pPr>
            <w:r>
              <w:rPr>
                <w:rFonts w:ascii="宋体" w:hAnsi="宋体" w:eastAsia="宋体" w:cs="宋体"/>
                <w:b w:val="0"/>
              </w:rPr>
              <w:t>基金经理</w:t>
            </w:r>
          </w:p>
        </w:tc>
        <w:tc>
          <w:tcPr>
            <w:tcW w:w="0" w:type="dxa"/>
            <w:vAlign w:val="center"/>
          </w:tcPr>
          <w:p w14:paraId="20039ECD">
            <w:pPr>
              <w:spacing w:line="240" w:lineRule="auto"/>
              <w:jc w:val="left"/>
            </w:pPr>
            <w:r>
              <w:rPr>
                <w:rFonts w:ascii="宋体" w:hAnsi="宋体" w:eastAsia="宋体" w:cs="宋体"/>
                <w:b w:val="0"/>
              </w:rPr>
              <w:t>2025-06-06</w:t>
            </w:r>
          </w:p>
        </w:tc>
        <w:tc>
          <w:tcPr>
            <w:tcW w:w="0" w:type="dxa"/>
            <w:vAlign w:val="center"/>
          </w:tcPr>
          <w:p w14:paraId="072EB5D1">
            <w:pPr>
              <w:spacing w:line="240" w:lineRule="auto"/>
              <w:jc w:val="left"/>
            </w:pPr>
            <w:r>
              <w:rPr>
                <w:rFonts w:ascii="宋体" w:hAnsi="宋体" w:eastAsia="宋体" w:cs="宋体"/>
                <w:b w:val="0"/>
              </w:rPr>
              <w:t>-</w:t>
            </w:r>
          </w:p>
        </w:tc>
        <w:tc>
          <w:tcPr>
            <w:tcW w:w="0" w:type="dxa"/>
            <w:vAlign w:val="center"/>
          </w:tcPr>
          <w:p w14:paraId="38C93569">
            <w:pPr>
              <w:spacing w:line="240" w:lineRule="auto"/>
              <w:jc w:val="left"/>
            </w:pPr>
            <w:r>
              <w:rPr>
                <w:rFonts w:ascii="宋体" w:hAnsi="宋体" w:eastAsia="宋体" w:cs="宋体"/>
                <w:b w:val="0"/>
              </w:rPr>
              <w:t>6年</w:t>
            </w:r>
          </w:p>
        </w:tc>
        <w:tc>
          <w:tcPr>
            <w:tcW w:w="0" w:type="dxa"/>
            <w:vAlign w:val="center"/>
          </w:tcPr>
          <w:p w14:paraId="15CA9192">
            <w:pPr>
              <w:spacing w:line="240" w:lineRule="auto"/>
              <w:jc w:val="left"/>
            </w:pPr>
            <w:r>
              <w:rPr>
                <w:rFonts w:ascii="宋体" w:hAnsi="宋体" w:eastAsia="宋体" w:cs="宋体"/>
                <w:b w:val="0"/>
              </w:rPr>
              <w:t>潘令梓先生，南开大学保险学学士，香港大学会计学硕士，于2019年11月入职东方阿尔法基金管理有限公司，历任研究部研究员、基金经理助理。现任东方阿尔法基金管理有限公司基金经理。</w:t>
            </w:r>
          </w:p>
        </w:tc>
      </w:tr>
      <w:tr w14:paraId="476B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315043">
            <w:pPr>
              <w:spacing w:line="240" w:lineRule="auto"/>
              <w:jc w:val="left"/>
            </w:pPr>
            <w:r>
              <w:rPr>
                <w:rFonts w:ascii="宋体" w:hAnsi="宋体" w:eastAsia="宋体" w:cs="宋体"/>
                <w:b w:val="0"/>
              </w:rPr>
              <w:t>周谧</w:t>
            </w:r>
          </w:p>
        </w:tc>
        <w:tc>
          <w:tcPr>
            <w:tcW w:w="0" w:type="dxa"/>
            <w:vAlign w:val="center"/>
          </w:tcPr>
          <w:p w14:paraId="2BF377DB">
            <w:pPr>
              <w:spacing w:line="240" w:lineRule="auto"/>
              <w:jc w:val="left"/>
            </w:pPr>
            <w:r>
              <w:rPr>
                <w:rFonts w:ascii="宋体" w:hAnsi="宋体" w:eastAsia="宋体" w:cs="宋体"/>
                <w:b w:val="0"/>
              </w:rPr>
              <w:t>基金经理</w:t>
            </w:r>
          </w:p>
        </w:tc>
        <w:tc>
          <w:tcPr>
            <w:tcW w:w="0" w:type="dxa"/>
            <w:vAlign w:val="center"/>
          </w:tcPr>
          <w:p w14:paraId="0DE8D34D">
            <w:pPr>
              <w:spacing w:line="240" w:lineRule="auto"/>
              <w:jc w:val="left"/>
            </w:pPr>
            <w:r>
              <w:rPr>
                <w:rFonts w:ascii="宋体" w:hAnsi="宋体" w:eastAsia="宋体" w:cs="宋体"/>
                <w:b w:val="0"/>
              </w:rPr>
              <w:t>2025-06-12</w:t>
            </w:r>
          </w:p>
        </w:tc>
        <w:tc>
          <w:tcPr>
            <w:tcW w:w="0" w:type="dxa"/>
            <w:vAlign w:val="center"/>
          </w:tcPr>
          <w:p w14:paraId="0C6CE55F">
            <w:pPr>
              <w:spacing w:line="240" w:lineRule="auto"/>
              <w:jc w:val="left"/>
            </w:pPr>
            <w:r>
              <w:rPr>
                <w:rFonts w:ascii="宋体" w:hAnsi="宋体" w:eastAsia="宋体" w:cs="宋体"/>
                <w:b w:val="0"/>
              </w:rPr>
              <w:t>-</w:t>
            </w:r>
          </w:p>
        </w:tc>
        <w:tc>
          <w:tcPr>
            <w:tcW w:w="0" w:type="dxa"/>
            <w:vAlign w:val="center"/>
          </w:tcPr>
          <w:p w14:paraId="53D3F4E4">
            <w:pPr>
              <w:spacing w:line="240" w:lineRule="auto"/>
              <w:jc w:val="left"/>
            </w:pPr>
            <w:r>
              <w:rPr>
                <w:rFonts w:ascii="宋体" w:hAnsi="宋体" w:eastAsia="宋体" w:cs="宋体"/>
                <w:b w:val="0"/>
              </w:rPr>
              <w:t>15年</w:t>
            </w:r>
          </w:p>
        </w:tc>
        <w:tc>
          <w:tcPr>
            <w:tcW w:w="0" w:type="dxa"/>
            <w:vAlign w:val="center"/>
          </w:tcPr>
          <w:p w14:paraId="03082D8F">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14:paraId="435557CC">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6B5A692A"/>
    <w:p w14:paraId="033F1BD0">
      <w:pPr>
        <w:pStyle w:val="3"/>
        <w:jc w:val="left"/>
      </w:pPr>
      <w:bookmarkStart w:id="16" w:name="_Toc19527"/>
      <w:r>
        <w:rPr>
          <w:rFonts w:ascii="宋体" w:hAnsi="宋体" w:eastAsia="宋体" w:cs="宋体"/>
        </w:rPr>
        <w:t>4.2 管理人对报告期内本基金运作遵规守信情况的说明</w:t>
      </w:r>
      <w:bookmarkEnd w:id="16"/>
    </w:p>
    <w:p w14:paraId="09A92FD1">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045EE274"/>
    <w:p w14:paraId="70409157">
      <w:pPr>
        <w:pStyle w:val="3"/>
        <w:jc w:val="left"/>
      </w:pPr>
      <w:bookmarkStart w:id="17" w:name="_Toc2858"/>
      <w:r>
        <w:rPr>
          <w:rFonts w:ascii="宋体" w:hAnsi="宋体" w:eastAsia="宋体" w:cs="宋体"/>
        </w:rPr>
        <w:t>4.3 管理人对报告期内公平交易情况的专项说明</w:t>
      </w:r>
      <w:bookmarkEnd w:id="17"/>
    </w:p>
    <w:p w14:paraId="2E66DCA2">
      <w:r>
        <w:rPr>
          <w:rFonts w:ascii="宋体" w:hAnsi="宋体" w:eastAsia="宋体" w:cs="宋体"/>
          <w:b/>
        </w:rPr>
        <w:t>4.3.1 公平交易制度的执行情况</w:t>
      </w:r>
    </w:p>
    <w:p w14:paraId="35D9D773">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0E50196C"/>
    <w:p w14:paraId="1E0C6E2B">
      <w:r>
        <w:rPr>
          <w:rFonts w:ascii="宋体" w:hAnsi="宋体" w:eastAsia="宋体" w:cs="宋体"/>
          <w:b/>
        </w:rPr>
        <w:t>4.3.2 异常交易行为的专项说明</w:t>
      </w:r>
    </w:p>
    <w:p w14:paraId="4F195377">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622512A9"/>
    <w:p w14:paraId="297C0DB1">
      <w:pPr>
        <w:pStyle w:val="3"/>
        <w:jc w:val="left"/>
      </w:pPr>
      <w:bookmarkStart w:id="18" w:name="_Toc5545"/>
      <w:r>
        <w:rPr>
          <w:rFonts w:ascii="宋体" w:hAnsi="宋体" w:eastAsia="宋体" w:cs="宋体"/>
        </w:rPr>
        <w:t>4.4 管理人对报告期内基金的投资策略和业绩表现的说明</w:t>
      </w:r>
      <w:bookmarkEnd w:id="18"/>
    </w:p>
    <w:p w14:paraId="45F61309">
      <w:r>
        <w:rPr>
          <w:rFonts w:ascii="宋体" w:hAnsi="宋体" w:eastAsia="宋体" w:cs="宋体"/>
          <w:b/>
        </w:rPr>
        <w:t>4.4.1 报告期内基金投资策略和运作分析</w:t>
      </w:r>
    </w:p>
    <w:p w14:paraId="2D9DCEA9">
      <w:pPr>
        <w:jc w:val="left"/>
      </w:pPr>
      <w:r>
        <w:rPr>
          <w:rFonts w:ascii="宋体" w:hAnsi="宋体" w:eastAsia="宋体" w:cs="宋体"/>
          <w:b w:val="0"/>
        </w:rPr>
        <w:t xml:space="preserve">    在经历了2024年前期复杂、后期亢奋的市场变化后，我们带着一丝担忧和期待进入了2025年。年初，市场主要关注两个问题：一是中国经济的韧性到底有多强，何时能正式探底；二是特朗普领导下的美国与中国之间的博弈会有多激烈，对经济的影响有多大。</w:t>
      </w:r>
      <w:r>
        <w:rPr>
          <w:rFonts w:ascii="宋体" w:hAnsi="宋体" w:eastAsia="宋体" w:cs="宋体"/>
          <w:b w:val="0"/>
        </w:rPr>
        <w:cr/>
      </w:r>
      <w:r>
        <w:rPr>
          <w:rFonts w:ascii="宋体" w:hAnsi="宋体" w:eastAsia="宋体" w:cs="宋体"/>
          <w:b w:val="0"/>
        </w:rPr>
        <w:t xml:space="preserve">    然而，一季度中国经济延续了去年四季度的复苏势头，在“抢出口”和“两重两新”等政策的支持下，多项经济指标超出市场预期，多家机构预测我国一季度经济增速将超过5%。3月份两会顺利召开，为今年的工作奠定了基础：一方面，我们提高了财政赤字率，为应对可能的外部冲击提供资源；另一方面，新增了包括深海经济、具身智能、人形机器人等发展方向，并提出要进一步出台政策提升消费。</w:t>
      </w:r>
      <w:r>
        <w:rPr>
          <w:rFonts w:ascii="宋体" w:hAnsi="宋体" w:eastAsia="宋体" w:cs="宋体"/>
          <w:b w:val="0"/>
        </w:rPr>
        <w:cr/>
      </w:r>
      <w:r>
        <w:rPr>
          <w:rFonts w:ascii="宋体" w:hAnsi="宋体" w:eastAsia="宋体" w:cs="宋体"/>
          <w:b w:val="0"/>
        </w:rPr>
        <w:t xml:space="preserve">    二季度伊始，中美在关税问题上展开激烈交锋。我们灵活应对，成功顶住了美方压力，取得了谈判的阶段性胜利。在此期间，中国出口继续保持良好态势，国内耐用消费品在补贴政策的刺激下呈现向好态势，中国经济的基本盘依然牢固。本基金在二季度末成立，专注于投资具有技术优势的专精特新企业。在成立初期，我们通过深入研究发现，北交所汇聚了众多此类企业，这促使我们开始重点关注北交所这一市场，并逐渐挖掘出其中蕴含的投资机会。北交所目前正处于快速发展的阶段，为专精特新的中小企业提供了重要的融资渠道，助力它们实现自身的快速成长。在北交所上市的公司中，有许多企业展现出独特的业务模式和核心竞争力，在整个上市公司群体中具有一定的独特性和稀缺性，值得我们深入研究和关注。</w:t>
      </w:r>
    </w:p>
    <w:p w14:paraId="7CB7CED6"/>
    <w:p w14:paraId="30BFD171">
      <w:r>
        <w:rPr>
          <w:rFonts w:ascii="宋体" w:hAnsi="宋体" w:eastAsia="宋体" w:cs="宋体"/>
          <w:b/>
        </w:rPr>
        <w:t>4.4.2 报告期内基金的业绩表现</w:t>
      </w:r>
    </w:p>
    <w:p w14:paraId="0BBE8CA1">
      <w:pPr>
        <w:jc w:val="left"/>
      </w:pPr>
      <w:r>
        <w:rPr>
          <w:rFonts w:ascii="宋体" w:hAnsi="宋体" w:eastAsia="宋体" w:cs="宋体"/>
          <w:b w:val="0"/>
        </w:rPr>
        <w:t xml:space="preserve">    截至报告期末东方阿尔法科技优选混合发起A基金份额净值为0.9930元，本报告期内，该类基金份额净值增长率为-0.70%，同期业绩比较基准收益率为3.94%；截至报告期末东方阿尔法科技优选混合发起C基金份额净值为0.9927元，本报告期内，该类基金份额净值增长率为-0.73%，同期业绩比较基准收益率为3.94%。</w:t>
      </w:r>
    </w:p>
    <w:p w14:paraId="2CC0B068"/>
    <w:p w14:paraId="535ED03B">
      <w:pPr>
        <w:pStyle w:val="3"/>
        <w:jc w:val="left"/>
      </w:pPr>
      <w:bookmarkStart w:id="19" w:name="_Toc27239"/>
      <w:r>
        <w:rPr>
          <w:rFonts w:ascii="宋体" w:hAnsi="宋体" w:eastAsia="宋体" w:cs="宋体"/>
        </w:rPr>
        <w:t>4.5 管理人对宏观经济、证券市场及行业走势的简要展望</w:t>
      </w:r>
      <w:bookmarkEnd w:id="19"/>
    </w:p>
    <w:p w14:paraId="1A39F161">
      <w:pPr>
        <w:jc w:val="left"/>
      </w:pPr>
      <w:r>
        <w:rPr>
          <w:rFonts w:ascii="宋体" w:hAnsi="宋体" w:eastAsia="宋体" w:cs="宋体"/>
          <w:b w:val="0"/>
        </w:rPr>
        <w:t xml:space="preserve">    下半年，中国经济将处于寻底回升的关键阶段。一方面，我们在与美国的博弈中积累了丰富经验，双方对彼此的底牌和博弈边界有了更清晰的认识。俗话说“一鼓作气，再而衰，三而竭”，只要中国产业链的竞争力持续提升，高技术领域不断取得突破，稀土产业严防死守，博弈的均衡态势将向有利于我方的方向发展。另一方面，经过3～4年的调整，中国经济中的风险正在逐步释放，市场逐渐认识到中国经济的韧性足、回旋空间大，经济中的亮点不断涌现，市场信心较之前有了显著恢复。此外，资本市场的回升带来了一定的财富效应，缓解了市场的焦虑情绪，促使居民边际上提升了消费支出，这种边际效应将逐渐增强。我们相信，今年中国经济的“5%”将是一个有质量的增长。</w:t>
      </w:r>
      <w:r>
        <w:rPr>
          <w:rFonts w:ascii="宋体" w:hAnsi="宋体" w:eastAsia="宋体" w:cs="宋体"/>
          <w:b w:val="0"/>
        </w:rPr>
        <w:cr/>
      </w:r>
      <w:r>
        <w:rPr>
          <w:rFonts w:ascii="宋体" w:hAnsi="宋体" w:eastAsia="宋体" w:cs="宋体"/>
          <w:b w:val="0"/>
        </w:rPr>
        <w:t xml:space="preserve">    自4月份以来，资本市场开始呈现小幅缓慢上涨的态势，这种态势非常健康。市场如果急涨往往也会急跌，而慢牛行情能让更多居民有时间参与资本市场，享受资产的保值增值，对消费和经济的支撑也将更加扎实。因此，我们对本轮市场充满信心。本轮牛市前期可能是科技、医药等板块的结构性行情，随着经济复苏以及居民有时间从容调整资产配置，后期其他板块也将享受到资金外溢带来的上涨机会。</w:t>
      </w:r>
      <w:r>
        <w:rPr>
          <w:rFonts w:ascii="宋体" w:hAnsi="宋体" w:eastAsia="宋体" w:cs="宋体"/>
          <w:b w:val="0"/>
        </w:rPr>
        <w:cr/>
      </w:r>
      <w:r>
        <w:rPr>
          <w:rFonts w:ascii="宋体" w:hAnsi="宋体" w:eastAsia="宋体" w:cs="宋体"/>
          <w:b w:val="0"/>
        </w:rPr>
        <w:t xml:space="preserve">    随着市场行情的不断深入以及赚钱效应的显现，越来越多的居民将被吸引成为资本市场的参与者，这将促使市场成交量呈现温和放大态势。北交所主要聚焦于小盘股，这类股票通常在流动性充沛的市场环境中表现更为活跃。因此，下半年北交所或将有投资机会。在此背景下，本基金将秉持谨慎且专业的投资态度，全力挖掘北交所中的优质投资标的，努力把握其中的投资机会，致力于为投资者创造更多价值。</w:t>
      </w:r>
    </w:p>
    <w:p w14:paraId="76E15E5E"/>
    <w:p w14:paraId="6527B2EB">
      <w:pPr>
        <w:pStyle w:val="3"/>
        <w:jc w:val="left"/>
      </w:pPr>
      <w:bookmarkStart w:id="20" w:name="_Toc29291"/>
      <w:r>
        <w:rPr>
          <w:rFonts w:ascii="宋体" w:hAnsi="宋体" w:eastAsia="宋体" w:cs="宋体"/>
        </w:rPr>
        <w:t>4.6 管理人对报告期内基金估值程序等事项的说明</w:t>
      </w:r>
      <w:bookmarkEnd w:id="20"/>
    </w:p>
    <w:p w14:paraId="6088F02E">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2A29E39"/>
    <w:p w14:paraId="1E05D47E">
      <w:pPr>
        <w:pStyle w:val="3"/>
        <w:jc w:val="left"/>
      </w:pPr>
      <w:bookmarkStart w:id="21" w:name="_Toc24283"/>
      <w:r>
        <w:rPr>
          <w:rFonts w:ascii="宋体" w:hAnsi="宋体" w:eastAsia="宋体" w:cs="宋体"/>
        </w:rPr>
        <w:t>4.7 管理人对报告期内基金利润分配情况的说明</w:t>
      </w:r>
      <w:bookmarkEnd w:id="21"/>
    </w:p>
    <w:p w14:paraId="14F4CA28">
      <w:pPr>
        <w:jc w:val="left"/>
      </w:pPr>
      <w:r>
        <w:rPr>
          <w:rFonts w:ascii="宋体" w:hAnsi="宋体" w:eastAsia="宋体" w:cs="宋体"/>
          <w:b w:val="0"/>
        </w:rPr>
        <w:t xml:space="preserve">    本基金本报告期内未实施利润分配。</w:t>
      </w:r>
    </w:p>
    <w:p w14:paraId="66A9AFA4"/>
    <w:p w14:paraId="3C2763AD">
      <w:pPr>
        <w:pStyle w:val="3"/>
        <w:jc w:val="left"/>
      </w:pPr>
      <w:bookmarkStart w:id="22" w:name="_Toc1670"/>
      <w:r>
        <w:rPr>
          <w:rFonts w:ascii="宋体" w:hAnsi="宋体" w:eastAsia="宋体" w:cs="宋体"/>
        </w:rPr>
        <w:t>4.8 报告期内管理人对本基金持有人数或基金资产净值预警情形的说明</w:t>
      </w:r>
      <w:bookmarkEnd w:id="22"/>
    </w:p>
    <w:p w14:paraId="4EF1ED33">
      <w:pPr>
        <w:jc w:val="left"/>
      </w:pPr>
      <w:r>
        <w:rPr>
          <w:rFonts w:ascii="宋体" w:hAnsi="宋体" w:eastAsia="宋体" w:cs="宋体"/>
          <w:b w:val="0"/>
        </w:rPr>
        <w:t xml:space="preserve">    无。</w:t>
      </w:r>
    </w:p>
    <w:p w14:paraId="567F169B">
      <w:pPr>
        <w:pStyle w:val="2"/>
        <w:jc w:val="center"/>
      </w:pPr>
      <w:bookmarkStart w:id="23" w:name="_Toc6463"/>
      <w:r>
        <w:rPr>
          <w:rFonts w:ascii="宋体" w:hAnsi="宋体" w:eastAsia="宋体" w:cs="宋体"/>
        </w:rPr>
        <w:t>§5 托管人报告</w:t>
      </w:r>
      <w:bookmarkEnd w:id="23"/>
    </w:p>
    <w:p w14:paraId="1C64A1BB">
      <w:pPr>
        <w:pStyle w:val="3"/>
        <w:jc w:val="left"/>
      </w:pPr>
      <w:bookmarkStart w:id="24" w:name="_Toc4565"/>
      <w:r>
        <w:rPr>
          <w:rFonts w:ascii="宋体" w:hAnsi="宋体" w:eastAsia="宋体" w:cs="宋体"/>
        </w:rPr>
        <w:t>5.1 报告期内本基金托管人遵规守信情况声明</w:t>
      </w:r>
      <w:bookmarkEnd w:id="24"/>
    </w:p>
    <w:p w14:paraId="4E7F8B4E">
      <w:pPr>
        <w:jc w:val="left"/>
      </w:pPr>
      <w:r>
        <w:rPr>
          <w:rFonts w:ascii="宋体" w:hAnsi="宋体" w:eastAsia="宋体" w:cs="宋体"/>
          <w:b w:val="0"/>
        </w:rPr>
        <w:t xml:space="preserve">    作为本基金的托管人，中信银行严格遵守了《中华人民共和国证券投资基金法》及其他有关法律法规、基金合同和托管协议的规定，对东方阿尔法科技优选混合型发起式证券投资基金2025年上半年的投资运作，进行了认真、独立的会计核算和必要的投资监督，履行了托管人的义务，不存在任何损害基金份额持有人利益的行为。</w:t>
      </w:r>
    </w:p>
    <w:p w14:paraId="2A6A605F"/>
    <w:p w14:paraId="272B7BAE">
      <w:pPr>
        <w:pStyle w:val="3"/>
        <w:jc w:val="left"/>
      </w:pPr>
      <w:bookmarkStart w:id="25" w:name="_Toc27652"/>
      <w:r>
        <w:rPr>
          <w:rFonts w:ascii="宋体" w:hAnsi="宋体" w:eastAsia="宋体" w:cs="宋体"/>
        </w:rPr>
        <w:t>5.2 托管人对报告期内本基金投资运作遵规守信、净值计算、利润分配等情况的说明</w:t>
      </w:r>
      <w:bookmarkEnd w:id="25"/>
    </w:p>
    <w:p w14:paraId="13FF0960">
      <w:pPr>
        <w:jc w:val="left"/>
      </w:pPr>
      <w:r>
        <w:rPr>
          <w:rFonts w:ascii="宋体" w:hAnsi="宋体" w:eastAsia="宋体" w:cs="宋体"/>
          <w:b w:val="0"/>
        </w:rPr>
        <w:t xml:space="preserve">    本托管人认为，东方阿尔法基金管理有限公司在东方阿尔法科技优选混合型发起式证券投资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14:paraId="739E0EE4"/>
    <w:p w14:paraId="2857B2BA">
      <w:pPr>
        <w:pStyle w:val="3"/>
        <w:jc w:val="left"/>
      </w:pPr>
      <w:bookmarkStart w:id="26" w:name="_Toc20244"/>
      <w:r>
        <w:rPr>
          <w:rFonts w:ascii="宋体" w:hAnsi="宋体" w:eastAsia="宋体" w:cs="宋体"/>
        </w:rPr>
        <w:t>5.3 托管人对本中期报告中财务信息等内容的真实、准确和完整发表意见</w:t>
      </w:r>
      <w:bookmarkEnd w:id="26"/>
    </w:p>
    <w:p w14:paraId="4BAB2662">
      <w:pPr>
        <w:jc w:val="left"/>
      </w:pPr>
      <w:r>
        <w:rPr>
          <w:rFonts w:ascii="宋体" w:hAnsi="宋体" w:eastAsia="宋体" w:cs="宋体"/>
          <w:b w:val="0"/>
        </w:rPr>
        <w:t xml:space="preserve">    本托管人认为，东方阿尔法基金管理有限公司的信息披露事务符合《公开募集证券投资基金信息披露管理办法》及其他相关法律法规的规定，基金管理人所编制和披露的2025年中期报告中的财务指标、净值表现、收益分配情况、财务会计报告、投资组合报告等信息真实、准确、完整，未发现有损害基金持有人利益的行为。</w:t>
      </w:r>
    </w:p>
    <w:p w14:paraId="46C463B9">
      <w:pPr>
        <w:pStyle w:val="2"/>
        <w:jc w:val="center"/>
      </w:pPr>
      <w:bookmarkStart w:id="27" w:name="_Toc22715"/>
      <w:r>
        <w:rPr>
          <w:rFonts w:ascii="宋体" w:hAnsi="宋体" w:eastAsia="宋体" w:cs="宋体"/>
        </w:rPr>
        <w:t>§6 半年度财务会计报告(未经审计)</w:t>
      </w:r>
      <w:bookmarkEnd w:id="27"/>
    </w:p>
    <w:p w14:paraId="66B512A1">
      <w:pPr>
        <w:pStyle w:val="3"/>
        <w:jc w:val="left"/>
      </w:pPr>
      <w:bookmarkStart w:id="28" w:name="_Toc19508"/>
      <w:r>
        <w:rPr>
          <w:rFonts w:ascii="宋体" w:hAnsi="宋体" w:eastAsia="宋体" w:cs="宋体"/>
        </w:rPr>
        <w:t>6.1 资产负债表</w:t>
      </w:r>
      <w:bookmarkEnd w:id="28"/>
    </w:p>
    <w:p w14:paraId="09021373">
      <w:pPr>
        <w:jc w:val="left"/>
      </w:pPr>
      <w:r>
        <w:rPr>
          <w:rFonts w:ascii="宋体" w:hAnsi="宋体" w:eastAsia="宋体" w:cs="宋体"/>
          <w:b w:val="0"/>
        </w:rPr>
        <w:t>会计主体：东方阿尔法科技优选混合型发起式证券投资基金</w:t>
      </w:r>
    </w:p>
    <w:p w14:paraId="302550B0">
      <w:pPr>
        <w:jc w:val="left"/>
      </w:pPr>
      <w:r>
        <w:rPr>
          <w:rFonts w:ascii="宋体" w:hAnsi="宋体" w:eastAsia="宋体" w:cs="宋体"/>
          <w:b w:val="0"/>
        </w:rPr>
        <w:t>报告截止日：2025年06月30日</w:t>
      </w:r>
    </w:p>
    <w:p w14:paraId="48585F4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51E95939">
        <w:tblPrEx>
          <w:tblCellMar>
            <w:top w:w="0" w:type="dxa"/>
            <w:left w:w="108" w:type="dxa"/>
            <w:bottom w:w="0" w:type="dxa"/>
            <w:right w:w="108" w:type="dxa"/>
          </w:tblCellMar>
        </w:tblPrEx>
        <w:tc>
          <w:tcPr>
            <w:tcW w:w="2308" w:type="pct"/>
            <w:shd w:val="clear" w:color="auto" w:fill="D9D9D9"/>
          </w:tcPr>
          <w:p w14:paraId="79772F3C">
            <w:pPr>
              <w:spacing w:line="240" w:lineRule="auto"/>
              <w:jc w:val="center"/>
            </w:pPr>
            <w:r>
              <w:rPr>
                <w:rFonts w:ascii="宋体" w:hAnsi="宋体" w:eastAsia="宋体" w:cs="宋体"/>
                <w:b/>
              </w:rPr>
              <w:t xml:space="preserve">资 产 </w:t>
            </w:r>
          </w:p>
        </w:tc>
        <w:tc>
          <w:tcPr>
            <w:tcW w:w="769" w:type="pct"/>
            <w:shd w:val="clear" w:color="auto" w:fill="D9D9D9"/>
          </w:tcPr>
          <w:p w14:paraId="0B8CB72F">
            <w:pPr>
              <w:spacing w:line="240" w:lineRule="auto"/>
              <w:jc w:val="center"/>
            </w:pPr>
            <w:r>
              <w:rPr>
                <w:rFonts w:ascii="宋体" w:hAnsi="宋体" w:eastAsia="宋体" w:cs="宋体"/>
                <w:b/>
              </w:rPr>
              <w:t>附注号</w:t>
            </w:r>
          </w:p>
        </w:tc>
        <w:tc>
          <w:tcPr>
            <w:tcW w:w="1538" w:type="pct"/>
            <w:shd w:val="clear" w:color="auto" w:fill="D9D9D9"/>
          </w:tcPr>
          <w:p w14:paraId="557F8B87">
            <w:pPr>
              <w:spacing w:line="240" w:lineRule="auto"/>
              <w:jc w:val="center"/>
            </w:pPr>
            <w:r>
              <w:rPr>
                <w:rFonts w:ascii="宋体" w:hAnsi="宋体" w:eastAsia="宋体" w:cs="宋体"/>
                <w:b/>
              </w:rPr>
              <w:t>本期末2025年06月30日</w:t>
            </w:r>
          </w:p>
        </w:tc>
      </w:tr>
      <w:tr w14:paraId="280A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89A7C4">
            <w:pPr>
              <w:spacing w:line="240" w:lineRule="auto"/>
              <w:jc w:val="left"/>
            </w:pPr>
            <w:r>
              <w:rPr>
                <w:rFonts w:ascii="宋体" w:hAnsi="宋体" w:eastAsia="宋体" w:cs="宋体"/>
                <w:b/>
              </w:rPr>
              <w:t>资 产：</w:t>
            </w:r>
          </w:p>
        </w:tc>
        <w:tc>
          <w:tcPr>
            <w:tcW w:w="0" w:type="dxa"/>
          </w:tcPr>
          <w:p w14:paraId="51385248">
            <w:pPr>
              <w:spacing w:line="240" w:lineRule="auto"/>
              <w:jc w:val="center"/>
            </w:pPr>
          </w:p>
        </w:tc>
        <w:tc>
          <w:tcPr>
            <w:tcW w:w="0" w:type="dxa"/>
          </w:tcPr>
          <w:p w14:paraId="635DCC47">
            <w:pPr>
              <w:spacing w:line="240" w:lineRule="auto"/>
              <w:jc w:val="center"/>
            </w:pPr>
          </w:p>
        </w:tc>
      </w:tr>
      <w:tr w14:paraId="6AD7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21EF9E">
            <w:pPr>
              <w:spacing w:line="240" w:lineRule="auto"/>
              <w:jc w:val="left"/>
            </w:pPr>
            <w:r>
              <w:rPr>
                <w:rFonts w:ascii="宋体" w:hAnsi="宋体" w:eastAsia="宋体" w:cs="宋体"/>
                <w:b w:val="0"/>
              </w:rPr>
              <w:t>货币资金</w:t>
            </w:r>
          </w:p>
        </w:tc>
        <w:tc>
          <w:tcPr>
            <w:tcW w:w="0" w:type="dxa"/>
          </w:tcPr>
          <w:p w14:paraId="2499B970">
            <w:pPr>
              <w:spacing w:line="240" w:lineRule="auto"/>
              <w:jc w:val="center"/>
            </w:pPr>
            <w:r>
              <w:rPr>
                <w:rFonts w:ascii="宋体" w:hAnsi="宋体" w:eastAsia="宋体" w:cs="宋体"/>
                <w:b w:val="0"/>
              </w:rPr>
              <w:t>6.4.7.1</w:t>
            </w:r>
          </w:p>
        </w:tc>
        <w:tc>
          <w:tcPr>
            <w:tcW w:w="0" w:type="dxa"/>
          </w:tcPr>
          <w:p w14:paraId="6011E049">
            <w:pPr>
              <w:spacing w:line="240" w:lineRule="auto"/>
              <w:jc w:val="right"/>
            </w:pPr>
            <w:r>
              <w:rPr>
                <w:rFonts w:ascii="宋体" w:hAnsi="宋体" w:eastAsia="宋体" w:cs="宋体"/>
                <w:b w:val="0"/>
              </w:rPr>
              <w:t>329,314.21</w:t>
            </w:r>
          </w:p>
        </w:tc>
      </w:tr>
      <w:tr w14:paraId="771F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DF2D85">
            <w:pPr>
              <w:spacing w:line="240" w:lineRule="auto"/>
              <w:jc w:val="left"/>
            </w:pPr>
            <w:r>
              <w:rPr>
                <w:rFonts w:ascii="宋体" w:hAnsi="宋体" w:eastAsia="宋体" w:cs="宋体"/>
                <w:b w:val="0"/>
              </w:rPr>
              <w:t>结算备付金</w:t>
            </w:r>
          </w:p>
        </w:tc>
        <w:tc>
          <w:tcPr>
            <w:tcW w:w="0" w:type="dxa"/>
          </w:tcPr>
          <w:p w14:paraId="44A411DE">
            <w:pPr>
              <w:spacing w:line="240" w:lineRule="auto"/>
              <w:jc w:val="center"/>
            </w:pPr>
          </w:p>
        </w:tc>
        <w:tc>
          <w:tcPr>
            <w:tcW w:w="0" w:type="dxa"/>
          </w:tcPr>
          <w:p w14:paraId="204A0CB2">
            <w:pPr>
              <w:spacing w:line="240" w:lineRule="auto"/>
              <w:jc w:val="right"/>
            </w:pPr>
            <w:r>
              <w:rPr>
                <w:rFonts w:ascii="宋体" w:hAnsi="宋体" w:eastAsia="宋体" w:cs="宋体"/>
                <w:b w:val="0"/>
              </w:rPr>
              <w:t>-</w:t>
            </w:r>
          </w:p>
        </w:tc>
      </w:tr>
      <w:tr w14:paraId="491C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500974">
            <w:pPr>
              <w:spacing w:line="240" w:lineRule="auto"/>
              <w:jc w:val="left"/>
            </w:pPr>
            <w:r>
              <w:rPr>
                <w:rFonts w:ascii="宋体" w:hAnsi="宋体" w:eastAsia="宋体" w:cs="宋体"/>
                <w:b w:val="0"/>
              </w:rPr>
              <w:t>存出保证金</w:t>
            </w:r>
          </w:p>
        </w:tc>
        <w:tc>
          <w:tcPr>
            <w:tcW w:w="0" w:type="dxa"/>
          </w:tcPr>
          <w:p w14:paraId="0994B692">
            <w:pPr>
              <w:spacing w:line="240" w:lineRule="auto"/>
              <w:jc w:val="center"/>
            </w:pPr>
          </w:p>
        </w:tc>
        <w:tc>
          <w:tcPr>
            <w:tcW w:w="0" w:type="dxa"/>
          </w:tcPr>
          <w:p w14:paraId="15BD6D94">
            <w:pPr>
              <w:spacing w:line="240" w:lineRule="auto"/>
              <w:jc w:val="right"/>
            </w:pPr>
            <w:r>
              <w:rPr>
                <w:rFonts w:ascii="宋体" w:hAnsi="宋体" w:eastAsia="宋体" w:cs="宋体"/>
                <w:b w:val="0"/>
              </w:rPr>
              <w:t>-</w:t>
            </w:r>
          </w:p>
        </w:tc>
      </w:tr>
      <w:tr w14:paraId="72B8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E5A253">
            <w:pPr>
              <w:spacing w:line="240" w:lineRule="auto"/>
              <w:jc w:val="left"/>
            </w:pPr>
            <w:r>
              <w:rPr>
                <w:rFonts w:ascii="宋体" w:hAnsi="宋体" w:eastAsia="宋体" w:cs="宋体"/>
                <w:b w:val="0"/>
              </w:rPr>
              <w:t>交易性金融资产</w:t>
            </w:r>
          </w:p>
        </w:tc>
        <w:tc>
          <w:tcPr>
            <w:tcW w:w="0" w:type="dxa"/>
          </w:tcPr>
          <w:p w14:paraId="39A61DC0">
            <w:pPr>
              <w:spacing w:line="240" w:lineRule="auto"/>
              <w:jc w:val="center"/>
            </w:pPr>
            <w:r>
              <w:rPr>
                <w:rFonts w:ascii="宋体" w:hAnsi="宋体" w:eastAsia="宋体" w:cs="宋体"/>
                <w:b w:val="0"/>
              </w:rPr>
              <w:t>6.4.7.2</w:t>
            </w:r>
          </w:p>
        </w:tc>
        <w:tc>
          <w:tcPr>
            <w:tcW w:w="0" w:type="dxa"/>
          </w:tcPr>
          <w:p w14:paraId="2ECC75FD">
            <w:pPr>
              <w:spacing w:line="240" w:lineRule="auto"/>
              <w:jc w:val="right"/>
            </w:pPr>
            <w:r>
              <w:rPr>
                <w:rFonts w:ascii="宋体" w:hAnsi="宋体" w:eastAsia="宋体" w:cs="宋体"/>
                <w:b w:val="0"/>
              </w:rPr>
              <w:t>11,527,416.02</w:t>
            </w:r>
          </w:p>
        </w:tc>
      </w:tr>
      <w:tr w14:paraId="7D1E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8B37C5">
            <w:pPr>
              <w:spacing w:line="240" w:lineRule="auto"/>
              <w:jc w:val="left"/>
            </w:pPr>
            <w:r>
              <w:rPr>
                <w:rFonts w:ascii="宋体" w:hAnsi="宋体" w:eastAsia="宋体" w:cs="宋体"/>
                <w:b w:val="0"/>
              </w:rPr>
              <w:t>其中：股票投资</w:t>
            </w:r>
          </w:p>
        </w:tc>
        <w:tc>
          <w:tcPr>
            <w:tcW w:w="0" w:type="dxa"/>
          </w:tcPr>
          <w:p w14:paraId="64197A6B">
            <w:pPr>
              <w:spacing w:line="240" w:lineRule="auto"/>
              <w:jc w:val="center"/>
            </w:pPr>
          </w:p>
        </w:tc>
        <w:tc>
          <w:tcPr>
            <w:tcW w:w="0" w:type="dxa"/>
          </w:tcPr>
          <w:p w14:paraId="22B90EC6">
            <w:pPr>
              <w:spacing w:line="240" w:lineRule="auto"/>
              <w:jc w:val="right"/>
            </w:pPr>
            <w:r>
              <w:rPr>
                <w:rFonts w:ascii="宋体" w:hAnsi="宋体" w:eastAsia="宋体" w:cs="宋体"/>
                <w:b w:val="0"/>
              </w:rPr>
              <w:t>10,924,771.58</w:t>
            </w:r>
          </w:p>
        </w:tc>
      </w:tr>
      <w:tr w14:paraId="4694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088CBF">
            <w:pPr>
              <w:spacing w:line="240" w:lineRule="auto"/>
              <w:jc w:val="left"/>
            </w:pPr>
            <w:r>
              <w:rPr>
                <w:rFonts w:ascii="宋体" w:hAnsi="宋体" w:eastAsia="宋体" w:cs="宋体"/>
                <w:b w:val="0"/>
              </w:rPr>
              <w:t xml:space="preserve">      基金投资</w:t>
            </w:r>
          </w:p>
        </w:tc>
        <w:tc>
          <w:tcPr>
            <w:tcW w:w="0" w:type="dxa"/>
          </w:tcPr>
          <w:p w14:paraId="2C6C1089">
            <w:pPr>
              <w:spacing w:line="240" w:lineRule="auto"/>
              <w:jc w:val="center"/>
            </w:pPr>
          </w:p>
        </w:tc>
        <w:tc>
          <w:tcPr>
            <w:tcW w:w="0" w:type="dxa"/>
          </w:tcPr>
          <w:p w14:paraId="6853C901">
            <w:pPr>
              <w:spacing w:line="240" w:lineRule="auto"/>
              <w:jc w:val="right"/>
            </w:pPr>
            <w:r>
              <w:rPr>
                <w:rFonts w:ascii="宋体" w:hAnsi="宋体" w:eastAsia="宋体" w:cs="宋体"/>
                <w:b w:val="0"/>
              </w:rPr>
              <w:t>-</w:t>
            </w:r>
          </w:p>
        </w:tc>
      </w:tr>
      <w:tr w14:paraId="0AA7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CA2A7A">
            <w:pPr>
              <w:spacing w:line="240" w:lineRule="auto"/>
              <w:jc w:val="left"/>
            </w:pPr>
            <w:r>
              <w:rPr>
                <w:rFonts w:ascii="宋体" w:hAnsi="宋体" w:eastAsia="宋体" w:cs="宋体"/>
                <w:b w:val="0"/>
              </w:rPr>
              <w:t xml:space="preserve">      债券投资</w:t>
            </w:r>
          </w:p>
        </w:tc>
        <w:tc>
          <w:tcPr>
            <w:tcW w:w="0" w:type="dxa"/>
          </w:tcPr>
          <w:p w14:paraId="01BD00E8">
            <w:pPr>
              <w:spacing w:line="240" w:lineRule="auto"/>
              <w:jc w:val="center"/>
            </w:pPr>
          </w:p>
        </w:tc>
        <w:tc>
          <w:tcPr>
            <w:tcW w:w="0" w:type="dxa"/>
          </w:tcPr>
          <w:p w14:paraId="62EAB036">
            <w:pPr>
              <w:spacing w:line="240" w:lineRule="auto"/>
              <w:jc w:val="right"/>
            </w:pPr>
            <w:r>
              <w:rPr>
                <w:rFonts w:ascii="宋体" w:hAnsi="宋体" w:eastAsia="宋体" w:cs="宋体"/>
                <w:b w:val="0"/>
              </w:rPr>
              <w:t>602,644.44</w:t>
            </w:r>
          </w:p>
        </w:tc>
      </w:tr>
      <w:tr w14:paraId="7773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90E1E6">
            <w:pPr>
              <w:spacing w:line="240" w:lineRule="auto"/>
              <w:jc w:val="left"/>
            </w:pPr>
            <w:r>
              <w:rPr>
                <w:rFonts w:ascii="宋体" w:hAnsi="宋体" w:eastAsia="宋体" w:cs="宋体"/>
                <w:b w:val="0"/>
              </w:rPr>
              <w:t xml:space="preserve">      资产支持证券投资</w:t>
            </w:r>
          </w:p>
        </w:tc>
        <w:tc>
          <w:tcPr>
            <w:tcW w:w="0" w:type="dxa"/>
          </w:tcPr>
          <w:p w14:paraId="564C4A85">
            <w:pPr>
              <w:spacing w:line="240" w:lineRule="auto"/>
              <w:jc w:val="center"/>
            </w:pPr>
          </w:p>
        </w:tc>
        <w:tc>
          <w:tcPr>
            <w:tcW w:w="0" w:type="dxa"/>
          </w:tcPr>
          <w:p w14:paraId="4FAB65BA">
            <w:pPr>
              <w:spacing w:line="240" w:lineRule="auto"/>
              <w:jc w:val="right"/>
            </w:pPr>
            <w:r>
              <w:rPr>
                <w:rFonts w:ascii="宋体" w:hAnsi="宋体" w:eastAsia="宋体" w:cs="宋体"/>
                <w:b w:val="0"/>
              </w:rPr>
              <w:t>-</w:t>
            </w:r>
          </w:p>
        </w:tc>
      </w:tr>
      <w:tr w14:paraId="75CA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2B109F">
            <w:pPr>
              <w:spacing w:line="240" w:lineRule="auto"/>
              <w:jc w:val="left"/>
            </w:pPr>
            <w:r>
              <w:rPr>
                <w:rFonts w:ascii="宋体" w:hAnsi="宋体" w:eastAsia="宋体" w:cs="宋体"/>
                <w:b w:val="0"/>
              </w:rPr>
              <w:t xml:space="preserve">      贵金属投资</w:t>
            </w:r>
          </w:p>
        </w:tc>
        <w:tc>
          <w:tcPr>
            <w:tcW w:w="0" w:type="dxa"/>
          </w:tcPr>
          <w:p w14:paraId="3D470408">
            <w:pPr>
              <w:spacing w:line="240" w:lineRule="auto"/>
              <w:jc w:val="center"/>
            </w:pPr>
          </w:p>
        </w:tc>
        <w:tc>
          <w:tcPr>
            <w:tcW w:w="0" w:type="dxa"/>
          </w:tcPr>
          <w:p w14:paraId="7C4F7E91">
            <w:pPr>
              <w:spacing w:line="240" w:lineRule="auto"/>
              <w:jc w:val="right"/>
            </w:pPr>
            <w:r>
              <w:rPr>
                <w:rFonts w:ascii="宋体" w:hAnsi="宋体" w:eastAsia="宋体" w:cs="宋体"/>
                <w:b w:val="0"/>
              </w:rPr>
              <w:t>-</w:t>
            </w:r>
          </w:p>
        </w:tc>
      </w:tr>
      <w:tr w14:paraId="1EF3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29338C">
            <w:pPr>
              <w:spacing w:line="240" w:lineRule="auto"/>
              <w:jc w:val="left"/>
            </w:pPr>
            <w:r>
              <w:rPr>
                <w:rFonts w:ascii="宋体" w:hAnsi="宋体" w:eastAsia="宋体" w:cs="宋体"/>
                <w:b w:val="0"/>
              </w:rPr>
              <w:t xml:space="preserve">      其他投资</w:t>
            </w:r>
          </w:p>
        </w:tc>
        <w:tc>
          <w:tcPr>
            <w:tcW w:w="0" w:type="dxa"/>
          </w:tcPr>
          <w:p w14:paraId="1DD1840F">
            <w:pPr>
              <w:spacing w:line="240" w:lineRule="auto"/>
              <w:jc w:val="center"/>
            </w:pPr>
          </w:p>
        </w:tc>
        <w:tc>
          <w:tcPr>
            <w:tcW w:w="0" w:type="dxa"/>
          </w:tcPr>
          <w:p w14:paraId="16055D05">
            <w:pPr>
              <w:spacing w:line="240" w:lineRule="auto"/>
              <w:jc w:val="right"/>
            </w:pPr>
            <w:r>
              <w:rPr>
                <w:rFonts w:ascii="宋体" w:hAnsi="宋体" w:eastAsia="宋体" w:cs="宋体"/>
                <w:b w:val="0"/>
              </w:rPr>
              <w:t>-</w:t>
            </w:r>
          </w:p>
        </w:tc>
      </w:tr>
      <w:tr w14:paraId="5754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FD08E5">
            <w:pPr>
              <w:spacing w:line="240" w:lineRule="auto"/>
              <w:jc w:val="left"/>
            </w:pPr>
            <w:r>
              <w:rPr>
                <w:rFonts w:ascii="宋体" w:hAnsi="宋体" w:eastAsia="宋体" w:cs="宋体"/>
                <w:b w:val="0"/>
              </w:rPr>
              <w:t>衍生金融资产</w:t>
            </w:r>
          </w:p>
        </w:tc>
        <w:tc>
          <w:tcPr>
            <w:tcW w:w="0" w:type="dxa"/>
          </w:tcPr>
          <w:p w14:paraId="3AAD3ACA">
            <w:pPr>
              <w:spacing w:line="240" w:lineRule="auto"/>
              <w:jc w:val="center"/>
            </w:pPr>
            <w:r>
              <w:rPr>
                <w:rFonts w:ascii="宋体" w:hAnsi="宋体" w:eastAsia="宋体" w:cs="宋体"/>
                <w:b w:val="0"/>
              </w:rPr>
              <w:t>6.4.7.3</w:t>
            </w:r>
          </w:p>
        </w:tc>
        <w:tc>
          <w:tcPr>
            <w:tcW w:w="0" w:type="dxa"/>
          </w:tcPr>
          <w:p w14:paraId="0B9D699C">
            <w:pPr>
              <w:spacing w:line="240" w:lineRule="auto"/>
              <w:jc w:val="right"/>
            </w:pPr>
            <w:r>
              <w:rPr>
                <w:rFonts w:ascii="宋体" w:hAnsi="宋体" w:eastAsia="宋体" w:cs="宋体"/>
                <w:b w:val="0"/>
              </w:rPr>
              <w:t>-</w:t>
            </w:r>
          </w:p>
        </w:tc>
      </w:tr>
      <w:tr w14:paraId="5F9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506C4F">
            <w:pPr>
              <w:spacing w:line="240" w:lineRule="auto"/>
              <w:jc w:val="left"/>
            </w:pPr>
            <w:r>
              <w:rPr>
                <w:rFonts w:ascii="宋体" w:hAnsi="宋体" w:eastAsia="宋体" w:cs="宋体"/>
                <w:b w:val="0"/>
              </w:rPr>
              <w:t>买入返售金融资产</w:t>
            </w:r>
          </w:p>
        </w:tc>
        <w:tc>
          <w:tcPr>
            <w:tcW w:w="0" w:type="dxa"/>
          </w:tcPr>
          <w:p w14:paraId="354B1F8C">
            <w:pPr>
              <w:spacing w:line="240" w:lineRule="auto"/>
              <w:jc w:val="center"/>
            </w:pPr>
            <w:r>
              <w:rPr>
                <w:rFonts w:ascii="宋体" w:hAnsi="宋体" w:eastAsia="宋体" w:cs="宋体"/>
                <w:b w:val="0"/>
              </w:rPr>
              <w:t>6.4.7.4</w:t>
            </w:r>
          </w:p>
        </w:tc>
        <w:tc>
          <w:tcPr>
            <w:tcW w:w="0" w:type="dxa"/>
          </w:tcPr>
          <w:p w14:paraId="7B9AC41C">
            <w:pPr>
              <w:spacing w:line="240" w:lineRule="auto"/>
              <w:jc w:val="right"/>
            </w:pPr>
            <w:r>
              <w:rPr>
                <w:rFonts w:ascii="宋体" w:hAnsi="宋体" w:eastAsia="宋体" w:cs="宋体"/>
                <w:b w:val="0"/>
              </w:rPr>
              <w:t>-</w:t>
            </w:r>
          </w:p>
        </w:tc>
      </w:tr>
      <w:tr w14:paraId="6562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7AB679">
            <w:pPr>
              <w:spacing w:line="240" w:lineRule="auto"/>
              <w:jc w:val="left"/>
            </w:pPr>
            <w:r>
              <w:rPr>
                <w:rFonts w:ascii="宋体" w:hAnsi="宋体" w:eastAsia="宋体" w:cs="宋体"/>
                <w:b w:val="0"/>
              </w:rPr>
              <w:t>应收清算款</w:t>
            </w:r>
          </w:p>
        </w:tc>
        <w:tc>
          <w:tcPr>
            <w:tcW w:w="0" w:type="dxa"/>
          </w:tcPr>
          <w:p w14:paraId="17A48B1F">
            <w:pPr>
              <w:spacing w:line="240" w:lineRule="auto"/>
              <w:jc w:val="center"/>
            </w:pPr>
          </w:p>
        </w:tc>
        <w:tc>
          <w:tcPr>
            <w:tcW w:w="0" w:type="dxa"/>
          </w:tcPr>
          <w:p w14:paraId="0A396452">
            <w:pPr>
              <w:spacing w:line="240" w:lineRule="auto"/>
              <w:jc w:val="right"/>
            </w:pPr>
            <w:r>
              <w:rPr>
                <w:rFonts w:ascii="宋体" w:hAnsi="宋体" w:eastAsia="宋体" w:cs="宋体"/>
                <w:b w:val="0"/>
              </w:rPr>
              <w:t>-</w:t>
            </w:r>
          </w:p>
        </w:tc>
      </w:tr>
      <w:tr w14:paraId="1A02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117F21">
            <w:pPr>
              <w:spacing w:line="240" w:lineRule="auto"/>
              <w:jc w:val="left"/>
            </w:pPr>
            <w:r>
              <w:rPr>
                <w:rFonts w:ascii="宋体" w:hAnsi="宋体" w:eastAsia="宋体" w:cs="宋体"/>
                <w:b w:val="0"/>
              </w:rPr>
              <w:t>应收股利</w:t>
            </w:r>
          </w:p>
        </w:tc>
        <w:tc>
          <w:tcPr>
            <w:tcW w:w="0" w:type="dxa"/>
          </w:tcPr>
          <w:p w14:paraId="55839265">
            <w:pPr>
              <w:spacing w:line="240" w:lineRule="auto"/>
              <w:jc w:val="center"/>
            </w:pPr>
          </w:p>
        </w:tc>
        <w:tc>
          <w:tcPr>
            <w:tcW w:w="0" w:type="dxa"/>
          </w:tcPr>
          <w:p w14:paraId="657A3DD4">
            <w:pPr>
              <w:spacing w:line="240" w:lineRule="auto"/>
              <w:jc w:val="right"/>
            </w:pPr>
            <w:r>
              <w:rPr>
                <w:rFonts w:ascii="宋体" w:hAnsi="宋体" w:eastAsia="宋体" w:cs="宋体"/>
                <w:b w:val="0"/>
              </w:rPr>
              <w:t>-</w:t>
            </w:r>
          </w:p>
        </w:tc>
      </w:tr>
      <w:tr w14:paraId="6958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7F3908">
            <w:pPr>
              <w:spacing w:line="240" w:lineRule="auto"/>
              <w:jc w:val="left"/>
            </w:pPr>
            <w:r>
              <w:rPr>
                <w:rFonts w:ascii="宋体" w:hAnsi="宋体" w:eastAsia="宋体" w:cs="宋体"/>
                <w:b w:val="0"/>
              </w:rPr>
              <w:t>应收申购款</w:t>
            </w:r>
          </w:p>
        </w:tc>
        <w:tc>
          <w:tcPr>
            <w:tcW w:w="0" w:type="dxa"/>
          </w:tcPr>
          <w:p w14:paraId="374D95BE">
            <w:pPr>
              <w:spacing w:line="240" w:lineRule="auto"/>
              <w:jc w:val="center"/>
            </w:pPr>
          </w:p>
        </w:tc>
        <w:tc>
          <w:tcPr>
            <w:tcW w:w="0" w:type="dxa"/>
          </w:tcPr>
          <w:p w14:paraId="187F3D7F">
            <w:pPr>
              <w:spacing w:line="240" w:lineRule="auto"/>
              <w:jc w:val="right"/>
            </w:pPr>
            <w:r>
              <w:rPr>
                <w:rFonts w:ascii="宋体" w:hAnsi="宋体" w:eastAsia="宋体" w:cs="宋体"/>
                <w:b w:val="0"/>
              </w:rPr>
              <w:t>2,295.41</w:t>
            </w:r>
          </w:p>
        </w:tc>
      </w:tr>
      <w:tr w14:paraId="317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68398F">
            <w:pPr>
              <w:spacing w:line="240" w:lineRule="auto"/>
              <w:jc w:val="left"/>
            </w:pPr>
            <w:r>
              <w:rPr>
                <w:rFonts w:ascii="宋体" w:hAnsi="宋体" w:eastAsia="宋体" w:cs="宋体"/>
                <w:b w:val="0"/>
              </w:rPr>
              <w:t>递延所得税资产</w:t>
            </w:r>
          </w:p>
        </w:tc>
        <w:tc>
          <w:tcPr>
            <w:tcW w:w="0" w:type="dxa"/>
          </w:tcPr>
          <w:p w14:paraId="2DEB1675">
            <w:pPr>
              <w:spacing w:line="240" w:lineRule="auto"/>
              <w:jc w:val="center"/>
            </w:pPr>
          </w:p>
        </w:tc>
        <w:tc>
          <w:tcPr>
            <w:tcW w:w="0" w:type="dxa"/>
          </w:tcPr>
          <w:p w14:paraId="775C9F4B">
            <w:pPr>
              <w:spacing w:line="240" w:lineRule="auto"/>
              <w:jc w:val="right"/>
            </w:pPr>
            <w:r>
              <w:rPr>
                <w:rFonts w:ascii="宋体" w:hAnsi="宋体" w:eastAsia="宋体" w:cs="宋体"/>
                <w:b w:val="0"/>
              </w:rPr>
              <w:t>-</w:t>
            </w:r>
          </w:p>
        </w:tc>
      </w:tr>
      <w:tr w14:paraId="7AE8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539E6F">
            <w:pPr>
              <w:spacing w:line="240" w:lineRule="auto"/>
              <w:jc w:val="left"/>
            </w:pPr>
            <w:r>
              <w:rPr>
                <w:rFonts w:ascii="宋体" w:hAnsi="宋体" w:eastAsia="宋体" w:cs="宋体"/>
                <w:b w:val="0"/>
              </w:rPr>
              <w:t>其他资产</w:t>
            </w:r>
          </w:p>
        </w:tc>
        <w:tc>
          <w:tcPr>
            <w:tcW w:w="0" w:type="dxa"/>
          </w:tcPr>
          <w:p w14:paraId="11543153">
            <w:pPr>
              <w:spacing w:line="240" w:lineRule="auto"/>
              <w:jc w:val="center"/>
            </w:pPr>
            <w:r>
              <w:rPr>
                <w:rFonts w:ascii="宋体" w:hAnsi="宋体" w:eastAsia="宋体" w:cs="宋体"/>
                <w:b w:val="0"/>
              </w:rPr>
              <w:t>6.4.7.5</w:t>
            </w:r>
          </w:p>
        </w:tc>
        <w:tc>
          <w:tcPr>
            <w:tcW w:w="0" w:type="dxa"/>
          </w:tcPr>
          <w:p w14:paraId="5759B721">
            <w:pPr>
              <w:spacing w:line="240" w:lineRule="auto"/>
              <w:jc w:val="right"/>
            </w:pPr>
            <w:r>
              <w:rPr>
                <w:rFonts w:ascii="宋体" w:hAnsi="宋体" w:eastAsia="宋体" w:cs="宋体"/>
                <w:b w:val="0"/>
              </w:rPr>
              <w:t>-</w:t>
            </w:r>
          </w:p>
        </w:tc>
      </w:tr>
      <w:tr w14:paraId="6420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9F7C4A">
            <w:pPr>
              <w:spacing w:line="240" w:lineRule="auto"/>
              <w:jc w:val="left"/>
            </w:pPr>
            <w:r>
              <w:rPr>
                <w:rFonts w:ascii="宋体" w:hAnsi="宋体" w:eastAsia="宋体" w:cs="宋体"/>
                <w:b w:val="0"/>
              </w:rPr>
              <w:t>资产总计</w:t>
            </w:r>
          </w:p>
        </w:tc>
        <w:tc>
          <w:tcPr>
            <w:tcW w:w="0" w:type="dxa"/>
          </w:tcPr>
          <w:p w14:paraId="6C20C77C">
            <w:pPr>
              <w:spacing w:line="240" w:lineRule="auto"/>
              <w:jc w:val="center"/>
            </w:pPr>
          </w:p>
        </w:tc>
        <w:tc>
          <w:tcPr>
            <w:tcW w:w="0" w:type="dxa"/>
          </w:tcPr>
          <w:p w14:paraId="00D8BAF4">
            <w:pPr>
              <w:spacing w:line="240" w:lineRule="auto"/>
              <w:jc w:val="right"/>
            </w:pPr>
            <w:r>
              <w:rPr>
                <w:rFonts w:ascii="宋体" w:hAnsi="宋体" w:eastAsia="宋体" w:cs="宋体"/>
                <w:b w:val="0"/>
              </w:rPr>
              <w:t>11,859,025.64</w:t>
            </w:r>
          </w:p>
        </w:tc>
      </w:tr>
      <w:tr w14:paraId="5B7C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201C433D">
            <w:pPr>
              <w:spacing w:line="240" w:lineRule="auto"/>
              <w:jc w:val="center"/>
            </w:pPr>
            <w:r>
              <w:rPr>
                <w:rFonts w:ascii="宋体" w:hAnsi="宋体" w:eastAsia="宋体" w:cs="宋体"/>
                <w:b/>
              </w:rPr>
              <w:t>负债和净资产</w:t>
            </w:r>
          </w:p>
        </w:tc>
        <w:tc>
          <w:tcPr>
            <w:tcW w:w="0" w:type="dxa"/>
            <w:shd w:val="clear" w:color="auto" w:fill="D9D9D9"/>
          </w:tcPr>
          <w:p w14:paraId="391F5BA2">
            <w:pPr>
              <w:spacing w:line="240" w:lineRule="auto"/>
              <w:jc w:val="center"/>
            </w:pPr>
            <w:r>
              <w:rPr>
                <w:rFonts w:ascii="宋体" w:hAnsi="宋体" w:eastAsia="宋体" w:cs="宋体"/>
                <w:b/>
              </w:rPr>
              <w:t>附注号</w:t>
            </w:r>
          </w:p>
        </w:tc>
        <w:tc>
          <w:tcPr>
            <w:tcW w:w="0" w:type="dxa"/>
            <w:shd w:val="clear" w:color="auto" w:fill="D9D9D9"/>
          </w:tcPr>
          <w:p w14:paraId="4D1B0311">
            <w:pPr>
              <w:spacing w:line="240" w:lineRule="auto"/>
              <w:jc w:val="center"/>
            </w:pPr>
            <w:r>
              <w:rPr>
                <w:rFonts w:ascii="宋体" w:hAnsi="宋体" w:eastAsia="宋体" w:cs="宋体"/>
                <w:b/>
              </w:rPr>
              <w:t>本期末2025年06月30日</w:t>
            </w:r>
          </w:p>
        </w:tc>
      </w:tr>
      <w:tr w14:paraId="6E68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E66273">
            <w:pPr>
              <w:spacing w:line="240" w:lineRule="auto"/>
              <w:jc w:val="left"/>
            </w:pPr>
            <w:r>
              <w:rPr>
                <w:rFonts w:ascii="宋体" w:hAnsi="宋体" w:eastAsia="宋体" w:cs="宋体"/>
                <w:b/>
              </w:rPr>
              <w:t>负 债：</w:t>
            </w:r>
          </w:p>
        </w:tc>
        <w:tc>
          <w:tcPr>
            <w:tcW w:w="0" w:type="dxa"/>
          </w:tcPr>
          <w:p w14:paraId="217DE8D2">
            <w:pPr>
              <w:spacing w:line="240" w:lineRule="auto"/>
              <w:jc w:val="center"/>
            </w:pPr>
          </w:p>
        </w:tc>
        <w:tc>
          <w:tcPr>
            <w:tcW w:w="0" w:type="dxa"/>
          </w:tcPr>
          <w:p w14:paraId="4547DF49">
            <w:pPr>
              <w:spacing w:line="240" w:lineRule="auto"/>
              <w:jc w:val="center"/>
            </w:pPr>
          </w:p>
        </w:tc>
      </w:tr>
      <w:tr w14:paraId="7F82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AEB469">
            <w:pPr>
              <w:spacing w:line="240" w:lineRule="auto"/>
              <w:jc w:val="left"/>
            </w:pPr>
            <w:r>
              <w:rPr>
                <w:rFonts w:ascii="宋体" w:hAnsi="宋体" w:eastAsia="宋体" w:cs="宋体"/>
                <w:b w:val="0"/>
              </w:rPr>
              <w:t>短期借款</w:t>
            </w:r>
          </w:p>
        </w:tc>
        <w:tc>
          <w:tcPr>
            <w:tcW w:w="0" w:type="dxa"/>
          </w:tcPr>
          <w:p w14:paraId="10484D24">
            <w:pPr>
              <w:spacing w:line="240" w:lineRule="auto"/>
              <w:jc w:val="center"/>
            </w:pPr>
          </w:p>
        </w:tc>
        <w:tc>
          <w:tcPr>
            <w:tcW w:w="0" w:type="dxa"/>
          </w:tcPr>
          <w:p w14:paraId="041D5F0F">
            <w:pPr>
              <w:spacing w:line="240" w:lineRule="auto"/>
              <w:jc w:val="right"/>
            </w:pPr>
            <w:r>
              <w:rPr>
                <w:rFonts w:ascii="宋体" w:hAnsi="宋体" w:eastAsia="宋体" w:cs="宋体"/>
                <w:b w:val="0"/>
              </w:rPr>
              <w:t>-</w:t>
            </w:r>
          </w:p>
        </w:tc>
      </w:tr>
      <w:tr w14:paraId="3F41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912589">
            <w:pPr>
              <w:spacing w:line="240" w:lineRule="auto"/>
              <w:jc w:val="left"/>
            </w:pPr>
            <w:r>
              <w:rPr>
                <w:rFonts w:ascii="宋体" w:hAnsi="宋体" w:eastAsia="宋体" w:cs="宋体"/>
                <w:b w:val="0"/>
              </w:rPr>
              <w:t>交易性金融负债</w:t>
            </w:r>
          </w:p>
        </w:tc>
        <w:tc>
          <w:tcPr>
            <w:tcW w:w="0" w:type="dxa"/>
          </w:tcPr>
          <w:p w14:paraId="131F4CE1">
            <w:pPr>
              <w:spacing w:line="240" w:lineRule="auto"/>
              <w:jc w:val="center"/>
            </w:pPr>
          </w:p>
        </w:tc>
        <w:tc>
          <w:tcPr>
            <w:tcW w:w="0" w:type="dxa"/>
          </w:tcPr>
          <w:p w14:paraId="1CC86F56">
            <w:pPr>
              <w:spacing w:line="240" w:lineRule="auto"/>
              <w:jc w:val="right"/>
            </w:pPr>
            <w:r>
              <w:rPr>
                <w:rFonts w:ascii="宋体" w:hAnsi="宋体" w:eastAsia="宋体" w:cs="宋体"/>
                <w:b w:val="0"/>
              </w:rPr>
              <w:t>-</w:t>
            </w:r>
          </w:p>
        </w:tc>
      </w:tr>
      <w:tr w14:paraId="077D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80FBD2">
            <w:pPr>
              <w:spacing w:line="240" w:lineRule="auto"/>
              <w:jc w:val="left"/>
            </w:pPr>
            <w:r>
              <w:rPr>
                <w:rFonts w:ascii="宋体" w:hAnsi="宋体" w:eastAsia="宋体" w:cs="宋体"/>
                <w:b w:val="0"/>
              </w:rPr>
              <w:t>衍生金融负债</w:t>
            </w:r>
          </w:p>
        </w:tc>
        <w:tc>
          <w:tcPr>
            <w:tcW w:w="0" w:type="dxa"/>
          </w:tcPr>
          <w:p w14:paraId="7EF386FA">
            <w:pPr>
              <w:spacing w:line="240" w:lineRule="auto"/>
              <w:jc w:val="center"/>
            </w:pPr>
            <w:r>
              <w:rPr>
                <w:rFonts w:ascii="宋体" w:hAnsi="宋体" w:eastAsia="宋体" w:cs="宋体"/>
                <w:b w:val="0"/>
              </w:rPr>
              <w:t>6.4.7.3</w:t>
            </w:r>
          </w:p>
        </w:tc>
        <w:tc>
          <w:tcPr>
            <w:tcW w:w="0" w:type="dxa"/>
          </w:tcPr>
          <w:p w14:paraId="6F9C6A5C">
            <w:pPr>
              <w:spacing w:line="240" w:lineRule="auto"/>
              <w:jc w:val="right"/>
            </w:pPr>
            <w:r>
              <w:rPr>
                <w:rFonts w:ascii="宋体" w:hAnsi="宋体" w:eastAsia="宋体" w:cs="宋体"/>
                <w:b w:val="0"/>
              </w:rPr>
              <w:t>-</w:t>
            </w:r>
          </w:p>
        </w:tc>
      </w:tr>
      <w:tr w14:paraId="2731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96CEF7">
            <w:pPr>
              <w:spacing w:line="240" w:lineRule="auto"/>
              <w:jc w:val="left"/>
            </w:pPr>
            <w:r>
              <w:rPr>
                <w:rFonts w:ascii="宋体" w:hAnsi="宋体" w:eastAsia="宋体" w:cs="宋体"/>
                <w:b w:val="0"/>
              </w:rPr>
              <w:t>卖出回购金融资产款</w:t>
            </w:r>
          </w:p>
        </w:tc>
        <w:tc>
          <w:tcPr>
            <w:tcW w:w="0" w:type="dxa"/>
          </w:tcPr>
          <w:p w14:paraId="21D19254">
            <w:pPr>
              <w:spacing w:line="240" w:lineRule="auto"/>
              <w:jc w:val="center"/>
            </w:pPr>
          </w:p>
        </w:tc>
        <w:tc>
          <w:tcPr>
            <w:tcW w:w="0" w:type="dxa"/>
          </w:tcPr>
          <w:p w14:paraId="5AAE9632">
            <w:pPr>
              <w:spacing w:line="240" w:lineRule="auto"/>
              <w:jc w:val="right"/>
            </w:pPr>
            <w:r>
              <w:rPr>
                <w:rFonts w:ascii="宋体" w:hAnsi="宋体" w:eastAsia="宋体" w:cs="宋体"/>
                <w:b w:val="0"/>
              </w:rPr>
              <w:t>-</w:t>
            </w:r>
          </w:p>
        </w:tc>
      </w:tr>
      <w:tr w14:paraId="07CC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A4D4A8">
            <w:pPr>
              <w:spacing w:line="240" w:lineRule="auto"/>
              <w:jc w:val="left"/>
            </w:pPr>
            <w:r>
              <w:rPr>
                <w:rFonts w:ascii="宋体" w:hAnsi="宋体" w:eastAsia="宋体" w:cs="宋体"/>
                <w:b w:val="0"/>
              </w:rPr>
              <w:t>应付清算款</w:t>
            </w:r>
          </w:p>
        </w:tc>
        <w:tc>
          <w:tcPr>
            <w:tcW w:w="0" w:type="dxa"/>
          </w:tcPr>
          <w:p w14:paraId="678C749A">
            <w:pPr>
              <w:spacing w:line="240" w:lineRule="auto"/>
              <w:jc w:val="center"/>
            </w:pPr>
          </w:p>
        </w:tc>
        <w:tc>
          <w:tcPr>
            <w:tcW w:w="0" w:type="dxa"/>
          </w:tcPr>
          <w:p w14:paraId="4AFCBD57">
            <w:pPr>
              <w:spacing w:line="240" w:lineRule="auto"/>
              <w:jc w:val="right"/>
            </w:pPr>
            <w:r>
              <w:rPr>
                <w:rFonts w:ascii="宋体" w:hAnsi="宋体" w:eastAsia="宋体" w:cs="宋体"/>
                <w:b w:val="0"/>
              </w:rPr>
              <w:t>-</w:t>
            </w:r>
          </w:p>
        </w:tc>
      </w:tr>
      <w:tr w14:paraId="55CE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AAAA50">
            <w:pPr>
              <w:spacing w:line="240" w:lineRule="auto"/>
              <w:jc w:val="left"/>
            </w:pPr>
            <w:r>
              <w:rPr>
                <w:rFonts w:ascii="宋体" w:hAnsi="宋体" w:eastAsia="宋体" w:cs="宋体"/>
                <w:b w:val="0"/>
              </w:rPr>
              <w:t>应付赎回款</w:t>
            </w:r>
          </w:p>
        </w:tc>
        <w:tc>
          <w:tcPr>
            <w:tcW w:w="0" w:type="dxa"/>
          </w:tcPr>
          <w:p w14:paraId="7E8D20BF">
            <w:pPr>
              <w:spacing w:line="240" w:lineRule="auto"/>
              <w:jc w:val="center"/>
            </w:pPr>
          </w:p>
        </w:tc>
        <w:tc>
          <w:tcPr>
            <w:tcW w:w="0" w:type="dxa"/>
          </w:tcPr>
          <w:p w14:paraId="47294A84">
            <w:pPr>
              <w:spacing w:line="240" w:lineRule="auto"/>
              <w:jc w:val="right"/>
            </w:pPr>
            <w:r>
              <w:rPr>
                <w:rFonts w:ascii="宋体" w:hAnsi="宋体" w:eastAsia="宋体" w:cs="宋体"/>
                <w:b w:val="0"/>
              </w:rPr>
              <w:t>15.64</w:t>
            </w:r>
          </w:p>
        </w:tc>
      </w:tr>
      <w:tr w14:paraId="73C8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609566">
            <w:pPr>
              <w:spacing w:line="240" w:lineRule="auto"/>
              <w:jc w:val="left"/>
            </w:pPr>
            <w:r>
              <w:rPr>
                <w:rFonts w:ascii="宋体" w:hAnsi="宋体" w:eastAsia="宋体" w:cs="宋体"/>
                <w:b w:val="0"/>
              </w:rPr>
              <w:t>应付管理人报酬</w:t>
            </w:r>
          </w:p>
        </w:tc>
        <w:tc>
          <w:tcPr>
            <w:tcW w:w="0" w:type="dxa"/>
          </w:tcPr>
          <w:p w14:paraId="11FD2101">
            <w:pPr>
              <w:spacing w:line="240" w:lineRule="auto"/>
              <w:jc w:val="center"/>
            </w:pPr>
          </w:p>
        </w:tc>
        <w:tc>
          <w:tcPr>
            <w:tcW w:w="0" w:type="dxa"/>
          </w:tcPr>
          <w:p w14:paraId="79939981">
            <w:pPr>
              <w:spacing w:line="240" w:lineRule="auto"/>
              <w:jc w:val="right"/>
            </w:pPr>
            <w:r>
              <w:rPr>
                <w:rFonts w:ascii="宋体" w:hAnsi="宋体" w:eastAsia="宋体" w:cs="宋体"/>
                <w:b w:val="0"/>
              </w:rPr>
              <w:t>9,173.94</w:t>
            </w:r>
          </w:p>
        </w:tc>
      </w:tr>
      <w:tr w14:paraId="6BEC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F7AF98">
            <w:pPr>
              <w:spacing w:line="240" w:lineRule="auto"/>
              <w:jc w:val="left"/>
            </w:pPr>
            <w:r>
              <w:rPr>
                <w:rFonts w:ascii="宋体" w:hAnsi="宋体" w:eastAsia="宋体" w:cs="宋体"/>
                <w:b w:val="0"/>
              </w:rPr>
              <w:t>应付托管费</w:t>
            </w:r>
          </w:p>
        </w:tc>
        <w:tc>
          <w:tcPr>
            <w:tcW w:w="0" w:type="dxa"/>
          </w:tcPr>
          <w:p w14:paraId="0D330F0A">
            <w:pPr>
              <w:spacing w:line="240" w:lineRule="auto"/>
              <w:jc w:val="center"/>
            </w:pPr>
          </w:p>
        </w:tc>
        <w:tc>
          <w:tcPr>
            <w:tcW w:w="0" w:type="dxa"/>
          </w:tcPr>
          <w:p w14:paraId="16847F46">
            <w:pPr>
              <w:spacing w:line="240" w:lineRule="auto"/>
              <w:jc w:val="right"/>
            </w:pPr>
            <w:r>
              <w:rPr>
                <w:rFonts w:ascii="宋体" w:hAnsi="宋体" w:eastAsia="宋体" w:cs="宋体"/>
                <w:b w:val="0"/>
              </w:rPr>
              <w:t>1,528.98</w:t>
            </w:r>
          </w:p>
        </w:tc>
      </w:tr>
      <w:tr w14:paraId="16C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A197C7">
            <w:pPr>
              <w:spacing w:line="240" w:lineRule="auto"/>
              <w:jc w:val="left"/>
            </w:pPr>
            <w:r>
              <w:rPr>
                <w:rFonts w:ascii="宋体" w:hAnsi="宋体" w:eastAsia="宋体" w:cs="宋体"/>
                <w:b w:val="0"/>
              </w:rPr>
              <w:t>应付销售服务费</w:t>
            </w:r>
          </w:p>
        </w:tc>
        <w:tc>
          <w:tcPr>
            <w:tcW w:w="0" w:type="dxa"/>
          </w:tcPr>
          <w:p w14:paraId="02431B62">
            <w:pPr>
              <w:spacing w:line="240" w:lineRule="auto"/>
              <w:jc w:val="center"/>
            </w:pPr>
          </w:p>
        </w:tc>
        <w:tc>
          <w:tcPr>
            <w:tcW w:w="0" w:type="dxa"/>
          </w:tcPr>
          <w:p w14:paraId="1F28E25E">
            <w:pPr>
              <w:spacing w:line="240" w:lineRule="auto"/>
              <w:jc w:val="right"/>
            </w:pPr>
            <w:r>
              <w:rPr>
                <w:rFonts w:ascii="宋体" w:hAnsi="宋体" w:eastAsia="宋体" w:cs="宋体"/>
                <w:b w:val="0"/>
              </w:rPr>
              <w:t>4.03</w:t>
            </w:r>
          </w:p>
        </w:tc>
      </w:tr>
      <w:tr w14:paraId="029D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2DF437">
            <w:pPr>
              <w:spacing w:line="240" w:lineRule="auto"/>
              <w:jc w:val="left"/>
            </w:pPr>
            <w:r>
              <w:rPr>
                <w:rFonts w:ascii="宋体" w:hAnsi="宋体" w:eastAsia="宋体" w:cs="宋体"/>
                <w:b w:val="0"/>
              </w:rPr>
              <w:t>应付投资顾问费</w:t>
            </w:r>
          </w:p>
        </w:tc>
        <w:tc>
          <w:tcPr>
            <w:tcW w:w="0" w:type="dxa"/>
          </w:tcPr>
          <w:p w14:paraId="0DC33E72">
            <w:pPr>
              <w:spacing w:line="240" w:lineRule="auto"/>
              <w:jc w:val="center"/>
            </w:pPr>
          </w:p>
        </w:tc>
        <w:tc>
          <w:tcPr>
            <w:tcW w:w="0" w:type="dxa"/>
          </w:tcPr>
          <w:p w14:paraId="5D9CECDB">
            <w:pPr>
              <w:spacing w:line="240" w:lineRule="auto"/>
              <w:jc w:val="right"/>
            </w:pPr>
            <w:r>
              <w:rPr>
                <w:rFonts w:ascii="宋体" w:hAnsi="宋体" w:eastAsia="宋体" w:cs="宋体"/>
                <w:b w:val="0"/>
              </w:rPr>
              <w:t>-</w:t>
            </w:r>
          </w:p>
        </w:tc>
      </w:tr>
      <w:tr w14:paraId="229B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79713C">
            <w:pPr>
              <w:spacing w:line="240" w:lineRule="auto"/>
              <w:jc w:val="left"/>
            </w:pPr>
            <w:r>
              <w:rPr>
                <w:rFonts w:ascii="宋体" w:hAnsi="宋体" w:eastAsia="宋体" w:cs="宋体"/>
                <w:b w:val="0"/>
              </w:rPr>
              <w:t>应交税费</w:t>
            </w:r>
          </w:p>
        </w:tc>
        <w:tc>
          <w:tcPr>
            <w:tcW w:w="0" w:type="dxa"/>
          </w:tcPr>
          <w:p w14:paraId="01B94FB9">
            <w:pPr>
              <w:spacing w:line="240" w:lineRule="auto"/>
              <w:jc w:val="center"/>
            </w:pPr>
          </w:p>
        </w:tc>
        <w:tc>
          <w:tcPr>
            <w:tcW w:w="0" w:type="dxa"/>
          </w:tcPr>
          <w:p w14:paraId="6A2A7F2B">
            <w:pPr>
              <w:spacing w:line="240" w:lineRule="auto"/>
              <w:jc w:val="right"/>
            </w:pPr>
            <w:r>
              <w:rPr>
                <w:rFonts w:ascii="宋体" w:hAnsi="宋体" w:eastAsia="宋体" w:cs="宋体"/>
                <w:b w:val="0"/>
              </w:rPr>
              <w:t>-</w:t>
            </w:r>
          </w:p>
        </w:tc>
      </w:tr>
      <w:tr w14:paraId="5FF5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160D39">
            <w:pPr>
              <w:spacing w:line="240" w:lineRule="auto"/>
              <w:jc w:val="left"/>
            </w:pPr>
            <w:r>
              <w:rPr>
                <w:rFonts w:ascii="宋体" w:hAnsi="宋体" w:eastAsia="宋体" w:cs="宋体"/>
                <w:b w:val="0"/>
              </w:rPr>
              <w:t>应付利润</w:t>
            </w:r>
          </w:p>
        </w:tc>
        <w:tc>
          <w:tcPr>
            <w:tcW w:w="0" w:type="dxa"/>
          </w:tcPr>
          <w:p w14:paraId="48B7F764">
            <w:pPr>
              <w:spacing w:line="240" w:lineRule="auto"/>
              <w:jc w:val="center"/>
            </w:pPr>
          </w:p>
        </w:tc>
        <w:tc>
          <w:tcPr>
            <w:tcW w:w="0" w:type="dxa"/>
          </w:tcPr>
          <w:p w14:paraId="7D8D28CD">
            <w:pPr>
              <w:spacing w:line="240" w:lineRule="auto"/>
              <w:jc w:val="right"/>
            </w:pPr>
            <w:r>
              <w:rPr>
                <w:rFonts w:ascii="宋体" w:hAnsi="宋体" w:eastAsia="宋体" w:cs="宋体"/>
                <w:b w:val="0"/>
              </w:rPr>
              <w:t>-</w:t>
            </w:r>
          </w:p>
        </w:tc>
      </w:tr>
      <w:tr w14:paraId="3B5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7D4C16">
            <w:pPr>
              <w:spacing w:line="240" w:lineRule="auto"/>
              <w:jc w:val="left"/>
            </w:pPr>
            <w:r>
              <w:rPr>
                <w:rFonts w:ascii="宋体" w:hAnsi="宋体" w:eastAsia="宋体" w:cs="宋体"/>
                <w:b w:val="0"/>
              </w:rPr>
              <w:t>递延所得税负债</w:t>
            </w:r>
          </w:p>
        </w:tc>
        <w:tc>
          <w:tcPr>
            <w:tcW w:w="0" w:type="dxa"/>
          </w:tcPr>
          <w:p w14:paraId="54078B1A">
            <w:pPr>
              <w:spacing w:line="240" w:lineRule="auto"/>
              <w:jc w:val="center"/>
            </w:pPr>
          </w:p>
        </w:tc>
        <w:tc>
          <w:tcPr>
            <w:tcW w:w="0" w:type="dxa"/>
          </w:tcPr>
          <w:p w14:paraId="6D9A66A6">
            <w:pPr>
              <w:spacing w:line="240" w:lineRule="auto"/>
              <w:jc w:val="right"/>
            </w:pPr>
            <w:r>
              <w:rPr>
                <w:rFonts w:ascii="宋体" w:hAnsi="宋体" w:eastAsia="宋体" w:cs="宋体"/>
                <w:b w:val="0"/>
              </w:rPr>
              <w:t>-</w:t>
            </w:r>
          </w:p>
        </w:tc>
      </w:tr>
      <w:tr w14:paraId="2E4F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ECBB75">
            <w:pPr>
              <w:spacing w:line="240" w:lineRule="auto"/>
              <w:jc w:val="left"/>
            </w:pPr>
            <w:r>
              <w:rPr>
                <w:rFonts w:ascii="宋体" w:hAnsi="宋体" w:eastAsia="宋体" w:cs="宋体"/>
                <w:b w:val="0"/>
              </w:rPr>
              <w:t>其他负债</w:t>
            </w:r>
          </w:p>
        </w:tc>
        <w:tc>
          <w:tcPr>
            <w:tcW w:w="0" w:type="dxa"/>
          </w:tcPr>
          <w:p w14:paraId="11681990">
            <w:pPr>
              <w:spacing w:line="240" w:lineRule="auto"/>
              <w:jc w:val="center"/>
            </w:pPr>
            <w:r>
              <w:rPr>
                <w:rFonts w:ascii="宋体" w:hAnsi="宋体" w:eastAsia="宋体" w:cs="宋体"/>
                <w:b w:val="0"/>
              </w:rPr>
              <w:t>6.4.7.6</w:t>
            </w:r>
          </w:p>
        </w:tc>
        <w:tc>
          <w:tcPr>
            <w:tcW w:w="0" w:type="dxa"/>
          </w:tcPr>
          <w:p w14:paraId="5FC2992C">
            <w:pPr>
              <w:spacing w:line="240" w:lineRule="auto"/>
              <w:jc w:val="right"/>
            </w:pPr>
            <w:r>
              <w:rPr>
                <w:rFonts w:ascii="宋体" w:hAnsi="宋体" w:eastAsia="宋体" w:cs="宋体"/>
                <w:b w:val="0"/>
              </w:rPr>
              <w:t>7,177.00</w:t>
            </w:r>
          </w:p>
        </w:tc>
      </w:tr>
      <w:tr w14:paraId="58FC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C16D72">
            <w:pPr>
              <w:spacing w:line="240" w:lineRule="auto"/>
              <w:jc w:val="left"/>
            </w:pPr>
            <w:r>
              <w:rPr>
                <w:rFonts w:ascii="宋体" w:hAnsi="宋体" w:eastAsia="宋体" w:cs="宋体"/>
                <w:b w:val="0"/>
              </w:rPr>
              <w:t>负债合计</w:t>
            </w:r>
          </w:p>
        </w:tc>
        <w:tc>
          <w:tcPr>
            <w:tcW w:w="0" w:type="dxa"/>
          </w:tcPr>
          <w:p w14:paraId="3329A1CF">
            <w:pPr>
              <w:spacing w:line="240" w:lineRule="auto"/>
              <w:jc w:val="center"/>
            </w:pPr>
          </w:p>
        </w:tc>
        <w:tc>
          <w:tcPr>
            <w:tcW w:w="0" w:type="dxa"/>
          </w:tcPr>
          <w:p w14:paraId="404B8F3F">
            <w:pPr>
              <w:spacing w:line="240" w:lineRule="auto"/>
              <w:jc w:val="right"/>
            </w:pPr>
            <w:r>
              <w:rPr>
                <w:rFonts w:ascii="宋体" w:hAnsi="宋体" w:eastAsia="宋体" w:cs="宋体"/>
                <w:b w:val="0"/>
              </w:rPr>
              <w:t>17,899.59</w:t>
            </w:r>
          </w:p>
        </w:tc>
      </w:tr>
      <w:tr w14:paraId="1F84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2BCC39">
            <w:pPr>
              <w:spacing w:line="240" w:lineRule="auto"/>
              <w:jc w:val="left"/>
            </w:pPr>
            <w:r>
              <w:rPr>
                <w:rFonts w:ascii="宋体" w:hAnsi="宋体" w:eastAsia="宋体" w:cs="宋体"/>
                <w:b/>
              </w:rPr>
              <w:t>净资产：</w:t>
            </w:r>
          </w:p>
        </w:tc>
        <w:tc>
          <w:tcPr>
            <w:tcW w:w="0" w:type="dxa"/>
          </w:tcPr>
          <w:p w14:paraId="7E6E6A20">
            <w:pPr>
              <w:spacing w:line="240" w:lineRule="auto"/>
              <w:jc w:val="center"/>
            </w:pPr>
          </w:p>
        </w:tc>
        <w:tc>
          <w:tcPr>
            <w:tcW w:w="0" w:type="dxa"/>
          </w:tcPr>
          <w:p w14:paraId="5F71B675">
            <w:pPr>
              <w:spacing w:line="240" w:lineRule="auto"/>
              <w:jc w:val="center"/>
            </w:pPr>
          </w:p>
        </w:tc>
      </w:tr>
      <w:tr w14:paraId="65BC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168DE9">
            <w:pPr>
              <w:spacing w:line="240" w:lineRule="auto"/>
              <w:jc w:val="left"/>
            </w:pPr>
            <w:r>
              <w:rPr>
                <w:rFonts w:ascii="宋体" w:hAnsi="宋体" w:eastAsia="宋体" w:cs="宋体"/>
                <w:b w:val="0"/>
              </w:rPr>
              <w:t>实收基金</w:t>
            </w:r>
          </w:p>
        </w:tc>
        <w:tc>
          <w:tcPr>
            <w:tcW w:w="0" w:type="dxa"/>
          </w:tcPr>
          <w:p w14:paraId="5FEC3F1C">
            <w:pPr>
              <w:spacing w:line="240" w:lineRule="auto"/>
              <w:jc w:val="center"/>
            </w:pPr>
            <w:r>
              <w:rPr>
                <w:rFonts w:ascii="宋体" w:hAnsi="宋体" w:eastAsia="宋体" w:cs="宋体"/>
                <w:b w:val="0"/>
              </w:rPr>
              <w:t>6.4.7.7</w:t>
            </w:r>
          </w:p>
        </w:tc>
        <w:tc>
          <w:tcPr>
            <w:tcW w:w="0" w:type="dxa"/>
          </w:tcPr>
          <w:p w14:paraId="4708C139">
            <w:pPr>
              <w:spacing w:line="240" w:lineRule="auto"/>
              <w:jc w:val="right"/>
            </w:pPr>
            <w:r>
              <w:rPr>
                <w:rFonts w:ascii="宋体" w:hAnsi="宋体" w:eastAsia="宋体" w:cs="宋体"/>
                <w:b w:val="0"/>
              </w:rPr>
              <w:t>11,925,107.03</w:t>
            </w:r>
          </w:p>
        </w:tc>
      </w:tr>
      <w:tr w14:paraId="06E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D51BB8">
            <w:pPr>
              <w:spacing w:line="240" w:lineRule="auto"/>
              <w:jc w:val="left"/>
            </w:pPr>
            <w:r>
              <w:rPr>
                <w:rFonts w:ascii="宋体" w:hAnsi="宋体" w:eastAsia="宋体" w:cs="宋体"/>
                <w:b w:val="0"/>
              </w:rPr>
              <w:t>未分配利润</w:t>
            </w:r>
          </w:p>
        </w:tc>
        <w:tc>
          <w:tcPr>
            <w:tcW w:w="0" w:type="dxa"/>
          </w:tcPr>
          <w:p w14:paraId="4CB1F8EB">
            <w:pPr>
              <w:spacing w:line="240" w:lineRule="auto"/>
              <w:jc w:val="center"/>
            </w:pPr>
            <w:r>
              <w:rPr>
                <w:rFonts w:ascii="宋体" w:hAnsi="宋体" w:eastAsia="宋体" w:cs="宋体"/>
                <w:b w:val="0"/>
              </w:rPr>
              <w:t>6.4.7.8</w:t>
            </w:r>
          </w:p>
        </w:tc>
        <w:tc>
          <w:tcPr>
            <w:tcW w:w="0" w:type="dxa"/>
          </w:tcPr>
          <w:p w14:paraId="0A371A50">
            <w:pPr>
              <w:spacing w:line="240" w:lineRule="auto"/>
              <w:jc w:val="right"/>
            </w:pPr>
            <w:r>
              <w:rPr>
                <w:rFonts w:ascii="宋体" w:hAnsi="宋体" w:eastAsia="宋体" w:cs="宋体"/>
                <w:b w:val="0"/>
              </w:rPr>
              <w:t>-83,980.98</w:t>
            </w:r>
          </w:p>
        </w:tc>
      </w:tr>
      <w:tr w14:paraId="4DE9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42A9EF">
            <w:pPr>
              <w:spacing w:line="240" w:lineRule="auto"/>
              <w:jc w:val="left"/>
            </w:pPr>
            <w:r>
              <w:rPr>
                <w:rFonts w:ascii="宋体" w:hAnsi="宋体" w:eastAsia="宋体" w:cs="宋体"/>
                <w:b w:val="0"/>
              </w:rPr>
              <w:t>净资产合计</w:t>
            </w:r>
          </w:p>
        </w:tc>
        <w:tc>
          <w:tcPr>
            <w:tcW w:w="0" w:type="dxa"/>
          </w:tcPr>
          <w:p w14:paraId="1D64D502">
            <w:pPr>
              <w:spacing w:line="240" w:lineRule="auto"/>
              <w:jc w:val="center"/>
            </w:pPr>
          </w:p>
        </w:tc>
        <w:tc>
          <w:tcPr>
            <w:tcW w:w="0" w:type="dxa"/>
          </w:tcPr>
          <w:p w14:paraId="60688E40">
            <w:pPr>
              <w:spacing w:line="240" w:lineRule="auto"/>
              <w:jc w:val="right"/>
            </w:pPr>
            <w:r>
              <w:rPr>
                <w:rFonts w:ascii="宋体" w:hAnsi="宋体" w:eastAsia="宋体" w:cs="宋体"/>
                <w:b w:val="0"/>
              </w:rPr>
              <w:t>11,841,126.05</w:t>
            </w:r>
          </w:p>
        </w:tc>
      </w:tr>
      <w:tr w14:paraId="54C2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544CB3">
            <w:pPr>
              <w:spacing w:line="240" w:lineRule="auto"/>
              <w:jc w:val="left"/>
            </w:pPr>
            <w:r>
              <w:rPr>
                <w:rFonts w:ascii="宋体" w:hAnsi="宋体" w:eastAsia="宋体" w:cs="宋体"/>
                <w:b w:val="0"/>
              </w:rPr>
              <w:t>负债和净资产总计</w:t>
            </w:r>
          </w:p>
        </w:tc>
        <w:tc>
          <w:tcPr>
            <w:tcW w:w="0" w:type="dxa"/>
          </w:tcPr>
          <w:p w14:paraId="33D0AB26">
            <w:pPr>
              <w:spacing w:line="240" w:lineRule="auto"/>
              <w:jc w:val="center"/>
            </w:pPr>
          </w:p>
        </w:tc>
        <w:tc>
          <w:tcPr>
            <w:tcW w:w="0" w:type="dxa"/>
          </w:tcPr>
          <w:p w14:paraId="5072A2E5">
            <w:pPr>
              <w:spacing w:line="240" w:lineRule="auto"/>
              <w:jc w:val="right"/>
            </w:pPr>
            <w:r>
              <w:rPr>
                <w:rFonts w:ascii="宋体" w:hAnsi="宋体" w:eastAsia="宋体" w:cs="宋体"/>
                <w:b w:val="0"/>
              </w:rPr>
              <w:t>11,859,025.64</w:t>
            </w:r>
          </w:p>
        </w:tc>
      </w:tr>
    </w:tbl>
    <w:p w14:paraId="10320E4F">
      <w:r>
        <w:rPr>
          <w:rFonts w:ascii="宋体" w:hAnsi="宋体" w:eastAsia="宋体" w:cs="宋体"/>
          <w:b w:val="0"/>
        </w:rPr>
        <w:t>注：1、报告截止日2025年06月30日，东方阿尔法科技优选混合发起A类基金份额净值0.9930元，东方阿尔法科技优选混合发起C类基金份额净值0.9927元，基金份额总额11,925,107.03份，其中东方阿尔法科技优选混合发起A类基金份额11,871,418.33份，东方阿尔法科技优选混合发起C类基金份额53,688.70份。</w:t>
      </w:r>
      <w:r>
        <w:rPr>
          <w:rFonts w:ascii="宋体" w:hAnsi="宋体" w:eastAsia="宋体" w:cs="宋体"/>
          <w:b w:val="0"/>
        </w:rPr>
        <w:cr/>
      </w:r>
      <w:r>
        <w:rPr>
          <w:rFonts w:ascii="宋体" w:hAnsi="宋体" w:eastAsia="宋体" w:cs="宋体"/>
          <w:b w:val="0"/>
        </w:rPr>
        <w:t>2、本基金合同生效日为2025年06月06日，本报告期实际报告期间为2025年06月06日至2025年06月30日。截至报告期末本基金合同生效未满半年，本报告期的财务报表及报表附注均无同期对比数据。</w:t>
      </w:r>
    </w:p>
    <w:p w14:paraId="6D94843C"/>
    <w:p w14:paraId="16CF3EF6">
      <w:pPr>
        <w:pStyle w:val="3"/>
        <w:jc w:val="left"/>
      </w:pPr>
      <w:bookmarkStart w:id="29" w:name="_Toc1449"/>
      <w:r>
        <w:rPr>
          <w:rFonts w:ascii="宋体" w:hAnsi="宋体" w:eastAsia="宋体" w:cs="宋体"/>
        </w:rPr>
        <w:t>6.2 利润表</w:t>
      </w:r>
      <w:bookmarkEnd w:id="29"/>
    </w:p>
    <w:p w14:paraId="0F29A55F">
      <w:pPr>
        <w:jc w:val="left"/>
      </w:pPr>
      <w:r>
        <w:rPr>
          <w:rFonts w:ascii="宋体" w:hAnsi="宋体" w:eastAsia="宋体" w:cs="宋体"/>
          <w:b w:val="0"/>
        </w:rPr>
        <w:t>会计主体：东方阿尔法科技优选混合型发起式证券投资基金</w:t>
      </w:r>
    </w:p>
    <w:p w14:paraId="684FC8D6">
      <w:pPr>
        <w:jc w:val="left"/>
      </w:pPr>
      <w:r>
        <w:rPr>
          <w:rFonts w:ascii="宋体" w:hAnsi="宋体" w:eastAsia="宋体" w:cs="宋体"/>
          <w:b w:val="0"/>
        </w:rPr>
        <w:t>本报告期：2025年06月06日（基金合同生效日）至2025年06月30日</w:t>
      </w:r>
    </w:p>
    <w:p w14:paraId="3D86CEC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4604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19C4A5E9">
            <w:pPr>
              <w:spacing w:line="240" w:lineRule="auto"/>
              <w:jc w:val="center"/>
            </w:pPr>
            <w:r>
              <w:rPr>
                <w:rFonts w:ascii="宋体" w:hAnsi="宋体" w:eastAsia="宋体" w:cs="宋体"/>
                <w:b/>
              </w:rPr>
              <w:t>项 目</w:t>
            </w:r>
          </w:p>
        </w:tc>
        <w:tc>
          <w:tcPr>
            <w:tcW w:w="769" w:type="pct"/>
            <w:shd w:val="clear" w:color="auto" w:fill="D9D9D9"/>
            <w:vAlign w:val="center"/>
          </w:tcPr>
          <w:p w14:paraId="0F31E7CA">
            <w:pPr>
              <w:spacing w:line="240" w:lineRule="auto"/>
              <w:jc w:val="center"/>
            </w:pPr>
            <w:r>
              <w:rPr>
                <w:rFonts w:ascii="宋体" w:hAnsi="宋体" w:eastAsia="宋体" w:cs="宋体"/>
                <w:b/>
              </w:rPr>
              <w:t>附注号</w:t>
            </w:r>
          </w:p>
        </w:tc>
        <w:tc>
          <w:tcPr>
            <w:tcW w:w="1538" w:type="pct"/>
            <w:shd w:val="clear" w:color="auto" w:fill="D9D9D9"/>
            <w:vAlign w:val="center"/>
          </w:tcPr>
          <w:p w14:paraId="4DEB3BEA">
            <w:pPr>
              <w:spacing w:line="240" w:lineRule="auto"/>
              <w:jc w:val="center"/>
            </w:pPr>
            <w:r>
              <w:rPr>
                <w:rFonts w:ascii="宋体" w:hAnsi="宋体" w:eastAsia="宋体" w:cs="宋体"/>
                <w:b/>
              </w:rPr>
              <w:t>本期2025年06月06日（基金合同生效日）至2025年06月30日</w:t>
            </w:r>
          </w:p>
        </w:tc>
      </w:tr>
      <w:tr w14:paraId="0AB6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BB0B47">
            <w:pPr>
              <w:spacing w:line="240" w:lineRule="auto"/>
              <w:jc w:val="left"/>
            </w:pPr>
            <w:r>
              <w:rPr>
                <w:rFonts w:ascii="宋体" w:hAnsi="宋体" w:eastAsia="宋体" w:cs="宋体"/>
                <w:b/>
              </w:rPr>
              <w:t>一、营业总收入</w:t>
            </w:r>
          </w:p>
        </w:tc>
        <w:tc>
          <w:tcPr>
            <w:tcW w:w="0" w:type="dxa"/>
          </w:tcPr>
          <w:p w14:paraId="6F14C1B7">
            <w:pPr>
              <w:spacing w:line="240" w:lineRule="auto"/>
              <w:jc w:val="center"/>
            </w:pPr>
          </w:p>
        </w:tc>
        <w:tc>
          <w:tcPr>
            <w:tcW w:w="0" w:type="dxa"/>
          </w:tcPr>
          <w:p w14:paraId="6866B5F1">
            <w:pPr>
              <w:spacing w:line="240" w:lineRule="auto"/>
              <w:jc w:val="right"/>
            </w:pPr>
            <w:r>
              <w:rPr>
                <w:rFonts w:ascii="宋体" w:hAnsi="宋体" w:eastAsia="宋体" w:cs="宋体"/>
                <w:b w:val="0"/>
              </w:rPr>
              <w:t>-64,162.19</w:t>
            </w:r>
          </w:p>
        </w:tc>
      </w:tr>
      <w:tr w14:paraId="7A96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31A798">
            <w:pPr>
              <w:spacing w:line="240" w:lineRule="auto"/>
              <w:jc w:val="left"/>
            </w:pPr>
            <w:r>
              <w:rPr>
                <w:rFonts w:ascii="宋体" w:hAnsi="宋体" w:eastAsia="宋体" w:cs="宋体"/>
                <w:b w:val="0"/>
              </w:rPr>
              <w:t>1.利息收入</w:t>
            </w:r>
          </w:p>
        </w:tc>
        <w:tc>
          <w:tcPr>
            <w:tcW w:w="0" w:type="dxa"/>
          </w:tcPr>
          <w:p w14:paraId="756BB1CC">
            <w:pPr>
              <w:spacing w:line="240" w:lineRule="auto"/>
              <w:jc w:val="center"/>
            </w:pPr>
          </w:p>
        </w:tc>
        <w:tc>
          <w:tcPr>
            <w:tcW w:w="0" w:type="dxa"/>
          </w:tcPr>
          <w:p w14:paraId="2C070E8C">
            <w:pPr>
              <w:spacing w:line="240" w:lineRule="auto"/>
              <w:jc w:val="right"/>
            </w:pPr>
            <w:r>
              <w:rPr>
                <w:rFonts w:ascii="宋体" w:hAnsi="宋体" w:eastAsia="宋体" w:cs="宋体"/>
                <w:b w:val="0"/>
              </w:rPr>
              <w:t>105.82</w:t>
            </w:r>
          </w:p>
        </w:tc>
      </w:tr>
      <w:tr w14:paraId="736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E70F92">
            <w:pPr>
              <w:spacing w:line="240" w:lineRule="auto"/>
              <w:jc w:val="left"/>
            </w:pPr>
            <w:r>
              <w:rPr>
                <w:rFonts w:ascii="宋体" w:hAnsi="宋体" w:eastAsia="宋体" w:cs="宋体"/>
                <w:b w:val="0"/>
              </w:rPr>
              <w:t>其中：存款利息收入</w:t>
            </w:r>
          </w:p>
        </w:tc>
        <w:tc>
          <w:tcPr>
            <w:tcW w:w="0" w:type="dxa"/>
          </w:tcPr>
          <w:p w14:paraId="2F5675EE">
            <w:pPr>
              <w:spacing w:line="240" w:lineRule="auto"/>
              <w:jc w:val="center"/>
            </w:pPr>
            <w:r>
              <w:rPr>
                <w:rFonts w:ascii="宋体" w:hAnsi="宋体" w:eastAsia="宋体" w:cs="宋体"/>
                <w:b w:val="0"/>
              </w:rPr>
              <w:t>6.4.7.9</w:t>
            </w:r>
          </w:p>
        </w:tc>
        <w:tc>
          <w:tcPr>
            <w:tcW w:w="0" w:type="dxa"/>
          </w:tcPr>
          <w:p w14:paraId="57835F7D">
            <w:pPr>
              <w:spacing w:line="240" w:lineRule="auto"/>
              <w:jc w:val="right"/>
            </w:pPr>
            <w:r>
              <w:rPr>
                <w:rFonts w:ascii="宋体" w:hAnsi="宋体" w:eastAsia="宋体" w:cs="宋体"/>
                <w:b w:val="0"/>
              </w:rPr>
              <w:t>105.82</w:t>
            </w:r>
          </w:p>
        </w:tc>
      </w:tr>
      <w:tr w14:paraId="69BB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1DE90D">
            <w:pPr>
              <w:spacing w:line="240" w:lineRule="auto"/>
              <w:jc w:val="left"/>
            </w:pPr>
            <w:r>
              <w:rPr>
                <w:rFonts w:ascii="宋体" w:hAnsi="宋体" w:eastAsia="宋体" w:cs="宋体"/>
                <w:b w:val="0"/>
              </w:rPr>
              <w:t xml:space="preserve">      债券利息收入</w:t>
            </w:r>
          </w:p>
        </w:tc>
        <w:tc>
          <w:tcPr>
            <w:tcW w:w="0" w:type="dxa"/>
          </w:tcPr>
          <w:p w14:paraId="62C633EB">
            <w:pPr>
              <w:spacing w:line="240" w:lineRule="auto"/>
              <w:jc w:val="center"/>
            </w:pPr>
          </w:p>
        </w:tc>
        <w:tc>
          <w:tcPr>
            <w:tcW w:w="0" w:type="dxa"/>
          </w:tcPr>
          <w:p w14:paraId="3EDC7F68">
            <w:pPr>
              <w:spacing w:line="240" w:lineRule="auto"/>
              <w:jc w:val="right"/>
            </w:pPr>
            <w:r>
              <w:rPr>
                <w:rFonts w:ascii="宋体" w:hAnsi="宋体" w:eastAsia="宋体" w:cs="宋体"/>
                <w:b w:val="0"/>
              </w:rPr>
              <w:t>-</w:t>
            </w:r>
          </w:p>
        </w:tc>
      </w:tr>
      <w:tr w14:paraId="757E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6C2821">
            <w:pPr>
              <w:spacing w:line="240" w:lineRule="auto"/>
              <w:jc w:val="left"/>
            </w:pPr>
            <w:r>
              <w:rPr>
                <w:rFonts w:ascii="宋体" w:hAnsi="宋体" w:eastAsia="宋体" w:cs="宋体"/>
                <w:b w:val="0"/>
              </w:rPr>
              <w:t xml:space="preserve">      资产支持证券利息收入</w:t>
            </w:r>
          </w:p>
        </w:tc>
        <w:tc>
          <w:tcPr>
            <w:tcW w:w="0" w:type="dxa"/>
          </w:tcPr>
          <w:p w14:paraId="34A82769">
            <w:pPr>
              <w:spacing w:line="240" w:lineRule="auto"/>
              <w:jc w:val="center"/>
            </w:pPr>
          </w:p>
        </w:tc>
        <w:tc>
          <w:tcPr>
            <w:tcW w:w="0" w:type="dxa"/>
          </w:tcPr>
          <w:p w14:paraId="03144835">
            <w:pPr>
              <w:spacing w:line="240" w:lineRule="auto"/>
              <w:jc w:val="right"/>
            </w:pPr>
            <w:r>
              <w:rPr>
                <w:rFonts w:ascii="宋体" w:hAnsi="宋体" w:eastAsia="宋体" w:cs="宋体"/>
                <w:b w:val="0"/>
              </w:rPr>
              <w:t>-</w:t>
            </w:r>
          </w:p>
        </w:tc>
      </w:tr>
      <w:tr w14:paraId="6179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39DA52">
            <w:pPr>
              <w:spacing w:line="240" w:lineRule="auto"/>
              <w:jc w:val="left"/>
            </w:pPr>
            <w:r>
              <w:rPr>
                <w:rFonts w:ascii="宋体" w:hAnsi="宋体" w:eastAsia="宋体" w:cs="宋体"/>
                <w:b w:val="0"/>
              </w:rPr>
              <w:t xml:space="preserve">      买入返售金融资产收入</w:t>
            </w:r>
          </w:p>
        </w:tc>
        <w:tc>
          <w:tcPr>
            <w:tcW w:w="0" w:type="dxa"/>
          </w:tcPr>
          <w:p w14:paraId="5D08B74A">
            <w:pPr>
              <w:spacing w:line="240" w:lineRule="auto"/>
              <w:jc w:val="center"/>
            </w:pPr>
          </w:p>
        </w:tc>
        <w:tc>
          <w:tcPr>
            <w:tcW w:w="0" w:type="dxa"/>
          </w:tcPr>
          <w:p w14:paraId="6D29FC4A">
            <w:pPr>
              <w:spacing w:line="240" w:lineRule="auto"/>
              <w:jc w:val="right"/>
            </w:pPr>
            <w:r>
              <w:rPr>
                <w:rFonts w:ascii="宋体" w:hAnsi="宋体" w:eastAsia="宋体" w:cs="宋体"/>
                <w:b w:val="0"/>
              </w:rPr>
              <w:t>-</w:t>
            </w:r>
          </w:p>
        </w:tc>
      </w:tr>
      <w:tr w14:paraId="5D04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A2ECBE">
            <w:pPr>
              <w:spacing w:line="240" w:lineRule="auto"/>
              <w:jc w:val="left"/>
            </w:pPr>
            <w:r>
              <w:rPr>
                <w:rFonts w:ascii="宋体" w:hAnsi="宋体" w:eastAsia="宋体" w:cs="宋体"/>
                <w:b w:val="0"/>
              </w:rPr>
              <w:t xml:space="preserve">      其他利息收入</w:t>
            </w:r>
          </w:p>
        </w:tc>
        <w:tc>
          <w:tcPr>
            <w:tcW w:w="0" w:type="dxa"/>
          </w:tcPr>
          <w:p w14:paraId="661ECF60">
            <w:pPr>
              <w:spacing w:line="240" w:lineRule="auto"/>
              <w:jc w:val="center"/>
            </w:pPr>
          </w:p>
        </w:tc>
        <w:tc>
          <w:tcPr>
            <w:tcW w:w="0" w:type="dxa"/>
          </w:tcPr>
          <w:p w14:paraId="31E2302E">
            <w:pPr>
              <w:spacing w:line="240" w:lineRule="auto"/>
              <w:jc w:val="right"/>
            </w:pPr>
            <w:r>
              <w:rPr>
                <w:rFonts w:ascii="宋体" w:hAnsi="宋体" w:eastAsia="宋体" w:cs="宋体"/>
                <w:b w:val="0"/>
              </w:rPr>
              <w:t>-</w:t>
            </w:r>
          </w:p>
        </w:tc>
      </w:tr>
      <w:tr w14:paraId="77FB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20A986">
            <w:pPr>
              <w:spacing w:line="240" w:lineRule="auto"/>
              <w:jc w:val="left"/>
            </w:pPr>
            <w:r>
              <w:rPr>
                <w:rFonts w:ascii="宋体" w:hAnsi="宋体" w:eastAsia="宋体" w:cs="宋体"/>
                <w:b w:val="0"/>
              </w:rPr>
              <w:t>2.投资收益（损失以“-”填列）</w:t>
            </w:r>
          </w:p>
        </w:tc>
        <w:tc>
          <w:tcPr>
            <w:tcW w:w="0" w:type="dxa"/>
          </w:tcPr>
          <w:p w14:paraId="400AD16D">
            <w:pPr>
              <w:spacing w:line="240" w:lineRule="auto"/>
              <w:jc w:val="center"/>
            </w:pPr>
          </w:p>
        </w:tc>
        <w:tc>
          <w:tcPr>
            <w:tcW w:w="0" w:type="dxa"/>
          </w:tcPr>
          <w:p w14:paraId="6FB92620">
            <w:pPr>
              <w:spacing w:line="240" w:lineRule="auto"/>
              <w:jc w:val="right"/>
            </w:pPr>
            <w:r>
              <w:rPr>
                <w:rFonts w:ascii="宋体" w:hAnsi="宋体" w:eastAsia="宋体" w:cs="宋体"/>
                <w:b w:val="0"/>
              </w:rPr>
              <w:t>-138,239.37</w:t>
            </w:r>
          </w:p>
        </w:tc>
      </w:tr>
      <w:tr w14:paraId="6349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AD7A7A">
            <w:pPr>
              <w:spacing w:line="240" w:lineRule="auto"/>
              <w:jc w:val="left"/>
            </w:pPr>
            <w:r>
              <w:rPr>
                <w:rFonts w:ascii="宋体" w:hAnsi="宋体" w:eastAsia="宋体" w:cs="宋体"/>
                <w:b w:val="0"/>
              </w:rPr>
              <w:t>其中：股票投资收益</w:t>
            </w:r>
          </w:p>
        </w:tc>
        <w:tc>
          <w:tcPr>
            <w:tcW w:w="0" w:type="dxa"/>
          </w:tcPr>
          <w:p w14:paraId="27F67008">
            <w:pPr>
              <w:spacing w:line="240" w:lineRule="auto"/>
              <w:jc w:val="center"/>
            </w:pPr>
            <w:r>
              <w:rPr>
                <w:rFonts w:ascii="宋体" w:hAnsi="宋体" w:eastAsia="宋体" w:cs="宋体"/>
                <w:b w:val="0"/>
              </w:rPr>
              <w:t>6.4.7.10</w:t>
            </w:r>
          </w:p>
        </w:tc>
        <w:tc>
          <w:tcPr>
            <w:tcW w:w="0" w:type="dxa"/>
          </w:tcPr>
          <w:p w14:paraId="02AC33F6">
            <w:pPr>
              <w:spacing w:line="240" w:lineRule="auto"/>
              <w:jc w:val="right"/>
            </w:pPr>
            <w:r>
              <w:rPr>
                <w:rFonts w:ascii="宋体" w:hAnsi="宋体" w:eastAsia="宋体" w:cs="宋体"/>
                <w:b w:val="0"/>
              </w:rPr>
              <w:t>-174,625.60</w:t>
            </w:r>
          </w:p>
        </w:tc>
      </w:tr>
      <w:tr w14:paraId="1741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54F55F">
            <w:pPr>
              <w:spacing w:line="240" w:lineRule="auto"/>
              <w:jc w:val="left"/>
            </w:pPr>
            <w:r>
              <w:rPr>
                <w:rFonts w:ascii="宋体" w:hAnsi="宋体" w:eastAsia="宋体" w:cs="宋体"/>
                <w:b w:val="0"/>
              </w:rPr>
              <w:t xml:space="preserve">      基金投资收益</w:t>
            </w:r>
          </w:p>
        </w:tc>
        <w:tc>
          <w:tcPr>
            <w:tcW w:w="0" w:type="dxa"/>
          </w:tcPr>
          <w:p w14:paraId="53C60A2D">
            <w:pPr>
              <w:spacing w:line="240" w:lineRule="auto"/>
              <w:jc w:val="center"/>
            </w:pPr>
          </w:p>
        </w:tc>
        <w:tc>
          <w:tcPr>
            <w:tcW w:w="0" w:type="dxa"/>
          </w:tcPr>
          <w:p w14:paraId="16D7CA3A">
            <w:pPr>
              <w:spacing w:line="240" w:lineRule="auto"/>
              <w:jc w:val="right"/>
            </w:pPr>
            <w:r>
              <w:rPr>
                <w:rFonts w:ascii="宋体" w:hAnsi="宋体" w:eastAsia="宋体" w:cs="宋体"/>
                <w:b w:val="0"/>
              </w:rPr>
              <w:t>-</w:t>
            </w:r>
          </w:p>
        </w:tc>
      </w:tr>
      <w:tr w14:paraId="221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28FA6F">
            <w:pPr>
              <w:spacing w:line="240" w:lineRule="auto"/>
              <w:jc w:val="left"/>
            </w:pPr>
            <w:r>
              <w:rPr>
                <w:rFonts w:ascii="宋体" w:hAnsi="宋体" w:eastAsia="宋体" w:cs="宋体"/>
                <w:b w:val="0"/>
              </w:rPr>
              <w:t xml:space="preserve">      债券投资收益</w:t>
            </w:r>
          </w:p>
        </w:tc>
        <w:tc>
          <w:tcPr>
            <w:tcW w:w="0" w:type="dxa"/>
          </w:tcPr>
          <w:p w14:paraId="1A9D53FF">
            <w:pPr>
              <w:spacing w:line="240" w:lineRule="auto"/>
              <w:jc w:val="center"/>
            </w:pPr>
            <w:r>
              <w:rPr>
                <w:rFonts w:ascii="宋体" w:hAnsi="宋体" w:eastAsia="宋体" w:cs="宋体"/>
                <w:b w:val="0"/>
              </w:rPr>
              <w:t>6.4.7.11</w:t>
            </w:r>
          </w:p>
        </w:tc>
        <w:tc>
          <w:tcPr>
            <w:tcW w:w="0" w:type="dxa"/>
          </w:tcPr>
          <w:p w14:paraId="774F5754">
            <w:pPr>
              <w:spacing w:line="240" w:lineRule="auto"/>
              <w:jc w:val="right"/>
            </w:pPr>
            <w:r>
              <w:rPr>
                <w:rFonts w:ascii="宋体" w:hAnsi="宋体" w:eastAsia="宋体" w:cs="宋体"/>
                <w:b w:val="0"/>
              </w:rPr>
              <w:t>280.05</w:t>
            </w:r>
          </w:p>
        </w:tc>
      </w:tr>
      <w:tr w14:paraId="22F0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FB2DDF">
            <w:pPr>
              <w:spacing w:line="240" w:lineRule="auto"/>
              <w:jc w:val="left"/>
            </w:pPr>
            <w:r>
              <w:rPr>
                <w:rFonts w:ascii="宋体" w:hAnsi="宋体" w:eastAsia="宋体" w:cs="宋体"/>
                <w:b w:val="0"/>
              </w:rPr>
              <w:t xml:space="preserve">      资产支持证券投资收益</w:t>
            </w:r>
          </w:p>
        </w:tc>
        <w:tc>
          <w:tcPr>
            <w:tcW w:w="0" w:type="dxa"/>
          </w:tcPr>
          <w:p w14:paraId="3FC26199">
            <w:pPr>
              <w:spacing w:line="240" w:lineRule="auto"/>
              <w:jc w:val="center"/>
            </w:pPr>
            <w:r>
              <w:rPr>
                <w:rFonts w:ascii="宋体" w:hAnsi="宋体" w:eastAsia="宋体" w:cs="宋体"/>
                <w:b w:val="0"/>
              </w:rPr>
              <w:t>6.4.7.12</w:t>
            </w:r>
          </w:p>
        </w:tc>
        <w:tc>
          <w:tcPr>
            <w:tcW w:w="0" w:type="dxa"/>
          </w:tcPr>
          <w:p w14:paraId="0F8ADFAD">
            <w:pPr>
              <w:spacing w:line="240" w:lineRule="auto"/>
              <w:jc w:val="right"/>
            </w:pPr>
            <w:r>
              <w:rPr>
                <w:rFonts w:ascii="宋体" w:hAnsi="宋体" w:eastAsia="宋体" w:cs="宋体"/>
                <w:b w:val="0"/>
              </w:rPr>
              <w:t>-</w:t>
            </w:r>
          </w:p>
        </w:tc>
      </w:tr>
      <w:tr w14:paraId="5979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B0E86D">
            <w:pPr>
              <w:spacing w:line="240" w:lineRule="auto"/>
              <w:jc w:val="left"/>
            </w:pPr>
            <w:r>
              <w:rPr>
                <w:rFonts w:ascii="宋体" w:hAnsi="宋体" w:eastAsia="宋体" w:cs="宋体"/>
                <w:b w:val="0"/>
              </w:rPr>
              <w:t xml:space="preserve">      贵金属投资收益</w:t>
            </w:r>
          </w:p>
        </w:tc>
        <w:tc>
          <w:tcPr>
            <w:tcW w:w="0" w:type="dxa"/>
          </w:tcPr>
          <w:p w14:paraId="019BE60F">
            <w:pPr>
              <w:spacing w:line="240" w:lineRule="auto"/>
              <w:jc w:val="center"/>
            </w:pPr>
            <w:r>
              <w:rPr>
                <w:rFonts w:ascii="宋体" w:hAnsi="宋体" w:eastAsia="宋体" w:cs="宋体"/>
                <w:b w:val="0"/>
              </w:rPr>
              <w:t>6.4.7.13</w:t>
            </w:r>
          </w:p>
        </w:tc>
        <w:tc>
          <w:tcPr>
            <w:tcW w:w="0" w:type="dxa"/>
          </w:tcPr>
          <w:p w14:paraId="50B5D64A">
            <w:pPr>
              <w:spacing w:line="240" w:lineRule="auto"/>
              <w:jc w:val="right"/>
            </w:pPr>
            <w:r>
              <w:rPr>
                <w:rFonts w:ascii="宋体" w:hAnsi="宋体" w:eastAsia="宋体" w:cs="宋体"/>
                <w:b w:val="0"/>
              </w:rPr>
              <w:t>-</w:t>
            </w:r>
          </w:p>
        </w:tc>
      </w:tr>
      <w:tr w14:paraId="64BB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11D27A">
            <w:pPr>
              <w:spacing w:line="240" w:lineRule="auto"/>
              <w:jc w:val="left"/>
            </w:pPr>
            <w:r>
              <w:rPr>
                <w:rFonts w:ascii="宋体" w:hAnsi="宋体" w:eastAsia="宋体" w:cs="宋体"/>
                <w:b w:val="0"/>
              </w:rPr>
              <w:t xml:space="preserve">      衍生工具收益</w:t>
            </w:r>
          </w:p>
        </w:tc>
        <w:tc>
          <w:tcPr>
            <w:tcW w:w="0" w:type="dxa"/>
          </w:tcPr>
          <w:p w14:paraId="5FD307BA">
            <w:pPr>
              <w:spacing w:line="240" w:lineRule="auto"/>
              <w:jc w:val="center"/>
            </w:pPr>
            <w:r>
              <w:rPr>
                <w:rFonts w:ascii="宋体" w:hAnsi="宋体" w:eastAsia="宋体" w:cs="宋体"/>
                <w:b w:val="0"/>
              </w:rPr>
              <w:t>6.4.7.14</w:t>
            </w:r>
          </w:p>
        </w:tc>
        <w:tc>
          <w:tcPr>
            <w:tcW w:w="0" w:type="dxa"/>
          </w:tcPr>
          <w:p w14:paraId="64FE7BFE">
            <w:pPr>
              <w:spacing w:line="240" w:lineRule="auto"/>
              <w:jc w:val="right"/>
            </w:pPr>
            <w:r>
              <w:rPr>
                <w:rFonts w:ascii="宋体" w:hAnsi="宋体" w:eastAsia="宋体" w:cs="宋体"/>
                <w:b w:val="0"/>
              </w:rPr>
              <w:t>-</w:t>
            </w:r>
          </w:p>
        </w:tc>
      </w:tr>
      <w:tr w14:paraId="2A4D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9CED7B">
            <w:pPr>
              <w:spacing w:line="240" w:lineRule="auto"/>
              <w:jc w:val="left"/>
            </w:pPr>
            <w:r>
              <w:rPr>
                <w:rFonts w:ascii="宋体" w:hAnsi="宋体" w:eastAsia="宋体" w:cs="宋体"/>
                <w:b w:val="0"/>
              </w:rPr>
              <w:t xml:space="preserve">      股利收益</w:t>
            </w:r>
          </w:p>
        </w:tc>
        <w:tc>
          <w:tcPr>
            <w:tcW w:w="0" w:type="dxa"/>
          </w:tcPr>
          <w:p w14:paraId="22DA59B9">
            <w:pPr>
              <w:spacing w:line="240" w:lineRule="auto"/>
              <w:jc w:val="center"/>
            </w:pPr>
            <w:r>
              <w:rPr>
                <w:rFonts w:ascii="宋体" w:hAnsi="宋体" w:eastAsia="宋体" w:cs="宋体"/>
                <w:b w:val="0"/>
              </w:rPr>
              <w:t>6.4.7.15</w:t>
            </w:r>
          </w:p>
        </w:tc>
        <w:tc>
          <w:tcPr>
            <w:tcW w:w="0" w:type="dxa"/>
          </w:tcPr>
          <w:p w14:paraId="76C5962A">
            <w:pPr>
              <w:spacing w:line="240" w:lineRule="auto"/>
              <w:jc w:val="right"/>
            </w:pPr>
            <w:r>
              <w:rPr>
                <w:rFonts w:ascii="宋体" w:hAnsi="宋体" w:eastAsia="宋体" w:cs="宋体"/>
                <w:b w:val="0"/>
              </w:rPr>
              <w:t>36,106.18</w:t>
            </w:r>
          </w:p>
        </w:tc>
      </w:tr>
      <w:tr w14:paraId="5F26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137309">
            <w:pPr>
              <w:spacing w:line="240" w:lineRule="auto"/>
              <w:jc w:val="left"/>
            </w:pPr>
            <w:r>
              <w:rPr>
                <w:rFonts w:ascii="宋体" w:hAnsi="宋体" w:eastAsia="宋体" w:cs="宋体"/>
                <w:b w:val="0"/>
              </w:rPr>
              <w:t xml:space="preserve">      其他投资收益</w:t>
            </w:r>
          </w:p>
        </w:tc>
        <w:tc>
          <w:tcPr>
            <w:tcW w:w="0" w:type="dxa"/>
          </w:tcPr>
          <w:p w14:paraId="162E7AEE">
            <w:pPr>
              <w:spacing w:line="240" w:lineRule="auto"/>
              <w:jc w:val="center"/>
            </w:pPr>
          </w:p>
        </w:tc>
        <w:tc>
          <w:tcPr>
            <w:tcW w:w="0" w:type="dxa"/>
          </w:tcPr>
          <w:p w14:paraId="04FE01F2">
            <w:pPr>
              <w:spacing w:line="240" w:lineRule="auto"/>
              <w:jc w:val="right"/>
            </w:pPr>
            <w:r>
              <w:rPr>
                <w:rFonts w:ascii="宋体" w:hAnsi="宋体" w:eastAsia="宋体" w:cs="宋体"/>
                <w:b w:val="0"/>
              </w:rPr>
              <w:t>-</w:t>
            </w:r>
          </w:p>
        </w:tc>
      </w:tr>
      <w:tr w14:paraId="1819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1C4424">
            <w:pPr>
              <w:spacing w:line="240" w:lineRule="auto"/>
              <w:jc w:val="left"/>
            </w:pPr>
            <w:r>
              <w:rPr>
                <w:rFonts w:ascii="宋体" w:hAnsi="宋体" w:eastAsia="宋体" w:cs="宋体"/>
                <w:b w:val="0"/>
              </w:rPr>
              <w:t>3.公允价值变动收益（损失以“-”号填列）</w:t>
            </w:r>
          </w:p>
        </w:tc>
        <w:tc>
          <w:tcPr>
            <w:tcW w:w="0" w:type="dxa"/>
          </w:tcPr>
          <w:p w14:paraId="7F848BA6">
            <w:pPr>
              <w:spacing w:line="240" w:lineRule="auto"/>
              <w:jc w:val="center"/>
            </w:pPr>
            <w:r>
              <w:rPr>
                <w:rFonts w:ascii="宋体" w:hAnsi="宋体" w:eastAsia="宋体" w:cs="宋体"/>
                <w:b w:val="0"/>
              </w:rPr>
              <w:t>6.4.7.16</w:t>
            </w:r>
          </w:p>
        </w:tc>
        <w:tc>
          <w:tcPr>
            <w:tcW w:w="0" w:type="dxa"/>
          </w:tcPr>
          <w:p w14:paraId="44DBCED9">
            <w:pPr>
              <w:spacing w:line="240" w:lineRule="auto"/>
              <w:jc w:val="right"/>
            </w:pPr>
            <w:r>
              <w:rPr>
                <w:rFonts w:ascii="宋体" w:hAnsi="宋体" w:eastAsia="宋体" w:cs="宋体"/>
                <w:b w:val="0"/>
              </w:rPr>
              <w:t>73,963.13</w:t>
            </w:r>
          </w:p>
        </w:tc>
      </w:tr>
      <w:tr w14:paraId="571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A9D988">
            <w:pPr>
              <w:spacing w:line="240" w:lineRule="auto"/>
              <w:jc w:val="left"/>
            </w:pPr>
            <w:r>
              <w:rPr>
                <w:rFonts w:ascii="宋体" w:hAnsi="宋体" w:eastAsia="宋体" w:cs="宋体"/>
                <w:b w:val="0"/>
              </w:rPr>
              <w:t>4.汇兑收益（损失以“-”号填列）</w:t>
            </w:r>
          </w:p>
        </w:tc>
        <w:tc>
          <w:tcPr>
            <w:tcW w:w="0" w:type="dxa"/>
          </w:tcPr>
          <w:p w14:paraId="7A84863C">
            <w:pPr>
              <w:spacing w:line="240" w:lineRule="auto"/>
              <w:jc w:val="center"/>
            </w:pPr>
          </w:p>
        </w:tc>
        <w:tc>
          <w:tcPr>
            <w:tcW w:w="0" w:type="dxa"/>
          </w:tcPr>
          <w:p w14:paraId="34DB553C">
            <w:pPr>
              <w:spacing w:line="240" w:lineRule="auto"/>
              <w:jc w:val="right"/>
            </w:pPr>
            <w:r>
              <w:rPr>
                <w:rFonts w:ascii="宋体" w:hAnsi="宋体" w:eastAsia="宋体" w:cs="宋体"/>
                <w:b w:val="0"/>
              </w:rPr>
              <w:t>-</w:t>
            </w:r>
          </w:p>
        </w:tc>
      </w:tr>
      <w:tr w14:paraId="0C11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5A3FDA">
            <w:pPr>
              <w:spacing w:line="240" w:lineRule="auto"/>
              <w:jc w:val="left"/>
            </w:pPr>
            <w:r>
              <w:rPr>
                <w:rFonts w:ascii="宋体" w:hAnsi="宋体" w:eastAsia="宋体" w:cs="宋体"/>
                <w:b w:val="0"/>
              </w:rPr>
              <w:t>5.其他收入（损失以“-”号填列）</w:t>
            </w:r>
          </w:p>
        </w:tc>
        <w:tc>
          <w:tcPr>
            <w:tcW w:w="0" w:type="dxa"/>
          </w:tcPr>
          <w:p w14:paraId="740B89CD">
            <w:pPr>
              <w:spacing w:line="240" w:lineRule="auto"/>
              <w:jc w:val="center"/>
            </w:pPr>
            <w:r>
              <w:rPr>
                <w:rFonts w:ascii="宋体" w:hAnsi="宋体" w:eastAsia="宋体" w:cs="宋体"/>
                <w:b w:val="0"/>
              </w:rPr>
              <w:t>6.4.7.17</w:t>
            </w:r>
          </w:p>
        </w:tc>
        <w:tc>
          <w:tcPr>
            <w:tcW w:w="0" w:type="dxa"/>
          </w:tcPr>
          <w:p w14:paraId="221CEA45">
            <w:pPr>
              <w:spacing w:line="240" w:lineRule="auto"/>
              <w:jc w:val="right"/>
            </w:pPr>
            <w:r>
              <w:rPr>
                <w:rFonts w:ascii="宋体" w:hAnsi="宋体" w:eastAsia="宋体" w:cs="宋体"/>
                <w:b w:val="0"/>
              </w:rPr>
              <w:t>8.23</w:t>
            </w:r>
          </w:p>
        </w:tc>
      </w:tr>
      <w:tr w14:paraId="620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B6F93E">
            <w:pPr>
              <w:spacing w:line="240" w:lineRule="auto"/>
              <w:jc w:val="left"/>
            </w:pPr>
            <w:r>
              <w:rPr>
                <w:rFonts w:ascii="宋体" w:hAnsi="宋体" w:eastAsia="宋体" w:cs="宋体"/>
                <w:b/>
              </w:rPr>
              <w:t>减：二、营业总支出</w:t>
            </w:r>
          </w:p>
        </w:tc>
        <w:tc>
          <w:tcPr>
            <w:tcW w:w="0" w:type="dxa"/>
          </w:tcPr>
          <w:p w14:paraId="73A4FCA1">
            <w:pPr>
              <w:spacing w:line="240" w:lineRule="auto"/>
              <w:jc w:val="center"/>
            </w:pPr>
          </w:p>
        </w:tc>
        <w:tc>
          <w:tcPr>
            <w:tcW w:w="0" w:type="dxa"/>
          </w:tcPr>
          <w:p w14:paraId="05EA92CF">
            <w:pPr>
              <w:spacing w:line="240" w:lineRule="auto"/>
              <w:jc w:val="right"/>
            </w:pPr>
            <w:r>
              <w:rPr>
                <w:rFonts w:ascii="宋体" w:hAnsi="宋体" w:eastAsia="宋体" w:cs="宋体"/>
                <w:b w:val="0"/>
              </w:rPr>
              <w:t>19,083.95</w:t>
            </w:r>
          </w:p>
        </w:tc>
      </w:tr>
      <w:tr w14:paraId="239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5CE3FD">
            <w:pPr>
              <w:spacing w:line="240" w:lineRule="auto"/>
              <w:jc w:val="left"/>
            </w:pPr>
            <w:r>
              <w:rPr>
                <w:rFonts w:ascii="宋体" w:hAnsi="宋体" w:eastAsia="宋体" w:cs="宋体"/>
                <w:b w:val="0"/>
              </w:rPr>
              <w:t>1．管理人报酬</w:t>
            </w:r>
          </w:p>
        </w:tc>
        <w:tc>
          <w:tcPr>
            <w:tcW w:w="0" w:type="dxa"/>
          </w:tcPr>
          <w:p w14:paraId="6082E57B">
            <w:pPr>
              <w:spacing w:line="240" w:lineRule="auto"/>
              <w:jc w:val="center"/>
            </w:pPr>
            <w:r>
              <w:rPr>
                <w:rFonts w:ascii="宋体" w:hAnsi="宋体" w:eastAsia="宋体" w:cs="宋体"/>
                <w:b w:val="0"/>
              </w:rPr>
              <w:t>6.4.10.2.1</w:t>
            </w:r>
          </w:p>
        </w:tc>
        <w:tc>
          <w:tcPr>
            <w:tcW w:w="0" w:type="dxa"/>
          </w:tcPr>
          <w:p w14:paraId="14FA68BC">
            <w:pPr>
              <w:spacing w:line="240" w:lineRule="auto"/>
              <w:jc w:val="right"/>
            </w:pPr>
            <w:r>
              <w:rPr>
                <w:rFonts w:ascii="宋体" w:hAnsi="宋体" w:eastAsia="宋体" w:cs="宋体"/>
                <w:b w:val="0"/>
              </w:rPr>
              <w:t>9,173.94</w:t>
            </w:r>
          </w:p>
        </w:tc>
      </w:tr>
      <w:tr w14:paraId="6511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D0515F">
            <w:pPr>
              <w:spacing w:line="240" w:lineRule="auto"/>
              <w:jc w:val="left"/>
            </w:pPr>
            <w:r>
              <w:rPr>
                <w:rFonts w:ascii="宋体" w:hAnsi="宋体" w:eastAsia="宋体" w:cs="宋体"/>
                <w:b w:val="0"/>
              </w:rPr>
              <w:t>2．托管费</w:t>
            </w:r>
          </w:p>
        </w:tc>
        <w:tc>
          <w:tcPr>
            <w:tcW w:w="0" w:type="dxa"/>
          </w:tcPr>
          <w:p w14:paraId="2917CFF3">
            <w:pPr>
              <w:spacing w:line="240" w:lineRule="auto"/>
              <w:jc w:val="center"/>
            </w:pPr>
            <w:r>
              <w:rPr>
                <w:rFonts w:ascii="宋体" w:hAnsi="宋体" w:eastAsia="宋体" w:cs="宋体"/>
                <w:b w:val="0"/>
              </w:rPr>
              <w:t>6.4.10.2.2</w:t>
            </w:r>
          </w:p>
        </w:tc>
        <w:tc>
          <w:tcPr>
            <w:tcW w:w="0" w:type="dxa"/>
          </w:tcPr>
          <w:p w14:paraId="191DF995">
            <w:pPr>
              <w:spacing w:line="240" w:lineRule="auto"/>
              <w:jc w:val="right"/>
            </w:pPr>
            <w:r>
              <w:rPr>
                <w:rFonts w:ascii="宋体" w:hAnsi="宋体" w:eastAsia="宋体" w:cs="宋体"/>
                <w:b w:val="0"/>
              </w:rPr>
              <w:t>1,528.98</w:t>
            </w:r>
          </w:p>
        </w:tc>
      </w:tr>
      <w:tr w14:paraId="3B46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A0A3CB">
            <w:pPr>
              <w:spacing w:line="240" w:lineRule="auto"/>
              <w:jc w:val="left"/>
            </w:pPr>
            <w:r>
              <w:rPr>
                <w:rFonts w:ascii="宋体" w:hAnsi="宋体" w:eastAsia="宋体" w:cs="宋体"/>
                <w:b w:val="0"/>
              </w:rPr>
              <w:t>3．销售服务费</w:t>
            </w:r>
          </w:p>
        </w:tc>
        <w:tc>
          <w:tcPr>
            <w:tcW w:w="0" w:type="dxa"/>
          </w:tcPr>
          <w:p w14:paraId="29C4CD40">
            <w:pPr>
              <w:spacing w:line="240" w:lineRule="auto"/>
              <w:jc w:val="center"/>
            </w:pPr>
            <w:r>
              <w:rPr>
                <w:rFonts w:ascii="宋体" w:hAnsi="宋体" w:eastAsia="宋体" w:cs="宋体"/>
                <w:b w:val="0"/>
              </w:rPr>
              <w:t>6.4.10.2.3</w:t>
            </w:r>
          </w:p>
        </w:tc>
        <w:tc>
          <w:tcPr>
            <w:tcW w:w="0" w:type="dxa"/>
          </w:tcPr>
          <w:p w14:paraId="6F412374">
            <w:pPr>
              <w:spacing w:line="240" w:lineRule="auto"/>
              <w:jc w:val="right"/>
            </w:pPr>
            <w:r>
              <w:rPr>
                <w:rFonts w:ascii="宋体" w:hAnsi="宋体" w:eastAsia="宋体" w:cs="宋体"/>
                <w:b w:val="0"/>
              </w:rPr>
              <w:t>4.03</w:t>
            </w:r>
          </w:p>
        </w:tc>
      </w:tr>
      <w:tr w14:paraId="24CF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BE06F0">
            <w:pPr>
              <w:spacing w:line="240" w:lineRule="auto"/>
              <w:jc w:val="left"/>
            </w:pPr>
            <w:r>
              <w:rPr>
                <w:rFonts w:ascii="宋体" w:hAnsi="宋体" w:eastAsia="宋体" w:cs="宋体"/>
                <w:b w:val="0"/>
              </w:rPr>
              <w:t>4．投资顾问费</w:t>
            </w:r>
          </w:p>
        </w:tc>
        <w:tc>
          <w:tcPr>
            <w:tcW w:w="0" w:type="dxa"/>
          </w:tcPr>
          <w:p w14:paraId="5F447896">
            <w:pPr>
              <w:spacing w:line="240" w:lineRule="auto"/>
              <w:jc w:val="center"/>
            </w:pPr>
          </w:p>
        </w:tc>
        <w:tc>
          <w:tcPr>
            <w:tcW w:w="0" w:type="dxa"/>
          </w:tcPr>
          <w:p w14:paraId="402BF06F">
            <w:pPr>
              <w:spacing w:line="240" w:lineRule="auto"/>
              <w:jc w:val="right"/>
            </w:pPr>
            <w:r>
              <w:rPr>
                <w:rFonts w:ascii="宋体" w:hAnsi="宋体" w:eastAsia="宋体" w:cs="宋体"/>
                <w:b w:val="0"/>
              </w:rPr>
              <w:t>-</w:t>
            </w:r>
          </w:p>
        </w:tc>
      </w:tr>
      <w:tr w14:paraId="3199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3E2EA5">
            <w:pPr>
              <w:spacing w:line="240" w:lineRule="auto"/>
              <w:jc w:val="left"/>
            </w:pPr>
            <w:r>
              <w:rPr>
                <w:rFonts w:ascii="宋体" w:hAnsi="宋体" w:eastAsia="宋体" w:cs="宋体"/>
                <w:b w:val="0"/>
              </w:rPr>
              <w:t>5．利息支出</w:t>
            </w:r>
          </w:p>
        </w:tc>
        <w:tc>
          <w:tcPr>
            <w:tcW w:w="0" w:type="dxa"/>
          </w:tcPr>
          <w:p w14:paraId="3CAAF2A0">
            <w:pPr>
              <w:spacing w:line="240" w:lineRule="auto"/>
              <w:jc w:val="center"/>
            </w:pPr>
          </w:p>
        </w:tc>
        <w:tc>
          <w:tcPr>
            <w:tcW w:w="0" w:type="dxa"/>
          </w:tcPr>
          <w:p w14:paraId="29F25A56">
            <w:pPr>
              <w:spacing w:line="240" w:lineRule="auto"/>
              <w:jc w:val="right"/>
            </w:pPr>
            <w:r>
              <w:rPr>
                <w:rFonts w:ascii="宋体" w:hAnsi="宋体" w:eastAsia="宋体" w:cs="宋体"/>
                <w:b w:val="0"/>
              </w:rPr>
              <w:t>-</w:t>
            </w:r>
          </w:p>
        </w:tc>
      </w:tr>
      <w:tr w14:paraId="79B3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95CDE6">
            <w:pPr>
              <w:spacing w:line="240" w:lineRule="auto"/>
              <w:jc w:val="left"/>
            </w:pPr>
            <w:r>
              <w:rPr>
                <w:rFonts w:ascii="宋体" w:hAnsi="宋体" w:eastAsia="宋体" w:cs="宋体"/>
                <w:b w:val="0"/>
              </w:rPr>
              <w:t>其中：卖出回购金融资产支出</w:t>
            </w:r>
          </w:p>
        </w:tc>
        <w:tc>
          <w:tcPr>
            <w:tcW w:w="0" w:type="dxa"/>
          </w:tcPr>
          <w:p w14:paraId="3B1A165C">
            <w:pPr>
              <w:spacing w:line="240" w:lineRule="auto"/>
              <w:jc w:val="center"/>
            </w:pPr>
          </w:p>
        </w:tc>
        <w:tc>
          <w:tcPr>
            <w:tcW w:w="0" w:type="dxa"/>
          </w:tcPr>
          <w:p w14:paraId="45DEAF48">
            <w:pPr>
              <w:spacing w:line="240" w:lineRule="auto"/>
              <w:jc w:val="right"/>
            </w:pPr>
            <w:r>
              <w:rPr>
                <w:rFonts w:ascii="宋体" w:hAnsi="宋体" w:eastAsia="宋体" w:cs="宋体"/>
                <w:b w:val="0"/>
              </w:rPr>
              <w:t>-</w:t>
            </w:r>
          </w:p>
        </w:tc>
      </w:tr>
      <w:tr w14:paraId="7D3D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786BCE">
            <w:pPr>
              <w:spacing w:line="240" w:lineRule="auto"/>
              <w:jc w:val="left"/>
            </w:pPr>
            <w:r>
              <w:rPr>
                <w:rFonts w:ascii="宋体" w:hAnsi="宋体" w:eastAsia="宋体" w:cs="宋体"/>
                <w:b w:val="0"/>
              </w:rPr>
              <w:t>6．信用减值损失</w:t>
            </w:r>
          </w:p>
        </w:tc>
        <w:tc>
          <w:tcPr>
            <w:tcW w:w="0" w:type="dxa"/>
          </w:tcPr>
          <w:p w14:paraId="7CEA6030">
            <w:pPr>
              <w:spacing w:line="240" w:lineRule="auto"/>
              <w:jc w:val="center"/>
            </w:pPr>
          </w:p>
        </w:tc>
        <w:tc>
          <w:tcPr>
            <w:tcW w:w="0" w:type="dxa"/>
          </w:tcPr>
          <w:p w14:paraId="3BB9B768">
            <w:pPr>
              <w:spacing w:line="240" w:lineRule="auto"/>
              <w:jc w:val="right"/>
            </w:pPr>
            <w:r>
              <w:rPr>
                <w:rFonts w:ascii="宋体" w:hAnsi="宋体" w:eastAsia="宋体" w:cs="宋体"/>
                <w:b w:val="0"/>
              </w:rPr>
              <w:t>-</w:t>
            </w:r>
          </w:p>
        </w:tc>
      </w:tr>
      <w:tr w14:paraId="7C62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B9D6A7">
            <w:pPr>
              <w:spacing w:line="240" w:lineRule="auto"/>
              <w:jc w:val="left"/>
            </w:pPr>
            <w:r>
              <w:rPr>
                <w:rFonts w:ascii="宋体" w:hAnsi="宋体" w:eastAsia="宋体" w:cs="宋体"/>
                <w:b w:val="0"/>
              </w:rPr>
              <w:t>7．税金及附加</w:t>
            </w:r>
          </w:p>
        </w:tc>
        <w:tc>
          <w:tcPr>
            <w:tcW w:w="0" w:type="dxa"/>
          </w:tcPr>
          <w:p w14:paraId="46B10FF9">
            <w:pPr>
              <w:spacing w:line="240" w:lineRule="auto"/>
              <w:jc w:val="center"/>
            </w:pPr>
          </w:p>
        </w:tc>
        <w:tc>
          <w:tcPr>
            <w:tcW w:w="0" w:type="dxa"/>
          </w:tcPr>
          <w:p w14:paraId="19AD2754">
            <w:pPr>
              <w:spacing w:line="240" w:lineRule="auto"/>
              <w:jc w:val="right"/>
            </w:pPr>
            <w:r>
              <w:rPr>
                <w:rFonts w:ascii="宋体" w:hAnsi="宋体" w:eastAsia="宋体" w:cs="宋体"/>
                <w:b w:val="0"/>
              </w:rPr>
              <w:t>-</w:t>
            </w:r>
          </w:p>
        </w:tc>
      </w:tr>
      <w:tr w14:paraId="42D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3E5AED">
            <w:pPr>
              <w:spacing w:line="240" w:lineRule="auto"/>
              <w:jc w:val="left"/>
            </w:pPr>
            <w:r>
              <w:rPr>
                <w:rFonts w:ascii="宋体" w:hAnsi="宋体" w:eastAsia="宋体" w:cs="宋体"/>
                <w:b w:val="0"/>
              </w:rPr>
              <w:t>8．其他费用</w:t>
            </w:r>
          </w:p>
        </w:tc>
        <w:tc>
          <w:tcPr>
            <w:tcW w:w="0" w:type="dxa"/>
          </w:tcPr>
          <w:p w14:paraId="56A29847">
            <w:pPr>
              <w:spacing w:line="240" w:lineRule="auto"/>
              <w:jc w:val="center"/>
            </w:pPr>
            <w:r>
              <w:rPr>
                <w:rFonts w:ascii="宋体" w:hAnsi="宋体" w:eastAsia="宋体" w:cs="宋体"/>
                <w:b w:val="0"/>
              </w:rPr>
              <w:t>6.4.7.18</w:t>
            </w:r>
          </w:p>
        </w:tc>
        <w:tc>
          <w:tcPr>
            <w:tcW w:w="0" w:type="dxa"/>
          </w:tcPr>
          <w:p w14:paraId="3D020C15">
            <w:pPr>
              <w:spacing w:line="240" w:lineRule="auto"/>
              <w:jc w:val="right"/>
            </w:pPr>
            <w:r>
              <w:rPr>
                <w:rFonts w:ascii="宋体" w:hAnsi="宋体" w:eastAsia="宋体" w:cs="宋体"/>
                <w:b w:val="0"/>
              </w:rPr>
              <w:t>8,377.00</w:t>
            </w:r>
          </w:p>
        </w:tc>
      </w:tr>
      <w:tr w14:paraId="051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E7E6D5">
            <w:pPr>
              <w:spacing w:line="240" w:lineRule="auto"/>
              <w:jc w:val="left"/>
            </w:pPr>
            <w:r>
              <w:rPr>
                <w:rFonts w:ascii="宋体" w:hAnsi="宋体" w:eastAsia="宋体" w:cs="宋体"/>
                <w:b/>
              </w:rPr>
              <w:t>三、利润总额（亏损总额以“-”号填列）</w:t>
            </w:r>
          </w:p>
        </w:tc>
        <w:tc>
          <w:tcPr>
            <w:tcW w:w="0" w:type="dxa"/>
          </w:tcPr>
          <w:p w14:paraId="64DD2B37">
            <w:pPr>
              <w:spacing w:line="240" w:lineRule="auto"/>
              <w:jc w:val="center"/>
            </w:pPr>
          </w:p>
        </w:tc>
        <w:tc>
          <w:tcPr>
            <w:tcW w:w="0" w:type="dxa"/>
          </w:tcPr>
          <w:p w14:paraId="330EC0BD">
            <w:pPr>
              <w:spacing w:line="240" w:lineRule="auto"/>
              <w:jc w:val="right"/>
            </w:pPr>
            <w:r>
              <w:rPr>
                <w:rFonts w:ascii="宋体" w:hAnsi="宋体" w:eastAsia="宋体" w:cs="宋体"/>
                <w:b w:val="0"/>
              </w:rPr>
              <w:t>-83,246.14</w:t>
            </w:r>
          </w:p>
        </w:tc>
      </w:tr>
      <w:tr w14:paraId="161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8EBB23">
            <w:pPr>
              <w:spacing w:line="240" w:lineRule="auto"/>
              <w:jc w:val="left"/>
            </w:pPr>
            <w:r>
              <w:rPr>
                <w:rFonts w:ascii="宋体" w:hAnsi="宋体" w:eastAsia="宋体" w:cs="宋体"/>
                <w:b w:val="0"/>
              </w:rPr>
              <w:t>减：所得税费用</w:t>
            </w:r>
          </w:p>
        </w:tc>
        <w:tc>
          <w:tcPr>
            <w:tcW w:w="0" w:type="dxa"/>
          </w:tcPr>
          <w:p w14:paraId="5CCAAE6C">
            <w:pPr>
              <w:spacing w:line="240" w:lineRule="auto"/>
              <w:jc w:val="center"/>
            </w:pPr>
          </w:p>
        </w:tc>
        <w:tc>
          <w:tcPr>
            <w:tcW w:w="0" w:type="dxa"/>
          </w:tcPr>
          <w:p w14:paraId="2A2B8B01">
            <w:pPr>
              <w:spacing w:line="240" w:lineRule="auto"/>
              <w:jc w:val="right"/>
            </w:pPr>
            <w:r>
              <w:rPr>
                <w:rFonts w:ascii="宋体" w:hAnsi="宋体" w:eastAsia="宋体" w:cs="宋体"/>
                <w:b w:val="0"/>
              </w:rPr>
              <w:t>-</w:t>
            </w:r>
          </w:p>
        </w:tc>
      </w:tr>
      <w:tr w14:paraId="2DCB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54F89B">
            <w:pPr>
              <w:spacing w:line="240" w:lineRule="auto"/>
              <w:jc w:val="left"/>
            </w:pPr>
            <w:r>
              <w:rPr>
                <w:rFonts w:ascii="宋体" w:hAnsi="宋体" w:eastAsia="宋体" w:cs="宋体"/>
                <w:b/>
              </w:rPr>
              <w:t>四、净利润（净亏损以“-”号填列）</w:t>
            </w:r>
          </w:p>
        </w:tc>
        <w:tc>
          <w:tcPr>
            <w:tcW w:w="0" w:type="dxa"/>
          </w:tcPr>
          <w:p w14:paraId="2270A0D4">
            <w:pPr>
              <w:spacing w:line="240" w:lineRule="auto"/>
              <w:jc w:val="center"/>
            </w:pPr>
          </w:p>
        </w:tc>
        <w:tc>
          <w:tcPr>
            <w:tcW w:w="0" w:type="dxa"/>
          </w:tcPr>
          <w:p w14:paraId="620144C8">
            <w:pPr>
              <w:spacing w:line="240" w:lineRule="auto"/>
              <w:jc w:val="right"/>
            </w:pPr>
            <w:r>
              <w:rPr>
                <w:rFonts w:ascii="宋体" w:hAnsi="宋体" w:eastAsia="宋体" w:cs="宋体"/>
                <w:b w:val="0"/>
              </w:rPr>
              <w:t>-83,246.14</w:t>
            </w:r>
          </w:p>
        </w:tc>
      </w:tr>
      <w:tr w14:paraId="6FEF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499F49">
            <w:pPr>
              <w:spacing w:line="240" w:lineRule="auto"/>
              <w:jc w:val="left"/>
            </w:pPr>
            <w:r>
              <w:rPr>
                <w:rFonts w:ascii="宋体" w:hAnsi="宋体" w:eastAsia="宋体" w:cs="宋体"/>
                <w:b/>
              </w:rPr>
              <w:t>五、其他综合收益的税后净额</w:t>
            </w:r>
          </w:p>
        </w:tc>
        <w:tc>
          <w:tcPr>
            <w:tcW w:w="0" w:type="dxa"/>
          </w:tcPr>
          <w:p w14:paraId="685894BB">
            <w:pPr>
              <w:spacing w:line="240" w:lineRule="auto"/>
              <w:jc w:val="center"/>
            </w:pPr>
          </w:p>
        </w:tc>
        <w:tc>
          <w:tcPr>
            <w:tcW w:w="0" w:type="dxa"/>
          </w:tcPr>
          <w:p w14:paraId="5BC18A77">
            <w:pPr>
              <w:spacing w:line="240" w:lineRule="auto"/>
              <w:jc w:val="right"/>
            </w:pPr>
            <w:r>
              <w:rPr>
                <w:rFonts w:ascii="宋体" w:hAnsi="宋体" w:eastAsia="宋体" w:cs="宋体"/>
                <w:b w:val="0"/>
              </w:rPr>
              <w:t>-</w:t>
            </w:r>
          </w:p>
        </w:tc>
      </w:tr>
      <w:tr w14:paraId="2068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F60C0E">
            <w:pPr>
              <w:spacing w:line="240" w:lineRule="auto"/>
              <w:jc w:val="left"/>
            </w:pPr>
            <w:r>
              <w:rPr>
                <w:rFonts w:ascii="宋体" w:hAnsi="宋体" w:eastAsia="宋体" w:cs="宋体"/>
                <w:b/>
              </w:rPr>
              <w:t>六、综合收益总额</w:t>
            </w:r>
          </w:p>
        </w:tc>
        <w:tc>
          <w:tcPr>
            <w:tcW w:w="0" w:type="dxa"/>
          </w:tcPr>
          <w:p w14:paraId="78483283">
            <w:pPr>
              <w:spacing w:line="240" w:lineRule="auto"/>
              <w:jc w:val="center"/>
            </w:pPr>
          </w:p>
        </w:tc>
        <w:tc>
          <w:tcPr>
            <w:tcW w:w="0" w:type="dxa"/>
          </w:tcPr>
          <w:p w14:paraId="0A8151C9">
            <w:pPr>
              <w:spacing w:line="240" w:lineRule="auto"/>
              <w:jc w:val="right"/>
            </w:pPr>
            <w:r>
              <w:rPr>
                <w:rFonts w:ascii="宋体" w:hAnsi="宋体" w:eastAsia="宋体" w:cs="宋体"/>
                <w:b w:val="0"/>
              </w:rPr>
              <w:t>-83,246.14</w:t>
            </w:r>
          </w:p>
        </w:tc>
      </w:tr>
    </w:tbl>
    <w:p w14:paraId="4C477DEE">
      <w:r>
        <w:rPr>
          <w:rFonts w:ascii="宋体" w:hAnsi="宋体" w:eastAsia="宋体" w:cs="宋体"/>
          <w:b w:val="0"/>
        </w:rPr>
        <w:t>注：本基金合同生效日为2025年06月06日，本报告期实际报告期间为2025年06月06日至2025年06月30日。截至报告期末本基金合同生效未满半年，本报告期的财务报表及报表附注均无同期对比数据。</w:t>
      </w:r>
    </w:p>
    <w:p w14:paraId="25E91A3F"/>
    <w:p w14:paraId="1D329B9B">
      <w:pPr>
        <w:pStyle w:val="3"/>
        <w:jc w:val="left"/>
      </w:pPr>
      <w:bookmarkStart w:id="30" w:name="_Toc3606"/>
      <w:r>
        <w:rPr>
          <w:rFonts w:ascii="宋体" w:hAnsi="宋体" w:eastAsia="宋体" w:cs="宋体"/>
        </w:rPr>
        <w:t>6.3 净资产变动表</w:t>
      </w:r>
      <w:bookmarkEnd w:id="30"/>
    </w:p>
    <w:p w14:paraId="2E47D6AD">
      <w:pPr>
        <w:jc w:val="left"/>
      </w:pPr>
      <w:r>
        <w:rPr>
          <w:rFonts w:ascii="宋体" w:hAnsi="宋体" w:eastAsia="宋体" w:cs="宋体"/>
          <w:b w:val="0"/>
        </w:rPr>
        <w:t>会计主体：东方阿尔法科技优选混合型发起式证券投资基金</w:t>
      </w:r>
    </w:p>
    <w:p w14:paraId="15ABF874">
      <w:pPr>
        <w:jc w:val="left"/>
      </w:pPr>
      <w:r>
        <w:rPr>
          <w:rFonts w:ascii="宋体" w:hAnsi="宋体" w:eastAsia="宋体" w:cs="宋体"/>
          <w:b w:val="0"/>
        </w:rPr>
        <w:t>本报告期：2025年06月06日（基金合同生效日）至2025年06月30日</w:t>
      </w:r>
    </w:p>
    <w:p w14:paraId="2498538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0BB0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739D95A1">
            <w:pPr>
              <w:spacing w:line="240" w:lineRule="auto"/>
              <w:jc w:val="center"/>
            </w:pPr>
            <w:r>
              <w:rPr>
                <w:rFonts w:ascii="宋体" w:hAnsi="宋体" w:eastAsia="宋体" w:cs="宋体"/>
                <w:b/>
              </w:rPr>
              <w:t>项 目</w:t>
            </w:r>
          </w:p>
        </w:tc>
        <w:tc>
          <w:tcPr>
            <w:tcW w:w="3231" w:type="pct"/>
            <w:gridSpan w:val="3"/>
            <w:shd w:val="clear" w:color="auto" w:fill="D9D9D9"/>
          </w:tcPr>
          <w:p w14:paraId="4361F150">
            <w:pPr>
              <w:spacing w:line="240" w:lineRule="auto"/>
              <w:jc w:val="center"/>
            </w:pPr>
            <w:r>
              <w:rPr>
                <w:rFonts w:ascii="宋体" w:hAnsi="宋体" w:eastAsia="宋体" w:cs="宋体"/>
                <w:b/>
              </w:rPr>
              <w:t>本期2025年06月06日（基金合同生效日）至2025年06月30日</w:t>
            </w:r>
          </w:p>
        </w:tc>
      </w:tr>
      <w:tr w14:paraId="2A8B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A30A990"/>
        </w:tc>
        <w:tc>
          <w:tcPr>
            <w:tcW w:w="1077" w:type="pct"/>
            <w:shd w:val="clear" w:color="auto" w:fill="D9D9D9"/>
          </w:tcPr>
          <w:p w14:paraId="53AE8E01">
            <w:pPr>
              <w:spacing w:line="240" w:lineRule="auto"/>
              <w:jc w:val="center"/>
            </w:pPr>
            <w:r>
              <w:rPr>
                <w:rFonts w:ascii="宋体" w:hAnsi="宋体" w:eastAsia="宋体" w:cs="宋体"/>
                <w:b/>
              </w:rPr>
              <w:t>实收基金</w:t>
            </w:r>
          </w:p>
        </w:tc>
        <w:tc>
          <w:tcPr>
            <w:tcW w:w="1077" w:type="pct"/>
            <w:shd w:val="clear" w:color="auto" w:fill="D9D9D9"/>
          </w:tcPr>
          <w:p w14:paraId="28B5C4A4">
            <w:pPr>
              <w:spacing w:line="240" w:lineRule="auto"/>
              <w:jc w:val="center"/>
            </w:pPr>
            <w:r>
              <w:rPr>
                <w:rFonts w:ascii="宋体" w:hAnsi="宋体" w:eastAsia="宋体" w:cs="宋体"/>
                <w:b/>
              </w:rPr>
              <w:t>未分配利润</w:t>
            </w:r>
          </w:p>
        </w:tc>
        <w:tc>
          <w:tcPr>
            <w:tcW w:w="1077" w:type="pct"/>
            <w:shd w:val="clear" w:color="auto" w:fill="D9D9D9"/>
          </w:tcPr>
          <w:p w14:paraId="67569AFC">
            <w:pPr>
              <w:spacing w:line="240" w:lineRule="auto"/>
              <w:jc w:val="center"/>
            </w:pPr>
            <w:r>
              <w:rPr>
                <w:rFonts w:ascii="宋体" w:hAnsi="宋体" w:eastAsia="宋体" w:cs="宋体"/>
                <w:b/>
              </w:rPr>
              <w:t>净资产合计</w:t>
            </w:r>
          </w:p>
        </w:tc>
      </w:tr>
      <w:tr w14:paraId="1421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DD5C21">
            <w:pPr>
              <w:spacing w:line="240" w:lineRule="auto"/>
              <w:jc w:val="left"/>
            </w:pPr>
            <w:r>
              <w:rPr>
                <w:rFonts w:ascii="宋体" w:hAnsi="宋体" w:eastAsia="宋体" w:cs="宋体"/>
                <w:b w:val="0"/>
              </w:rPr>
              <w:t>一、上期期末净资产</w:t>
            </w:r>
          </w:p>
        </w:tc>
        <w:tc>
          <w:tcPr>
            <w:tcW w:w="0" w:type="dxa"/>
          </w:tcPr>
          <w:p w14:paraId="72CBB4E9">
            <w:pPr>
              <w:spacing w:line="240" w:lineRule="auto"/>
              <w:jc w:val="right"/>
            </w:pPr>
            <w:r>
              <w:rPr>
                <w:rFonts w:ascii="宋体" w:hAnsi="宋体" w:eastAsia="宋体" w:cs="宋体"/>
                <w:b w:val="0"/>
              </w:rPr>
              <w:t>-</w:t>
            </w:r>
          </w:p>
        </w:tc>
        <w:tc>
          <w:tcPr>
            <w:tcW w:w="0" w:type="dxa"/>
          </w:tcPr>
          <w:p w14:paraId="47FCEA98">
            <w:pPr>
              <w:spacing w:line="240" w:lineRule="auto"/>
              <w:jc w:val="right"/>
            </w:pPr>
            <w:r>
              <w:rPr>
                <w:rFonts w:ascii="宋体" w:hAnsi="宋体" w:eastAsia="宋体" w:cs="宋体"/>
                <w:b w:val="0"/>
              </w:rPr>
              <w:t>-</w:t>
            </w:r>
          </w:p>
        </w:tc>
        <w:tc>
          <w:tcPr>
            <w:tcW w:w="0" w:type="dxa"/>
          </w:tcPr>
          <w:p w14:paraId="561C911C">
            <w:pPr>
              <w:spacing w:line="240" w:lineRule="auto"/>
              <w:jc w:val="right"/>
            </w:pPr>
            <w:r>
              <w:rPr>
                <w:rFonts w:ascii="宋体" w:hAnsi="宋体" w:eastAsia="宋体" w:cs="宋体"/>
                <w:b w:val="0"/>
              </w:rPr>
              <w:t>-</w:t>
            </w:r>
          </w:p>
        </w:tc>
      </w:tr>
      <w:tr w14:paraId="053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6BDC98">
            <w:pPr>
              <w:spacing w:line="240" w:lineRule="auto"/>
              <w:jc w:val="left"/>
            </w:pPr>
            <w:r>
              <w:rPr>
                <w:rFonts w:ascii="宋体" w:hAnsi="宋体" w:eastAsia="宋体" w:cs="宋体"/>
                <w:b w:val="0"/>
              </w:rPr>
              <w:t>二、本期期初净资产</w:t>
            </w:r>
          </w:p>
        </w:tc>
        <w:tc>
          <w:tcPr>
            <w:tcW w:w="0" w:type="dxa"/>
          </w:tcPr>
          <w:p w14:paraId="6DD2EFC6">
            <w:pPr>
              <w:spacing w:line="240" w:lineRule="auto"/>
              <w:jc w:val="right"/>
            </w:pPr>
            <w:r>
              <w:rPr>
                <w:rFonts w:ascii="宋体" w:hAnsi="宋体" w:eastAsia="宋体" w:cs="宋体"/>
                <w:b w:val="0"/>
              </w:rPr>
              <w:t>11,875,911.44</w:t>
            </w:r>
          </w:p>
        </w:tc>
        <w:tc>
          <w:tcPr>
            <w:tcW w:w="0" w:type="dxa"/>
          </w:tcPr>
          <w:p w14:paraId="66C1FEB2">
            <w:pPr>
              <w:spacing w:line="240" w:lineRule="auto"/>
              <w:jc w:val="right"/>
            </w:pPr>
            <w:r>
              <w:rPr>
                <w:rFonts w:ascii="宋体" w:hAnsi="宋体" w:eastAsia="宋体" w:cs="宋体"/>
                <w:b w:val="0"/>
              </w:rPr>
              <w:t>-</w:t>
            </w:r>
          </w:p>
        </w:tc>
        <w:tc>
          <w:tcPr>
            <w:tcW w:w="0" w:type="dxa"/>
          </w:tcPr>
          <w:p w14:paraId="35A5DA6B">
            <w:pPr>
              <w:spacing w:line="240" w:lineRule="auto"/>
              <w:jc w:val="right"/>
            </w:pPr>
            <w:r>
              <w:rPr>
                <w:rFonts w:ascii="宋体" w:hAnsi="宋体" w:eastAsia="宋体" w:cs="宋体"/>
                <w:b w:val="0"/>
              </w:rPr>
              <w:t>11,875,911.44</w:t>
            </w:r>
          </w:p>
        </w:tc>
      </w:tr>
      <w:tr w14:paraId="76B9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918D87">
            <w:pPr>
              <w:spacing w:line="240" w:lineRule="auto"/>
              <w:jc w:val="left"/>
            </w:pPr>
            <w:r>
              <w:rPr>
                <w:rFonts w:ascii="宋体" w:hAnsi="宋体" w:eastAsia="宋体" w:cs="宋体"/>
                <w:b w:val="0"/>
              </w:rPr>
              <w:t>三、本期增减变动额（减少以“-”号填列）</w:t>
            </w:r>
          </w:p>
        </w:tc>
        <w:tc>
          <w:tcPr>
            <w:tcW w:w="0" w:type="dxa"/>
          </w:tcPr>
          <w:p w14:paraId="54CA21F3">
            <w:pPr>
              <w:spacing w:line="240" w:lineRule="auto"/>
              <w:jc w:val="right"/>
            </w:pPr>
            <w:r>
              <w:rPr>
                <w:rFonts w:ascii="宋体" w:hAnsi="宋体" w:eastAsia="宋体" w:cs="宋体"/>
                <w:b w:val="0"/>
              </w:rPr>
              <w:t>49,195.59</w:t>
            </w:r>
          </w:p>
        </w:tc>
        <w:tc>
          <w:tcPr>
            <w:tcW w:w="0" w:type="dxa"/>
          </w:tcPr>
          <w:p w14:paraId="56ABF473">
            <w:pPr>
              <w:spacing w:line="240" w:lineRule="auto"/>
              <w:jc w:val="right"/>
            </w:pPr>
            <w:r>
              <w:rPr>
                <w:rFonts w:ascii="宋体" w:hAnsi="宋体" w:eastAsia="宋体" w:cs="宋体"/>
                <w:b w:val="0"/>
              </w:rPr>
              <w:t>-83,980.98</w:t>
            </w:r>
          </w:p>
        </w:tc>
        <w:tc>
          <w:tcPr>
            <w:tcW w:w="0" w:type="dxa"/>
          </w:tcPr>
          <w:p w14:paraId="49E4118F">
            <w:pPr>
              <w:spacing w:line="240" w:lineRule="auto"/>
              <w:jc w:val="right"/>
            </w:pPr>
            <w:r>
              <w:rPr>
                <w:rFonts w:ascii="宋体" w:hAnsi="宋体" w:eastAsia="宋体" w:cs="宋体"/>
                <w:b w:val="0"/>
              </w:rPr>
              <w:t>-34,785.39</w:t>
            </w:r>
          </w:p>
        </w:tc>
      </w:tr>
      <w:tr w14:paraId="0AC5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BB795F">
            <w:pPr>
              <w:spacing w:line="240" w:lineRule="auto"/>
              <w:jc w:val="left"/>
            </w:pPr>
            <w:r>
              <w:rPr>
                <w:rFonts w:ascii="宋体" w:hAnsi="宋体" w:eastAsia="宋体" w:cs="宋体"/>
                <w:b w:val="0"/>
              </w:rPr>
              <w:t>（一）、综合收益总额</w:t>
            </w:r>
          </w:p>
        </w:tc>
        <w:tc>
          <w:tcPr>
            <w:tcW w:w="0" w:type="dxa"/>
          </w:tcPr>
          <w:p w14:paraId="44356C68">
            <w:pPr>
              <w:spacing w:line="240" w:lineRule="auto"/>
              <w:jc w:val="right"/>
            </w:pPr>
            <w:r>
              <w:rPr>
                <w:rFonts w:ascii="宋体" w:hAnsi="宋体" w:eastAsia="宋体" w:cs="宋体"/>
                <w:b w:val="0"/>
              </w:rPr>
              <w:t>-</w:t>
            </w:r>
          </w:p>
        </w:tc>
        <w:tc>
          <w:tcPr>
            <w:tcW w:w="0" w:type="dxa"/>
          </w:tcPr>
          <w:p w14:paraId="3084BAE6">
            <w:pPr>
              <w:spacing w:line="240" w:lineRule="auto"/>
              <w:jc w:val="right"/>
            </w:pPr>
            <w:r>
              <w:rPr>
                <w:rFonts w:ascii="宋体" w:hAnsi="宋体" w:eastAsia="宋体" w:cs="宋体"/>
                <w:b w:val="0"/>
              </w:rPr>
              <w:t>-83,246.14</w:t>
            </w:r>
          </w:p>
        </w:tc>
        <w:tc>
          <w:tcPr>
            <w:tcW w:w="0" w:type="dxa"/>
          </w:tcPr>
          <w:p w14:paraId="26D18101">
            <w:pPr>
              <w:spacing w:line="240" w:lineRule="auto"/>
              <w:jc w:val="right"/>
            </w:pPr>
            <w:r>
              <w:rPr>
                <w:rFonts w:ascii="宋体" w:hAnsi="宋体" w:eastAsia="宋体" w:cs="宋体"/>
                <w:b w:val="0"/>
              </w:rPr>
              <w:t>-83,246.14</w:t>
            </w:r>
          </w:p>
        </w:tc>
      </w:tr>
      <w:tr w14:paraId="691C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580347">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697BD87B">
            <w:pPr>
              <w:spacing w:line="240" w:lineRule="auto"/>
              <w:jc w:val="right"/>
            </w:pPr>
            <w:r>
              <w:rPr>
                <w:rFonts w:ascii="宋体" w:hAnsi="宋体" w:eastAsia="宋体" w:cs="宋体"/>
                <w:b w:val="0"/>
              </w:rPr>
              <w:t>49,195.59</w:t>
            </w:r>
          </w:p>
        </w:tc>
        <w:tc>
          <w:tcPr>
            <w:tcW w:w="0" w:type="dxa"/>
          </w:tcPr>
          <w:p w14:paraId="241ECDB2">
            <w:pPr>
              <w:spacing w:line="240" w:lineRule="auto"/>
              <w:jc w:val="right"/>
            </w:pPr>
            <w:r>
              <w:rPr>
                <w:rFonts w:ascii="宋体" w:hAnsi="宋体" w:eastAsia="宋体" w:cs="宋体"/>
                <w:b w:val="0"/>
              </w:rPr>
              <w:t>-734.84</w:t>
            </w:r>
          </w:p>
        </w:tc>
        <w:tc>
          <w:tcPr>
            <w:tcW w:w="0" w:type="dxa"/>
          </w:tcPr>
          <w:p w14:paraId="6D5CB12D">
            <w:pPr>
              <w:spacing w:line="240" w:lineRule="auto"/>
              <w:jc w:val="right"/>
            </w:pPr>
            <w:r>
              <w:rPr>
                <w:rFonts w:ascii="宋体" w:hAnsi="宋体" w:eastAsia="宋体" w:cs="宋体"/>
                <w:b w:val="0"/>
              </w:rPr>
              <w:t>48,460.75</w:t>
            </w:r>
          </w:p>
        </w:tc>
      </w:tr>
      <w:tr w14:paraId="72A5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C52BE7">
            <w:pPr>
              <w:spacing w:line="240" w:lineRule="auto"/>
              <w:jc w:val="left"/>
            </w:pPr>
            <w:r>
              <w:rPr>
                <w:rFonts w:ascii="宋体" w:hAnsi="宋体" w:eastAsia="宋体" w:cs="宋体"/>
                <w:b w:val="0"/>
              </w:rPr>
              <w:t>其中：1.基金申购款</w:t>
            </w:r>
          </w:p>
        </w:tc>
        <w:tc>
          <w:tcPr>
            <w:tcW w:w="0" w:type="dxa"/>
          </w:tcPr>
          <w:p w14:paraId="507A4D25">
            <w:pPr>
              <w:spacing w:line="240" w:lineRule="auto"/>
              <w:jc w:val="right"/>
            </w:pPr>
            <w:r>
              <w:rPr>
                <w:rFonts w:ascii="宋体" w:hAnsi="宋体" w:eastAsia="宋体" w:cs="宋体"/>
                <w:b w:val="0"/>
              </w:rPr>
              <w:t>50,368.40</w:t>
            </w:r>
          </w:p>
        </w:tc>
        <w:tc>
          <w:tcPr>
            <w:tcW w:w="0" w:type="dxa"/>
          </w:tcPr>
          <w:p w14:paraId="7CFCDB16">
            <w:pPr>
              <w:spacing w:line="240" w:lineRule="auto"/>
              <w:jc w:val="right"/>
            </w:pPr>
            <w:r>
              <w:rPr>
                <w:rFonts w:ascii="宋体" w:hAnsi="宋体" w:eastAsia="宋体" w:cs="宋体"/>
                <w:b w:val="0"/>
              </w:rPr>
              <w:t>-788.88</w:t>
            </w:r>
          </w:p>
        </w:tc>
        <w:tc>
          <w:tcPr>
            <w:tcW w:w="0" w:type="dxa"/>
          </w:tcPr>
          <w:p w14:paraId="65FE1D3B">
            <w:pPr>
              <w:spacing w:line="240" w:lineRule="auto"/>
              <w:jc w:val="right"/>
            </w:pPr>
            <w:r>
              <w:rPr>
                <w:rFonts w:ascii="宋体" w:hAnsi="宋体" w:eastAsia="宋体" w:cs="宋体"/>
                <w:b w:val="0"/>
              </w:rPr>
              <w:t>49,579.52</w:t>
            </w:r>
          </w:p>
        </w:tc>
      </w:tr>
      <w:tr w14:paraId="3361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6BE922">
            <w:pPr>
              <w:spacing w:line="240" w:lineRule="auto"/>
              <w:jc w:val="left"/>
            </w:pPr>
            <w:r>
              <w:rPr>
                <w:rFonts w:ascii="宋体" w:hAnsi="宋体" w:eastAsia="宋体" w:cs="宋体"/>
                <w:b w:val="0"/>
              </w:rPr>
              <w:t xml:space="preserve">      2.基金赎回款</w:t>
            </w:r>
          </w:p>
        </w:tc>
        <w:tc>
          <w:tcPr>
            <w:tcW w:w="0" w:type="dxa"/>
          </w:tcPr>
          <w:p w14:paraId="5EF13F41">
            <w:pPr>
              <w:spacing w:line="240" w:lineRule="auto"/>
              <w:jc w:val="right"/>
            </w:pPr>
            <w:r>
              <w:rPr>
                <w:rFonts w:ascii="宋体" w:hAnsi="宋体" w:eastAsia="宋体" w:cs="宋体"/>
                <w:b w:val="0"/>
              </w:rPr>
              <w:t>-1,172.81</w:t>
            </w:r>
          </w:p>
        </w:tc>
        <w:tc>
          <w:tcPr>
            <w:tcW w:w="0" w:type="dxa"/>
          </w:tcPr>
          <w:p w14:paraId="44BBB649">
            <w:pPr>
              <w:spacing w:line="240" w:lineRule="auto"/>
              <w:jc w:val="right"/>
            </w:pPr>
            <w:r>
              <w:rPr>
                <w:rFonts w:ascii="宋体" w:hAnsi="宋体" w:eastAsia="宋体" w:cs="宋体"/>
                <w:b w:val="0"/>
              </w:rPr>
              <w:t>54.04</w:t>
            </w:r>
          </w:p>
        </w:tc>
        <w:tc>
          <w:tcPr>
            <w:tcW w:w="0" w:type="dxa"/>
          </w:tcPr>
          <w:p w14:paraId="341BA9E2">
            <w:pPr>
              <w:spacing w:line="240" w:lineRule="auto"/>
              <w:jc w:val="right"/>
            </w:pPr>
            <w:r>
              <w:rPr>
                <w:rFonts w:ascii="宋体" w:hAnsi="宋体" w:eastAsia="宋体" w:cs="宋体"/>
                <w:b w:val="0"/>
              </w:rPr>
              <w:t>-1,118.77</w:t>
            </w:r>
          </w:p>
        </w:tc>
      </w:tr>
      <w:tr w14:paraId="4749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CF618E">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3E45B057">
            <w:pPr>
              <w:spacing w:line="240" w:lineRule="auto"/>
              <w:jc w:val="right"/>
            </w:pPr>
            <w:r>
              <w:rPr>
                <w:rFonts w:ascii="宋体" w:hAnsi="宋体" w:eastAsia="宋体" w:cs="宋体"/>
                <w:b w:val="0"/>
              </w:rPr>
              <w:t>-</w:t>
            </w:r>
          </w:p>
        </w:tc>
        <w:tc>
          <w:tcPr>
            <w:tcW w:w="0" w:type="dxa"/>
          </w:tcPr>
          <w:p w14:paraId="36AD5559">
            <w:pPr>
              <w:spacing w:line="240" w:lineRule="auto"/>
              <w:jc w:val="right"/>
            </w:pPr>
            <w:r>
              <w:rPr>
                <w:rFonts w:ascii="宋体" w:hAnsi="宋体" w:eastAsia="宋体" w:cs="宋体"/>
                <w:b w:val="0"/>
              </w:rPr>
              <w:t>-</w:t>
            </w:r>
          </w:p>
        </w:tc>
        <w:tc>
          <w:tcPr>
            <w:tcW w:w="0" w:type="dxa"/>
          </w:tcPr>
          <w:p w14:paraId="34655D3E">
            <w:pPr>
              <w:spacing w:line="240" w:lineRule="auto"/>
              <w:jc w:val="right"/>
            </w:pPr>
            <w:r>
              <w:rPr>
                <w:rFonts w:ascii="宋体" w:hAnsi="宋体" w:eastAsia="宋体" w:cs="宋体"/>
                <w:b w:val="0"/>
              </w:rPr>
              <w:t>-</w:t>
            </w:r>
          </w:p>
        </w:tc>
      </w:tr>
      <w:tr w14:paraId="5D72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0FCB79">
            <w:pPr>
              <w:spacing w:line="240" w:lineRule="auto"/>
              <w:jc w:val="left"/>
            </w:pPr>
            <w:r>
              <w:rPr>
                <w:rFonts w:ascii="宋体" w:hAnsi="宋体" w:eastAsia="宋体" w:cs="宋体"/>
                <w:b w:val="0"/>
              </w:rPr>
              <w:t>四、本期期末净资产</w:t>
            </w:r>
          </w:p>
        </w:tc>
        <w:tc>
          <w:tcPr>
            <w:tcW w:w="0" w:type="dxa"/>
          </w:tcPr>
          <w:p w14:paraId="41AC61D2">
            <w:pPr>
              <w:spacing w:line="240" w:lineRule="auto"/>
              <w:jc w:val="right"/>
            </w:pPr>
            <w:r>
              <w:rPr>
                <w:rFonts w:ascii="宋体" w:hAnsi="宋体" w:eastAsia="宋体" w:cs="宋体"/>
                <w:b w:val="0"/>
              </w:rPr>
              <w:t>11,925,107.03</w:t>
            </w:r>
          </w:p>
        </w:tc>
        <w:tc>
          <w:tcPr>
            <w:tcW w:w="0" w:type="dxa"/>
          </w:tcPr>
          <w:p w14:paraId="29BCD754">
            <w:pPr>
              <w:spacing w:line="240" w:lineRule="auto"/>
              <w:jc w:val="right"/>
            </w:pPr>
            <w:r>
              <w:rPr>
                <w:rFonts w:ascii="宋体" w:hAnsi="宋体" w:eastAsia="宋体" w:cs="宋体"/>
                <w:b w:val="0"/>
              </w:rPr>
              <w:t>-83,980.98</w:t>
            </w:r>
          </w:p>
        </w:tc>
        <w:tc>
          <w:tcPr>
            <w:tcW w:w="0" w:type="dxa"/>
          </w:tcPr>
          <w:p w14:paraId="3B36443E">
            <w:pPr>
              <w:spacing w:line="240" w:lineRule="auto"/>
              <w:jc w:val="right"/>
            </w:pPr>
            <w:r>
              <w:rPr>
                <w:rFonts w:ascii="宋体" w:hAnsi="宋体" w:eastAsia="宋体" w:cs="宋体"/>
                <w:b w:val="0"/>
              </w:rPr>
              <w:t>11,841,126.05</w:t>
            </w:r>
          </w:p>
        </w:tc>
      </w:tr>
    </w:tbl>
    <w:p w14:paraId="1E1EC3E5">
      <w:r>
        <w:rPr>
          <w:rFonts w:ascii="宋体" w:hAnsi="宋体" w:eastAsia="宋体" w:cs="宋体"/>
          <w:b w:val="0"/>
        </w:rPr>
        <w:t>注：本基金合同生效日为2025年06月06日，本报告期实际报告期间为2025年06月06日至2025年06月30日。截至报告期末本基金合同生效未满半年，本报告期的财务报表及报表附注均无同期对比数据。</w:t>
      </w:r>
    </w:p>
    <w:p w14:paraId="417404DC"/>
    <w:p w14:paraId="0F14F64A">
      <w:pPr>
        <w:jc w:val="left"/>
      </w:pPr>
      <w:r>
        <w:rPr>
          <w:rFonts w:ascii="宋体" w:hAnsi="宋体" w:eastAsia="宋体" w:cs="宋体"/>
          <w:b w:val="0"/>
        </w:rPr>
        <w:t>报表附注为财务报表的组成部分。</w:t>
      </w:r>
    </w:p>
    <w:p w14:paraId="7E1DBC7A">
      <w:pPr>
        <w:jc w:val="left"/>
      </w:pPr>
      <w:r>
        <w:rPr>
          <w:rFonts w:ascii="宋体" w:hAnsi="宋体" w:eastAsia="宋体" w:cs="宋体"/>
          <w:b w:val="0"/>
        </w:rPr>
        <w:t>本报告6.1至6.4财务报表由下列负责人签署: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696AB2D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127F631B">
            <w:pPr>
              <w:spacing w:line="240" w:lineRule="auto"/>
              <w:jc w:val="center"/>
            </w:pPr>
            <w:r>
              <w:rPr>
                <w:rFonts w:ascii="宋体" w:hAnsi="宋体" w:eastAsia="宋体" w:cs="宋体"/>
                <w:b w:val="0"/>
              </w:rPr>
              <w:t>刘明</w:t>
            </w:r>
          </w:p>
        </w:tc>
        <w:tc>
          <w:tcPr>
            <w:tcW w:w="1538" w:type="pct"/>
          </w:tcPr>
          <w:p w14:paraId="40D967B5">
            <w:pPr>
              <w:spacing w:line="240" w:lineRule="auto"/>
              <w:jc w:val="center"/>
            </w:pPr>
            <w:r>
              <w:rPr>
                <w:rFonts w:ascii="宋体" w:hAnsi="宋体" w:eastAsia="宋体" w:cs="宋体"/>
                <w:b w:val="0"/>
              </w:rPr>
              <w:t>曹渊</w:t>
            </w:r>
          </w:p>
        </w:tc>
        <w:tc>
          <w:tcPr>
            <w:tcW w:w="1538" w:type="pct"/>
          </w:tcPr>
          <w:p w14:paraId="188A455E">
            <w:pPr>
              <w:spacing w:line="240" w:lineRule="auto"/>
              <w:jc w:val="center"/>
            </w:pPr>
            <w:r>
              <w:rPr>
                <w:rFonts w:ascii="宋体" w:hAnsi="宋体" w:eastAsia="宋体" w:cs="宋体"/>
                <w:b w:val="0"/>
              </w:rPr>
              <w:t>张珂</w:t>
            </w:r>
          </w:p>
        </w:tc>
      </w:tr>
      <w:tr w14:paraId="64FA721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4B96A39E">
            <w:pPr>
              <w:spacing w:line="240" w:lineRule="auto"/>
              <w:jc w:val="center"/>
            </w:pPr>
            <w:r>
              <w:rPr>
                <w:rFonts w:ascii="宋体" w:hAnsi="宋体" w:eastAsia="宋体" w:cs="宋体"/>
                <w:b w:val="0"/>
              </w:rPr>
              <w:t>—————————</w:t>
            </w:r>
          </w:p>
        </w:tc>
        <w:tc>
          <w:tcPr>
            <w:tcW w:w="1538" w:type="pct"/>
          </w:tcPr>
          <w:p w14:paraId="68DEAB03">
            <w:pPr>
              <w:spacing w:line="240" w:lineRule="auto"/>
              <w:jc w:val="center"/>
            </w:pPr>
            <w:r>
              <w:rPr>
                <w:rFonts w:ascii="宋体" w:hAnsi="宋体" w:eastAsia="宋体" w:cs="宋体"/>
                <w:b w:val="0"/>
              </w:rPr>
              <w:t>—————————</w:t>
            </w:r>
          </w:p>
        </w:tc>
        <w:tc>
          <w:tcPr>
            <w:tcW w:w="1538" w:type="pct"/>
          </w:tcPr>
          <w:p w14:paraId="1CA0C5B5">
            <w:pPr>
              <w:spacing w:line="240" w:lineRule="auto"/>
              <w:jc w:val="center"/>
            </w:pPr>
            <w:r>
              <w:rPr>
                <w:rFonts w:ascii="宋体" w:hAnsi="宋体" w:eastAsia="宋体" w:cs="宋体"/>
                <w:b w:val="0"/>
              </w:rPr>
              <w:t>—————————</w:t>
            </w:r>
          </w:p>
        </w:tc>
      </w:tr>
      <w:tr w14:paraId="4E854AA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47AF584B">
            <w:pPr>
              <w:spacing w:line="240" w:lineRule="auto"/>
              <w:jc w:val="center"/>
            </w:pPr>
            <w:r>
              <w:rPr>
                <w:rFonts w:ascii="宋体" w:hAnsi="宋体" w:eastAsia="宋体" w:cs="宋体"/>
                <w:b w:val="0"/>
              </w:rPr>
              <w:t>基金管理人负责人</w:t>
            </w:r>
          </w:p>
        </w:tc>
        <w:tc>
          <w:tcPr>
            <w:tcW w:w="1538" w:type="pct"/>
          </w:tcPr>
          <w:p w14:paraId="7FA7A17E">
            <w:pPr>
              <w:spacing w:line="240" w:lineRule="auto"/>
              <w:jc w:val="center"/>
            </w:pPr>
            <w:r>
              <w:rPr>
                <w:rFonts w:ascii="宋体" w:hAnsi="宋体" w:eastAsia="宋体" w:cs="宋体"/>
                <w:b w:val="0"/>
              </w:rPr>
              <w:t>主管会计工作负责人</w:t>
            </w:r>
          </w:p>
        </w:tc>
        <w:tc>
          <w:tcPr>
            <w:tcW w:w="1538" w:type="pct"/>
          </w:tcPr>
          <w:p w14:paraId="0E948A81">
            <w:pPr>
              <w:spacing w:line="240" w:lineRule="auto"/>
              <w:jc w:val="center"/>
            </w:pPr>
            <w:r>
              <w:rPr>
                <w:rFonts w:ascii="宋体" w:hAnsi="宋体" w:eastAsia="宋体" w:cs="宋体"/>
                <w:b w:val="0"/>
              </w:rPr>
              <w:t>会计机构负责人</w:t>
            </w:r>
          </w:p>
        </w:tc>
      </w:tr>
    </w:tbl>
    <w:p w14:paraId="11F0CB19"/>
    <w:p w14:paraId="2CEB7D76">
      <w:pPr>
        <w:pStyle w:val="3"/>
        <w:jc w:val="left"/>
      </w:pPr>
      <w:bookmarkStart w:id="31" w:name="_Toc17692"/>
      <w:r>
        <w:rPr>
          <w:rFonts w:ascii="宋体" w:hAnsi="宋体" w:eastAsia="宋体" w:cs="宋体"/>
        </w:rPr>
        <w:t>6.4 报表附注</w:t>
      </w:r>
      <w:bookmarkEnd w:id="31"/>
    </w:p>
    <w:p w14:paraId="075E7260">
      <w:r>
        <w:rPr>
          <w:rFonts w:ascii="宋体" w:hAnsi="宋体" w:eastAsia="宋体" w:cs="宋体"/>
          <w:b/>
        </w:rPr>
        <w:t>6.4.1 基金基本情况</w:t>
      </w:r>
    </w:p>
    <w:p w14:paraId="7FA5ABE0">
      <w:pPr>
        <w:jc w:val="left"/>
      </w:pPr>
      <w:r>
        <w:rPr>
          <w:rFonts w:ascii="宋体" w:hAnsi="宋体" w:eastAsia="宋体" w:cs="宋体"/>
          <w:b w:val="0"/>
        </w:rPr>
        <w:t xml:space="preserve">    东方阿尔法科技优选混合型发起式证券投资基金(以下简称"本基金")经中国证券监督管理委员会(以下简称"中国证监会")证监许可[2025]第1061号《关于准予东方阿尔法科技优选混合型发起式证券投资基金注册的批复》核准，由东方阿尔法基金管理有限公司依照《中华人民共和国证券投资基金法》和《东方阿尔法科技优选混合型发起式证券投资基金基金合同》负责公开募集。本基金为契约型开放式基金，存续期限不定，首次设立募集不包括认购资金利息共募集人民币11,875,450.28元，业经容诚会计师事务所(特殊普通合伙)容诚验字[2025]200Z0082号验资报告予以验证。经向中国证监会备案，《东方阿尔法科技优选混合型发起式证券投资基金基金合同》于2025年6月6日正式生效，基金合同生效日的基金份额总额为11,875,911.44份基金份额，其中认购资金利息折合461.16份基金份额。本基金的基金管理人为东方阿尔法基金管理有限公司，基金托管人为中信银行股份有限公司。</w:t>
      </w:r>
      <w:r>
        <w:rPr>
          <w:rFonts w:ascii="宋体" w:hAnsi="宋体" w:eastAsia="宋体" w:cs="宋体"/>
          <w:b w:val="0"/>
        </w:rPr>
        <w:cr/>
      </w:r>
      <w:r>
        <w:rPr>
          <w:rFonts w:ascii="宋体" w:hAnsi="宋体" w:eastAsia="宋体" w:cs="宋体"/>
          <w:b w:val="0"/>
        </w:rPr>
        <w:t xml:space="preserve">    本基金为发起式基金，发起资金认购部分为10,000,388.92份基金份额，发起资金认购方承诺使用发起资金认购的基金份额持有期限不少于3年。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科技优选混合型发起式证券投资基金基金合同》和《东方阿尔法科技优选混合型发起式证券投资基金招募说明书》，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科技优选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国战略新兴产业成份指数收益率*70%+中债-综合指数(全价)收益率*20%+恒生科技指数收益率(按估值汇率折算)*10%。</w:t>
      </w:r>
    </w:p>
    <w:p w14:paraId="79255CA5"/>
    <w:p w14:paraId="0251E8D2">
      <w:r>
        <w:rPr>
          <w:rFonts w:ascii="宋体" w:hAnsi="宋体" w:eastAsia="宋体" w:cs="宋体"/>
          <w:b/>
        </w:rPr>
        <w:t>6.4.2 会计报表的编制基础</w:t>
      </w:r>
    </w:p>
    <w:p w14:paraId="0A2ACC6E">
      <w:pPr>
        <w:jc w:val="left"/>
      </w:pPr>
      <w:r>
        <w:rPr>
          <w:rFonts w:ascii="宋体" w:hAnsi="宋体" w:eastAsia="宋体" w:cs="宋体"/>
          <w:b w:val="0"/>
        </w:rPr>
        <w:t xml:space="preserve">    本基金的财务报表按照财政部于2006年2月15日及以后期间颁布的《企业会计准则－基本准则》、各项具体会计准则及相关规定(以下合称"企业会计准则")、中国证监会颁布的《证券投资基金信息披露XBRL模板第3号&lt;年度报告和中期报告&gt;》、中国证券投资基金业协会(以下简称"中国基金业协会")颁布的《证券投资基金会计核算业务指引》、《东方阿尔法科技优选混合型发起式证券投资基金基金合同》和在财务报表附注6.4.4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1FDAFBA9"/>
    <w:p w14:paraId="444CFAB0">
      <w:r>
        <w:rPr>
          <w:rFonts w:ascii="宋体" w:hAnsi="宋体" w:eastAsia="宋体" w:cs="宋体"/>
          <w:b/>
        </w:rPr>
        <w:t>6.4.3 遵循企业会计准则及其他有关规定的声明</w:t>
      </w:r>
    </w:p>
    <w:p w14:paraId="6725CE42">
      <w:pPr>
        <w:jc w:val="left"/>
      </w:pPr>
      <w:r>
        <w:rPr>
          <w:rFonts w:ascii="宋体" w:hAnsi="宋体" w:eastAsia="宋体" w:cs="宋体"/>
          <w:b w:val="0"/>
        </w:rPr>
        <w:t xml:space="preserve">    本基金2025年06月06日(基金合同生效日)至2025年06月30日止期间的财务报表符合企业会计准则的要求，真实、完整地反映了本基金2025年06月30日的财务状况以及2025年06月06日(基金合同生效日)至2025年06月30日止期间的经营成果和净资产变动情况等有关信息。</w:t>
      </w:r>
    </w:p>
    <w:p w14:paraId="3E27CEE7"/>
    <w:p w14:paraId="63250813">
      <w:r>
        <w:rPr>
          <w:rFonts w:ascii="宋体" w:hAnsi="宋体" w:eastAsia="宋体" w:cs="宋体"/>
          <w:b/>
        </w:rPr>
        <w:t>6.4.4 重要会计政策和会计估计</w:t>
      </w:r>
    </w:p>
    <w:p w14:paraId="5A5F9320"/>
    <w:p w14:paraId="79823E00">
      <w:r>
        <w:rPr>
          <w:rFonts w:ascii="宋体" w:hAnsi="宋体" w:eastAsia="宋体" w:cs="宋体"/>
          <w:b/>
        </w:rPr>
        <w:t>6.4.4.1 会计年度</w:t>
      </w:r>
    </w:p>
    <w:p w14:paraId="722D6181">
      <w:pPr>
        <w:jc w:val="left"/>
      </w:pPr>
      <w:r>
        <w:rPr>
          <w:rFonts w:ascii="宋体" w:hAnsi="宋体" w:eastAsia="宋体" w:cs="宋体"/>
          <w:b w:val="0"/>
        </w:rPr>
        <w:t xml:space="preserve">    本基金会计年度为公历1月1日起至12月31日止。本期财务报表的实际编制期间为2025年06月06日（基金合同生效日）至2025年06月30日止期间。</w:t>
      </w:r>
    </w:p>
    <w:p w14:paraId="0D996799"/>
    <w:p w14:paraId="5916E5F5">
      <w:r>
        <w:rPr>
          <w:rFonts w:ascii="宋体" w:hAnsi="宋体" w:eastAsia="宋体" w:cs="宋体"/>
          <w:b/>
        </w:rPr>
        <w:t>6.4.4.2 记账本位币</w:t>
      </w:r>
    </w:p>
    <w:p w14:paraId="1F65CF57">
      <w:pPr>
        <w:jc w:val="left"/>
      </w:pPr>
      <w:r>
        <w:rPr>
          <w:rFonts w:ascii="宋体" w:hAnsi="宋体" w:eastAsia="宋体" w:cs="宋体"/>
          <w:b w:val="0"/>
        </w:rPr>
        <w:t xml:space="preserve">    本基金的记账本位币为人民币。</w:t>
      </w:r>
    </w:p>
    <w:p w14:paraId="582CC2E3"/>
    <w:p w14:paraId="7CC8ED7E">
      <w:r>
        <w:rPr>
          <w:rFonts w:ascii="宋体" w:hAnsi="宋体" w:eastAsia="宋体" w:cs="宋体"/>
          <w:b/>
        </w:rPr>
        <w:t>6.4.4.3 金融资产和金融负债的分类</w:t>
      </w:r>
    </w:p>
    <w:p w14:paraId="59DFF495">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金融工具，是指形成一方的金融资产并形成其他方的金融负债或权益工具的合同。当本基金成为金融工具合同的一方时，确认相关的金融资产或金融负债。</w:t>
      </w:r>
      <w:r>
        <w:rPr>
          <w:rFonts w:ascii="宋体" w:hAnsi="宋体" w:eastAsia="宋体" w:cs="宋体"/>
          <w:b w:val="0"/>
        </w:rPr>
        <w:cr/>
      </w:r>
      <w:r>
        <w:rPr>
          <w:rFonts w:ascii="宋体" w:hAnsi="宋体" w:eastAsia="宋体" w:cs="宋体"/>
          <w:b w:val="0"/>
        </w:rPr>
        <w:t xml:space="preserve">    (1)金融资产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 </w:t>
      </w:r>
      <w:r>
        <w:rPr>
          <w:rFonts w:ascii="宋体" w:hAnsi="宋体" w:eastAsia="宋体" w:cs="宋体"/>
          <w:b w:val="0"/>
        </w:rPr>
        <w:cr/>
      </w:r>
      <w:r>
        <w:rPr>
          <w:rFonts w:ascii="宋体" w:hAnsi="宋体" w:eastAsia="宋体" w:cs="宋体"/>
          <w:b w:val="0"/>
        </w:rPr>
        <w:t xml:space="preserve">    1）债务工具    </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     </w:t>
      </w:r>
      <w:r>
        <w:rPr>
          <w:rFonts w:ascii="宋体" w:hAnsi="宋体" w:eastAsia="宋体" w:cs="宋体"/>
          <w:b w:val="0"/>
        </w:rPr>
        <w:cr/>
      </w:r>
      <w:r>
        <w:rPr>
          <w:rFonts w:ascii="宋体" w:hAnsi="宋体" w:eastAsia="宋体" w:cs="宋体"/>
          <w:b w:val="0"/>
        </w:rPr>
        <w:t xml:space="preserve">    a.以摊余成本计量：     </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    </w:t>
      </w:r>
      <w:r>
        <w:rPr>
          <w:rFonts w:ascii="宋体" w:hAnsi="宋体" w:eastAsia="宋体" w:cs="宋体"/>
          <w:b w:val="0"/>
        </w:rPr>
        <w:cr/>
      </w:r>
      <w:r>
        <w:rPr>
          <w:rFonts w:ascii="宋体" w:hAnsi="宋体" w:eastAsia="宋体" w:cs="宋体"/>
          <w:b w:val="0"/>
        </w:rPr>
        <w:t xml:space="preserve">    b.以公允价值计量且其变动计入当期损益：     </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和资产支持证券投资，在资产负债表中以交易性金融资产列示。     </w:t>
      </w:r>
      <w:r>
        <w:rPr>
          <w:rFonts w:ascii="宋体" w:hAnsi="宋体" w:eastAsia="宋体" w:cs="宋体"/>
          <w:b w:val="0"/>
        </w:rPr>
        <w:cr/>
      </w:r>
      <w:r>
        <w:rPr>
          <w:rFonts w:ascii="宋体" w:hAnsi="宋体" w:eastAsia="宋体" w:cs="宋体"/>
          <w:b w:val="0"/>
        </w:rPr>
        <w:t xml:space="preserve">    2）权益工具     </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     </w:t>
      </w:r>
      <w:r>
        <w:rPr>
          <w:rFonts w:ascii="宋体" w:hAnsi="宋体" w:eastAsia="宋体" w:cs="宋体"/>
          <w:b w:val="0"/>
        </w:rPr>
        <w:cr/>
      </w:r>
      <w:r>
        <w:rPr>
          <w:rFonts w:ascii="宋体" w:hAnsi="宋体" w:eastAsia="宋体" w:cs="宋体"/>
          <w:b w:val="0"/>
        </w:rPr>
        <w:t xml:space="preserve">    (2)金融负债     </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     </w:t>
      </w:r>
      <w:r>
        <w:rPr>
          <w:rFonts w:ascii="宋体" w:hAnsi="宋体" w:eastAsia="宋体" w:cs="宋体"/>
          <w:b w:val="0"/>
        </w:rPr>
        <w:cr/>
      </w:r>
      <w:r>
        <w:rPr>
          <w:rFonts w:ascii="宋体" w:hAnsi="宋体" w:eastAsia="宋体" w:cs="宋体"/>
          <w:b w:val="0"/>
        </w:rPr>
        <w:t xml:space="preserve">    (3)衍生金融工具     </w:t>
      </w:r>
      <w:r>
        <w:rPr>
          <w:rFonts w:ascii="宋体" w:hAnsi="宋体" w:eastAsia="宋体" w:cs="宋体"/>
          <w:b w:val="0"/>
        </w:rPr>
        <w:cr/>
      </w:r>
      <w:r>
        <w:rPr>
          <w:rFonts w:ascii="宋体" w:hAnsi="宋体" w:eastAsia="宋体" w:cs="宋体"/>
          <w:b w:val="0"/>
        </w:rPr>
        <w:t xml:space="preserve">    本基金将持有的衍生金融工具以公允价值计量且其变动计入当期损益，在资产负债表中列示为衍生金融资产/负债。</w:t>
      </w:r>
    </w:p>
    <w:p w14:paraId="5AF6835C"/>
    <w:p w14:paraId="00B81D4E">
      <w:r>
        <w:rPr>
          <w:rFonts w:ascii="宋体" w:hAnsi="宋体" w:eastAsia="宋体" w:cs="宋体"/>
          <w:b/>
        </w:rPr>
        <w:t>6.4.4.4 金融资产和金融负债的初始确认、后续计量和终止确认</w:t>
      </w:r>
    </w:p>
    <w:p w14:paraId="419025AD">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或资产支持证券起息日或上次除息日至购买日止的利息，确认为应计利息，包含在交易性金融资产的账面价值中。对于其他类别的金融资产和金融负债，相关交易费用计入初始确认金额。     </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     </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     </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     </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     </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     </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     </w:t>
      </w:r>
      <w:r>
        <w:rPr>
          <w:rFonts w:ascii="宋体" w:hAnsi="宋体" w:eastAsia="宋体" w:cs="宋体"/>
          <w:b w:val="0"/>
        </w:rPr>
        <w:cr/>
      </w:r>
      <w:r>
        <w:rPr>
          <w:rFonts w:ascii="宋体" w:hAnsi="宋体" w:eastAsia="宋体" w:cs="宋体"/>
          <w:b w:val="0"/>
        </w:rPr>
        <w:t xml:space="preserve">    本基金将计提或转回的损失准备计入当期损益。     </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     </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     </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3DF99BD9"/>
    <w:p w14:paraId="247A6154">
      <w:r>
        <w:rPr>
          <w:rFonts w:ascii="宋体" w:hAnsi="宋体" w:eastAsia="宋体" w:cs="宋体"/>
          <w:b/>
        </w:rPr>
        <w:t>6.4.4.5 金融资产和金融负债的估值原则</w:t>
      </w:r>
    </w:p>
    <w:p w14:paraId="655307A9">
      <w:pPr>
        <w:jc w:val="left"/>
      </w:pPr>
      <w:r>
        <w:rPr>
          <w:rFonts w:ascii="宋体" w:hAnsi="宋体" w:eastAsia="宋体" w:cs="宋体"/>
          <w:b w:val="0"/>
        </w:rPr>
        <w:t xml:space="preserve">    本基金持有的股票投资和债券投资按如下原则确定公允价值并进行估值：    </w:t>
      </w:r>
      <w:r>
        <w:rPr>
          <w:rFonts w:ascii="宋体" w:hAnsi="宋体" w:eastAsia="宋体" w:cs="宋体"/>
          <w:b w:val="0"/>
        </w:rPr>
        <w:cr/>
      </w:r>
      <w:r>
        <w:rPr>
          <w:rFonts w:ascii="宋体" w:hAnsi="宋体" w:eastAsia="宋体" w:cs="宋体"/>
          <w:b w:val="0"/>
        </w:rPr>
        <w:t xml:space="preserve">    (1)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     </w:t>
      </w:r>
      <w:r>
        <w:rPr>
          <w:rFonts w:ascii="宋体" w:hAnsi="宋体" w:eastAsia="宋体" w:cs="宋体"/>
          <w:b w:val="0"/>
        </w:rPr>
        <w:cr/>
      </w:r>
      <w:r>
        <w:rPr>
          <w:rFonts w:ascii="宋体" w:hAnsi="宋体" w:eastAsia="宋体" w:cs="宋体"/>
          <w:b w:val="0"/>
        </w:rPr>
        <w:t xml:space="preserve">    (2)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    </w:t>
      </w:r>
      <w:r>
        <w:rPr>
          <w:rFonts w:ascii="宋体" w:hAnsi="宋体" w:eastAsia="宋体" w:cs="宋体"/>
          <w:b w:val="0"/>
        </w:rPr>
        <w:cr/>
      </w:r>
      <w:r>
        <w:rPr>
          <w:rFonts w:ascii="宋体" w:hAnsi="宋体" w:eastAsia="宋体" w:cs="宋体"/>
          <w:b w:val="0"/>
        </w:rPr>
        <w:t xml:space="preserve">    (3)如经济环境发生重大变化或证券发行人发生影响金融工具价格的重大事件，应对估值进行调整并确定公允价值。</w:t>
      </w:r>
    </w:p>
    <w:p w14:paraId="2254A4FA"/>
    <w:p w14:paraId="618464BB">
      <w:r>
        <w:rPr>
          <w:rFonts w:ascii="宋体" w:hAnsi="宋体" w:eastAsia="宋体" w:cs="宋体"/>
          <w:b/>
        </w:rPr>
        <w:t>6.4.4.6 金融资产和金融负债的抵销</w:t>
      </w:r>
    </w:p>
    <w:p w14:paraId="683E181D">
      <w:pPr>
        <w:jc w:val="left"/>
      </w:pPr>
      <w:r>
        <w:rPr>
          <w:rFonts w:ascii="宋体" w:hAnsi="宋体" w:eastAsia="宋体" w:cs="宋体"/>
          <w:b w:val="0"/>
        </w:rPr>
        <w:t xml:space="preserve">    本基金持有的资产和承担的负债基本为金融资产和金融负债。当本基金1）具有抵销已确认金额的法定权利且该种法定权利现在是可执行的；且2）交易双方准备按净额结算时，金融资产与金融负债按抵销后的净额在资产负债表中列示。</w:t>
      </w:r>
    </w:p>
    <w:p w14:paraId="68109B83"/>
    <w:p w14:paraId="42403F66">
      <w:r>
        <w:rPr>
          <w:rFonts w:ascii="宋体" w:hAnsi="宋体" w:eastAsia="宋体" w:cs="宋体"/>
          <w:b/>
        </w:rPr>
        <w:t>6.4.4.7 实收基金</w:t>
      </w:r>
    </w:p>
    <w:p w14:paraId="517951B1">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     </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     </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     </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     </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2998592A"/>
    <w:p w14:paraId="074F634E">
      <w:r>
        <w:rPr>
          <w:rFonts w:ascii="宋体" w:hAnsi="宋体" w:eastAsia="宋体" w:cs="宋体"/>
          <w:b/>
        </w:rPr>
        <w:t>6.4.4.8 损益平准金</w:t>
      </w:r>
    </w:p>
    <w:p w14:paraId="5D759C37">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6D0022C0"/>
    <w:p w14:paraId="6F0C5BD4">
      <w:r>
        <w:rPr>
          <w:rFonts w:ascii="宋体" w:hAnsi="宋体" w:eastAsia="宋体" w:cs="宋体"/>
          <w:b/>
        </w:rPr>
        <w:t>6.4.4.9 收入/（损失）的确认和计量</w:t>
      </w:r>
    </w:p>
    <w:p w14:paraId="79A3A3CA">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     </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0F87EBEE"/>
    <w:p w14:paraId="164C5054">
      <w:r>
        <w:rPr>
          <w:rFonts w:ascii="宋体" w:hAnsi="宋体" w:eastAsia="宋体" w:cs="宋体"/>
          <w:b/>
        </w:rPr>
        <w:t>6.4.4.10 费用的确认和计量</w:t>
      </w:r>
    </w:p>
    <w:p w14:paraId="683D5D63">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19D91D0B"/>
    <w:p w14:paraId="3A40B53E">
      <w:r>
        <w:rPr>
          <w:rFonts w:ascii="宋体" w:hAnsi="宋体" w:eastAsia="宋体" w:cs="宋体"/>
          <w:b/>
        </w:rPr>
        <w:t>6.4.4.11 基金的收益分配政策</w:t>
      </w:r>
    </w:p>
    <w:p w14:paraId="3CF68492">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     </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    </w:t>
      </w:r>
      <w:r>
        <w:rPr>
          <w:rFonts w:ascii="宋体" w:hAnsi="宋体" w:eastAsia="宋体" w:cs="宋体"/>
          <w:b w:val="0"/>
        </w:rPr>
        <w:cr/>
      </w:r>
      <w:r>
        <w:rPr>
          <w:rFonts w:ascii="宋体" w:hAnsi="宋体" w:eastAsia="宋体" w:cs="宋体"/>
          <w:b w:val="0"/>
        </w:rPr>
        <w:t xml:space="preserve">    经宣告的拟分配基金收益于分红除权日从所有者权益转出。</w:t>
      </w:r>
    </w:p>
    <w:p w14:paraId="3036AF7F"/>
    <w:p w14:paraId="4EF76F31">
      <w:r>
        <w:rPr>
          <w:rFonts w:ascii="宋体" w:hAnsi="宋体" w:eastAsia="宋体" w:cs="宋体"/>
          <w:b/>
        </w:rPr>
        <w:t>6.4.4.12 外币交易</w:t>
      </w:r>
    </w:p>
    <w:p w14:paraId="79F92562">
      <w:pPr>
        <w:jc w:val="left"/>
      </w:pPr>
      <w:r>
        <w:rPr>
          <w:rFonts w:ascii="宋体" w:hAnsi="宋体" w:eastAsia="宋体" w:cs="宋体"/>
          <w:b w:val="0"/>
        </w:rPr>
        <w:t xml:space="preserve">    外币交易按交易发生日的即期汇率将外币金额折算为人民币入账。    </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3FCB350E"/>
    <w:p w14:paraId="548F92AA">
      <w:r>
        <w:rPr>
          <w:rFonts w:ascii="宋体" w:hAnsi="宋体" w:eastAsia="宋体" w:cs="宋体"/>
          <w:b/>
        </w:rPr>
        <w:t>6.4.4.13 分部报告</w:t>
      </w:r>
    </w:p>
    <w:p w14:paraId="2E3FA967">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     </w:t>
      </w:r>
      <w:r>
        <w:rPr>
          <w:rFonts w:ascii="宋体" w:hAnsi="宋体" w:eastAsia="宋体" w:cs="宋体"/>
          <w:b w:val="0"/>
        </w:rPr>
        <w:cr/>
      </w:r>
      <w:r>
        <w:rPr>
          <w:rFonts w:ascii="宋体" w:hAnsi="宋体" w:eastAsia="宋体" w:cs="宋体"/>
          <w:b w:val="0"/>
        </w:rPr>
        <w:t xml:space="preserve">    (1)该组成部分能够在日常活动中产生收入、发生费用；    </w:t>
      </w:r>
      <w:r>
        <w:rPr>
          <w:rFonts w:ascii="宋体" w:hAnsi="宋体" w:eastAsia="宋体" w:cs="宋体"/>
          <w:b w:val="0"/>
        </w:rPr>
        <w:cr/>
      </w:r>
      <w:r>
        <w:rPr>
          <w:rFonts w:ascii="宋体" w:hAnsi="宋体" w:eastAsia="宋体" w:cs="宋体"/>
          <w:b w:val="0"/>
        </w:rPr>
        <w:t xml:space="preserve">    (2)本基金的基金管理人能够定期评价该组成部分的经营成果，以决定向其配置资源、评价其业绩；    </w:t>
      </w:r>
      <w:r>
        <w:rPr>
          <w:rFonts w:ascii="宋体" w:hAnsi="宋体" w:eastAsia="宋体" w:cs="宋体"/>
          <w:b w:val="0"/>
        </w:rPr>
        <w:cr/>
      </w:r>
      <w:r>
        <w:rPr>
          <w:rFonts w:ascii="宋体" w:hAnsi="宋体" w:eastAsia="宋体" w:cs="宋体"/>
          <w:b w:val="0"/>
        </w:rPr>
        <w:t xml:space="preserve">    (3)本基金能够取得该组成部分的财务状况、经营成果和现金流量等有关会计信息。     </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     </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1D699FB2"/>
    <w:p w14:paraId="4461B402">
      <w:r>
        <w:rPr>
          <w:rFonts w:ascii="宋体" w:hAnsi="宋体" w:eastAsia="宋体" w:cs="宋体"/>
          <w:b/>
        </w:rPr>
        <w:t>6.4.4.14 其他重要的会计政策和会计估计</w:t>
      </w:r>
    </w:p>
    <w:p w14:paraId="2BDE54B7">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    </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    </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     </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0D887EC4"/>
    <w:p w14:paraId="609E1AD8">
      <w:r>
        <w:rPr>
          <w:rFonts w:ascii="宋体" w:hAnsi="宋体" w:eastAsia="宋体" w:cs="宋体"/>
          <w:b/>
        </w:rPr>
        <w:t>6.4.5 会计政策和会计估计变更以及差错更正的说明</w:t>
      </w:r>
    </w:p>
    <w:p w14:paraId="12753E82">
      <w:r>
        <w:rPr>
          <w:rFonts w:ascii="宋体" w:hAnsi="宋体" w:eastAsia="宋体" w:cs="宋体"/>
          <w:b/>
        </w:rPr>
        <w:t>6.4.5.1 会计政策变更的说明</w:t>
      </w:r>
    </w:p>
    <w:p w14:paraId="1F1AB8C1">
      <w:pPr>
        <w:jc w:val="left"/>
      </w:pPr>
      <w:r>
        <w:rPr>
          <w:rFonts w:ascii="宋体" w:hAnsi="宋体" w:eastAsia="宋体" w:cs="宋体"/>
          <w:b w:val="0"/>
        </w:rPr>
        <w:t xml:space="preserve">    本基金本报告期未发生会计政策变更。</w:t>
      </w:r>
    </w:p>
    <w:p w14:paraId="5F1D15DD"/>
    <w:p w14:paraId="6E190536">
      <w:r>
        <w:rPr>
          <w:rFonts w:ascii="宋体" w:hAnsi="宋体" w:eastAsia="宋体" w:cs="宋体"/>
          <w:b/>
        </w:rPr>
        <w:t>6.4.5.2 会计估计变更的说明</w:t>
      </w:r>
    </w:p>
    <w:p w14:paraId="52E26542">
      <w:pPr>
        <w:jc w:val="left"/>
      </w:pPr>
      <w:r>
        <w:rPr>
          <w:rFonts w:ascii="宋体" w:hAnsi="宋体" w:eastAsia="宋体" w:cs="宋体"/>
          <w:b w:val="0"/>
        </w:rPr>
        <w:t xml:space="preserve">    本基金本报告期未发生会计估计变更。</w:t>
      </w:r>
    </w:p>
    <w:p w14:paraId="5C530690"/>
    <w:p w14:paraId="6A02D68F">
      <w:r>
        <w:rPr>
          <w:rFonts w:ascii="宋体" w:hAnsi="宋体" w:eastAsia="宋体" w:cs="宋体"/>
          <w:b/>
        </w:rPr>
        <w:t>6.4.5.3 差错更正的说明</w:t>
      </w:r>
    </w:p>
    <w:p w14:paraId="4E9B2560">
      <w:pPr>
        <w:jc w:val="left"/>
      </w:pPr>
      <w:r>
        <w:rPr>
          <w:rFonts w:ascii="宋体" w:hAnsi="宋体" w:eastAsia="宋体" w:cs="宋体"/>
          <w:b w:val="0"/>
        </w:rPr>
        <w:t xml:space="preserve">    本基金在本报告期间无须说明的会计差错更正。</w:t>
      </w:r>
    </w:p>
    <w:p w14:paraId="3E810217"/>
    <w:p w14:paraId="1672DA69"/>
    <w:p w14:paraId="499244F5">
      <w:r>
        <w:rPr>
          <w:rFonts w:ascii="宋体" w:hAnsi="宋体" w:eastAsia="宋体" w:cs="宋体"/>
          <w:b/>
        </w:rPr>
        <w:t>6.4.6 税项</w:t>
      </w:r>
    </w:p>
    <w:p w14:paraId="0A01F322">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     </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     </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     </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     </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     </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     </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6C78AD99"/>
    <w:p w14:paraId="3305EF4F">
      <w:r>
        <w:rPr>
          <w:rFonts w:ascii="宋体" w:hAnsi="宋体" w:eastAsia="宋体" w:cs="宋体"/>
          <w:b/>
        </w:rPr>
        <w:t>6.4.7 重要财务报表项目的说明</w:t>
      </w:r>
    </w:p>
    <w:p w14:paraId="2B893CD0">
      <w:r>
        <w:rPr>
          <w:rFonts w:ascii="宋体" w:hAnsi="宋体" w:eastAsia="宋体" w:cs="宋体"/>
          <w:b/>
        </w:rPr>
        <w:t>6.4.7.1 货币资金</w:t>
      </w:r>
    </w:p>
    <w:p w14:paraId="7CDD0A3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641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3B30392F">
            <w:pPr>
              <w:spacing w:line="240" w:lineRule="auto"/>
              <w:jc w:val="center"/>
            </w:pPr>
            <w:r>
              <w:rPr>
                <w:rFonts w:ascii="宋体" w:hAnsi="宋体" w:eastAsia="宋体" w:cs="宋体"/>
                <w:b w:val="0"/>
              </w:rPr>
              <w:t>项目</w:t>
            </w:r>
          </w:p>
        </w:tc>
        <w:tc>
          <w:tcPr>
            <w:tcW w:w="2308" w:type="pct"/>
            <w:shd w:val="clear" w:color="auto" w:fill="D9D9D9"/>
          </w:tcPr>
          <w:p w14:paraId="425744C5">
            <w:pPr>
              <w:spacing w:line="240" w:lineRule="auto"/>
              <w:jc w:val="center"/>
            </w:pPr>
            <w:r>
              <w:rPr>
                <w:rFonts w:ascii="宋体" w:hAnsi="宋体" w:eastAsia="宋体" w:cs="宋体"/>
                <w:b w:val="0"/>
              </w:rPr>
              <w:t>本期末2025年06月30日</w:t>
            </w:r>
          </w:p>
        </w:tc>
      </w:tr>
      <w:tr w14:paraId="62A7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45F8F4">
            <w:pPr>
              <w:spacing w:line="240" w:lineRule="auto"/>
              <w:jc w:val="left"/>
            </w:pPr>
            <w:r>
              <w:rPr>
                <w:rFonts w:ascii="宋体" w:hAnsi="宋体" w:eastAsia="宋体" w:cs="宋体"/>
                <w:b w:val="0"/>
              </w:rPr>
              <w:t>活期存款</w:t>
            </w:r>
          </w:p>
        </w:tc>
        <w:tc>
          <w:tcPr>
            <w:tcW w:w="0" w:type="dxa"/>
          </w:tcPr>
          <w:p w14:paraId="45B9897A">
            <w:pPr>
              <w:spacing w:line="240" w:lineRule="auto"/>
              <w:jc w:val="right"/>
            </w:pPr>
            <w:r>
              <w:rPr>
                <w:rFonts w:ascii="宋体" w:hAnsi="宋体" w:eastAsia="宋体" w:cs="宋体"/>
                <w:b w:val="0"/>
              </w:rPr>
              <w:t>43,457.84</w:t>
            </w:r>
          </w:p>
        </w:tc>
      </w:tr>
      <w:tr w14:paraId="3995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006CD9">
            <w:pPr>
              <w:spacing w:line="240" w:lineRule="auto"/>
              <w:jc w:val="left"/>
            </w:pPr>
            <w:r>
              <w:rPr>
                <w:rFonts w:ascii="宋体" w:hAnsi="宋体" w:eastAsia="宋体" w:cs="宋体"/>
                <w:b w:val="0"/>
              </w:rPr>
              <w:t>等于：本金</w:t>
            </w:r>
          </w:p>
        </w:tc>
        <w:tc>
          <w:tcPr>
            <w:tcW w:w="0" w:type="dxa"/>
          </w:tcPr>
          <w:p w14:paraId="232BACF0">
            <w:pPr>
              <w:spacing w:line="240" w:lineRule="auto"/>
              <w:jc w:val="right"/>
            </w:pPr>
            <w:r>
              <w:rPr>
                <w:rFonts w:ascii="宋体" w:hAnsi="宋体" w:eastAsia="宋体" w:cs="宋体"/>
                <w:b w:val="0"/>
              </w:rPr>
              <w:t>43,457.33</w:t>
            </w:r>
          </w:p>
        </w:tc>
      </w:tr>
      <w:tr w14:paraId="2309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619207">
            <w:pPr>
              <w:spacing w:line="240" w:lineRule="auto"/>
              <w:jc w:val="left"/>
            </w:pPr>
            <w:r>
              <w:rPr>
                <w:rFonts w:ascii="宋体" w:hAnsi="宋体" w:eastAsia="宋体" w:cs="宋体"/>
                <w:b w:val="0"/>
              </w:rPr>
              <w:t xml:space="preserve">      加：应计利息</w:t>
            </w:r>
          </w:p>
        </w:tc>
        <w:tc>
          <w:tcPr>
            <w:tcW w:w="0" w:type="dxa"/>
          </w:tcPr>
          <w:p w14:paraId="78EC3CEF">
            <w:pPr>
              <w:spacing w:line="240" w:lineRule="auto"/>
              <w:jc w:val="right"/>
            </w:pPr>
            <w:r>
              <w:rPr>
                <w:rFonts w:ascii="宋体" w:hAnsi="宋体" w:eastAsia="宋体" w:cs="宋体"/>
                <w:b w:val="0"/>
              </w:rPr>
              <w:t>0.51</w:t>
            </w:r>
          </w:p>
        </w:tc>
      </w:tr>
      <w:tr w14:paraId="632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6027DD">
            <w:pPr>
              <w:spacing w:line="240" w:lineRule="auto"/>
              <w:jc w:val="left"/>
            </w:pPr>
            <w:r>
              <w:rPr>
                <w:rFonts w:ascii="宋体" w:hAnsi="宋体" w:eastAsia="宋体" w:cs="宋体"/>
                <w:b w:val="0"/>
              </w:rPr>
              <w:t xml:space="preserve">      减：坏账准备</w:t>
            </w:r>
          </w:p>
        </w:tc>
        <w:tc>
          <w:tcPr>
            <w:tcW w:w="0" w:type="dxa"/>
          </w:tcPr>
          <w:p w14:paraId="1AD87EAF">
            <w:pPr>
              <w:spacing w:line="240" w:lineRule="auto"/>
              <w:jc w:val="right"/>
            </w:pPr>
            <w:r>
              <w:rPr>
                <w:rFonts w:ascii="宋体" w:hAnsi="宋体" w:eastAsia="宋体" w:cs="宋体"/>
                <w:b w:val="0"/>
              </w:rPr>
              <w:t>-</w:t>
            </w:r>
          </w:p>
        </w:tc>
      </w:tr>
      <w:tr w14:paraId="60E2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D7A388">
            <w:pPr>
              <w:spacing w:line="240" w:lineRule="auto"/>
              <w:jc w:val="left"/>
            </w:pPr>
            <w:r>
              <w:rPr>
                <w:rFonts w:ascii="宋体" w:hAnsi="宋体" w:eastAsia="宋体" w:cs="宋体"/>
                <w:b w:val="0"/>
              </w:rPr>
              <w:t>定期存款</w:t>
            </w:r>
          </w:p>
        </w:tc>
        <w:tc>
          <w:tcPr>
            <w:tcW w:w="0" w:type="dxa"/>
          </w:tcPr>
          <w:p w14:paraId="3A841C5A">
            <w:pPr>
              <w:spacing w:line="240" w:lineRule="auto"/>
              <w:jc w:val="right"/>
            </w:pPr>
            <w:r>
              <w:rPr>
                <w:rFonts w:ascii="宋体" w:hAnsi="宋体" w:eastAsia="宋体" w:cs="宋体"/>
                <w:b w:val="0"/>
              </w:rPr>
              <w:t>-</w:t>
            </w:r>
          </w:p>
        </w:tc>
      </w:tr>
      <w:tr w14:paraId="19BC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C5070D">
            <w:pPr>
              <w:spacing w:line="240" w:lineRule="auto"/>
              <w:jc w:val="left"/>
            </w:pPr>
            <w:r>
              <w:rPr>
                <w:rFonts w:ascii="宋体" w:hAnsi="宋体" w:eastAsia="宋体" w:cs="宋体"/>
                <w:b w:val="0"/>
              </w:rPr>
              <w:t>等于：本金</w:t>
            </w:r>
          </w:p>
        </w:tc>
        <w:tc>
          <w:tcPr>
            <w:tcW w:w="0" w:type="dxa"/>
          </w:tcPr>
          <w:p w14:paraId="4EB990F4">
            <w:pPr>
              <w:spacing w:line="240" w:lineRule="auto"/>
              <w:jc w:val="right"/>
            </w:pPr>
            <w:r>
              <w:rPr>
                <w:rFonts w:ascii="宋体" w:hAnsi="宋体" w:eastAsia="宋体" w:cs="宋体"/>
                <w:b w:val="0"/>
              </w:rPr>
              <w:t>-</w:t>
            </w:r>
          </w:p>
        </w:tc>
      </w:tr>
      <w:tr w14:paraId="68B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D73EB8">
            <w:pPr>
              <w:spacing w:line="240" w:lineRule="auto"/>
              <w:jc w:val="left"/>
            </w:pPr>
            <w:r>
              <w:rPr>
                <w:rFonts w:ascii="宋体" w:hAnsi="宋体" w:eastAsia="宋体" w:cs="宋体"/>
                <w:b w:val="0"/>
              </w:rPr>
              <w:t xml:space="preserve">      加：应计利息</w:t>
            </w:r>
          </w:p>
        </w:tc>
        <w:tc>
          <w:tcPr>
            <w:tcW w:w="0" w:type="dxa"/>
          </w:tcPr>
          <w:p w14:paraId="4E36DB9F">
            <w:pPr>
              <w:spacing w:line="240" w:lineRule="auto"/>
              <w:jc w:val="right"/>
            </w:pPr>
            <w:r>
              <w:rPr>
                <w:rFonts w:ascii="宋体" w:hAnsi="宋体" w:eastAsia="宋体" w:cs="宋体"/>
                <w:b w:val="0"/>
              </w:rPr>
              <w:t>-</w:t>
            </w:r>
          </w:p>
        </w:tc>
      </w:tr>
      <w:tr w14:paraId="741D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6C9169">
            <w:pPr>
              <w:spacing w:line="240" w:lineRule="auto"/>
              <w:jc w:val="left"/>
            </w:pPr>
            <w:r>
              <w:rPr>
                <w:rFonts w:ascii="宋体" w:hAnsi="宋体" w:eastAsia="宋体" w:cs="宋体"/>
                <w:b w:val="0"/>
              </w:rPr>
              <w:t xml:space="preserve">      减：坏账准备</w:t>
            </w:r>
          </w:p>
        </w:tc>
        <w:tc>
          <w:tcPr>
            <w:tcW w:w="0" w:type="dxa"/>
          </w:tcPr>
          <w:p w14:paraId="06E0FB45">
            <w:pPr>
              <w:spacing w:line="240" w:lineRule="auto"/>
              <w:jc w:val="right"/>
            </w:pPr>
            <w:r>
              <w:rPr>
                <w:rFonts w:ascii="宋体" w:hAnsi="宋体" w:eastAsia="宋体" w:cs="宋体"/>
                <w:b w:val="0"/>
              </w:rPr>
              <w:t>-</w:t>
            </w:r>
          </w:p>
        </w:tc>
      </w:tr>
      <w:tr w14:paraId="6449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EFDA87">
            <w:pPr>
              <w:spacing w:line="240" w:lineRule="auto"/>
              <w:jc w:val="left"/>
            </w:pPr>
            <w:r>
              <w:rPr>
                <w:rFonts w:ascii="宋体" w:hAnsi="宋体" w:eastAsia="宋体" w:cs="宋体"/>
                <w:b w:val="0"/>
              </w:rPr>
              <w:t>其中：存款期限1个月以内</w:t>
            </w:r>
          </w:p>
        </w:tc>
        <w:tc>
          <w:tcPr>
            <w:tcW w:w="0" w:type="dxa"/>
          </w:tcPr>
          <w:p w14:paraId="450CF8FA">
            <w:pPr>
              <w:spacing w:line="240" w:lineRule="auto"/>
              <w:jc w:val="right"/>
            </w:pPr>
            <w:r>
              <w:rPr>
                <w:rFonts w:ascii="宋体" w:hAnsi="宋体" w:eastAsia="宋体" w:cs="宋体"/>
                <w:b w:val="0"/>
              </w:rPr>
              <w:t>-</w:t>
            </w:r>
          </w:p>
        </w:tc>
      </w:tr>
      <w:tr w14:paraId="2CFA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03BEBD">
            <w:pPr>
              <w:spacing w:line="240" w:lineRule="auto"/>
              <w:jc w:val="left"/>
            </w:pPr>
            <w:r>
              <w:rPr>
                <w:rFonts w:ascii="宋体" w:hAnsi="宋体" w:eastAsia="宋体" w:cs="宋体"/>
                <w:b w:val="0"/>
              </w:rPr>
              <w:t xml:space="preserve">      存款期限1-3个月</w:t>
            </w:r>
          </w:p>
        </w:tc>
        <w:tc>
          <w:tcPr>
            <w:tcW w:w="0" w:type="dxa"/>
          </w:tcPr>
          <w:p w14:paraId="0D969D74">
            <w:pPr>
              <w:spacing w:line="240" w:lineRule="auto"/>
              <w:jc w:val="right"/>
            </w:pPr>
            <w:r>
              <w:rPr>
                <w:rFonts w:ascii="宋体" w:hAnsi="宋体" w:eastAsia="宋体" w:cs="宋体"/>
                <w:b w:val="0"/>
              </w:rPr>
              <w:t>-</w:t>
            </w:r>
          </w:p>
        </w:tc>
      </w:tr>
      <w:tr w14:paraId="0D1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EA1CC6">
            <w:pPr>
              <w:spacing w:line="240" w:lineRule="auto"/>
              <w:jc w:val="left"/>
            </w:pPr>
            <w:r>
              <w:rPr>
                <w:rFonts w:ascii="宋体" w:hAnsi="宋体" w:eastAsia="宋体" w:cs="宋体"/>
                <w:b w:val="0"/>
              </w:rPr>
              <w:t xml:space="preserve">      存款期限3个月以上</w:t>
            </w:r>
          </w:p>
        </w:tc>
        <w:tc>
          <w:tcPr>
            <w:tcW w:w="0" w:type="dxa"/>
          </w:tcPr>
          <w:p w14:paraId="1614E557">
            <w:pPr>
              <w:spacing w:line="240" w:lineRule="auto"/>
              <w:jc w:val="right"/>
            </w:pPr>
            <w:r>
              <w:rPr>
                <w:rFonts w:ascii="宋体" w:hAnsi="宋体" w:eastAsia="宋体" w:cs="宋体"/>
                <w:b w:val="0"/>
              </w:rPr>
              <w:t>-</w:t>
            </w:r>
          </w:p>
        </w:tc>
      </w:tr>
      <w:tr w14:paraId="3AE3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AEC694">
            <w:pPr>
              <w:spacing w:line="240" w:lineRule="auto"/>
              <w:jc w:val="left"/>
            </w:pPr>
            <w:r>
              <w:rPr>
                <w:rFonts w:ascii="宋体" w:hAnsi="宋体" w:eastAsia="宋体" w:cs="宋体"/>
                <w:b w:val="0"/>
              </w:rPr>
              <w:t>其他存款</w:t>
            </w:r>
          </w:p>
        </w:tc>
        <w:tc>
          <w:tcPr>
            <w:tcW w:w="0" w:type="dxa"/>
          </w:tcPr>
          <w:p w14:paraId="7DABCA38">
            <w:pPr>
              <w:spacing w:line="240" w:lineRule="auto"/>
              <w:jc w:val="right"/>
            </w:pPr>
            <w:r>
              <w:rPr>
                <w:rFonts w:ascii="宋体" w:hAnsi="宋体" w:eastAsia="宋体" w:cs="宋体"/>
                <w:b w:val="0"/>
              </w:rPr>
              <w:t>285,856.37</w:t>
            </w:r>
          </w:p>
        </w:tc>
      </w:tr>
      <w:tr w14:paraId="2522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FF0214">
            <w:pPr>
              <w:spacing w:line="240" w:lineRule="auto"/>
              <w:jc w:val="left"/>
            </w:pPr>
            <w:r>
              <w:rPr>
                <w:rFonts w:ascii="宋体" w:hAnsi="宋体" w:eastAsia="宋体" w:cs="宋体"/>
                <w:b w:val="0"/>
              </w:rPr>
              <w:t>等于：本金</w:t>
            </w:r>
          </w:p>
        </w:tc>
        <w:tc>
          <w:tcPr>
            <w:tcW w:w="0" w:type="dxa"/>
          </w:tcPr>
          <w:p w14:paraId="70E02DC4">
            <w:pPr>
              <w:spacing w:line="240" w:lineRule="auto"/>
              <w:jc w:val="right"/>
            </w:pPr>
            <w:r>
              <w:rPr>
                <w:rFonts w:ascii="宋体" w:hAnsi="宋体" w:eastAsia="宋体" w:cs="宋体"/>
                <w:b w:val="0"/>
              </w:rPr>
              <w:t>285,852.56</w:t>
            </w:r>
          </w:p>
        </w:tc>
      </w:tr>
      <w:tr w14:paraId="11C5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FF9605">
            <w:pPr>
              <w:spacing w:line="240" w:lineRule="auto"/>
              <w:jc w:val="left"/>
            </w:pPr>
            <w:r>
              <w:rPr>
                <w:rFonts w:ascii="宋体" w:hAnsi="宋体" w:eastAsia="宋体" w:cs="宋体"/>
                <w:b w:val="0"/>
              </w:rPr>
              <w:t xml:space="preserve">      加：应计利息</w:t>
            </w:r>
          </w:p>
        </w:tc>
        <w:tc>
          <w:tcPr>
            <w:tcW w:w="0" w:type="dxa"/>
          </w:tcPr>
          <w:p w14:paraId="4E06DF22">
            <w:pPr>
              <w:spacing w:line="240" w:lineRule="auto"/>
              <w:jc w:val="right"/>
            </w:pPr>
            <w:r>
              <w:rPr>
                <w:rFonts w:ascii="宋体" w:hAnsi="宋体" w:eastAsia="宋体" w:cs="宋体"/>
                <w:b w:val="0"/>
              </w:rPr>
              <w:t>3.81</w:t>
            </w:r>
          </w:p>
        </w:tc>
      </w:tr>
      <w:tr w14:paraId="3BA6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6F67DE">
            <w:pPr>
              <w:spacing w:line="240" w:lineRule="auto"/>
              <w:jc w:val="left"/>
            </w:pPr>
            <w:r>
              <w:rPr>
                <w:rFonts w:ascii="宋体" w:hAnsi="宋体" w:eastAsia="宋体" w:cs="宋体"/>
                <w:b w:val="0"/>
              </w:rPr>
              <w:t xml:space="preserve">      减：坏账准备</w:t>
            </w:r>
          </w:p>
        </w:tc>
        <w:tc>
          <w:tcPr>
            <w:tcW w:w="0" w:type="dxa"/>
          </w:tcPr>
          <w:p w14:paraId="498CDFDE">
            <w:pPr>
              <w:spacing w:line="240" w:lineRule="auto"/>
              <w:jc w:val="right"/>
            </w:pPr>
            <w:r>
              <w:rPr>
                <w:rFonts w:ascii="宋体" w:hAnsi="宋体" w:eastAsia="宋体" w:cs="宋体"/>
                <w:b w:val="0"/>
              </w:rPr>
              <w:t>-</w:t>
            </w:r>
          </w:p>
        </w:tc>
      </w:tr>
      <w:tr w14:paraId="7696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DF3858">
            <w:pPr>
              <w:spacing w:line="240" w:lineRule="auto"/>
              <w:jc w:val="center"/>
            </w:pPr>
            <w:r>
              <w:rPr>
                <w:rFonts w:ascii="宋体" w:hAnsi="宋体" w:eastAsia="宋体" w:cs="宋体"/>
                <w:b w:val="0"/>
              </w:rPr>
              <w:t>合计</w:t>
            </w:r>
          </w:p>
        </w:tc>
        <w:tc>
          <w:tcPr>
            <w:tcW w:w="0" w:type="dxa"/>
          </w:tcPr>
          <w:p w14:paraId="1AA62D29">
            <w:pPr>
              <w:spacing w:line="240" w:lineRule="auto"/>
              <w:jc w:val="right"/>
            </w:pPr>
            <w:r>
              <w:rPr>
                <w:rFonts w:ascii="宋体" w:hAnsi="宋体" w:eastAsia="宋体" w:cs="宋体"/>
                <w:b w:val="0"/>
              </w:rPr>
              <w:t>329,314.21</w:t>
            </w:r>
          </w:p>
        </w:tc>
      </w:tr>
    </w:tbl>
    <w:p w14:paraId="39039472">
      <w:r>
        <w:rPr>
          <w:rFonts w:ascii="宋体" w:hAnsi="宋体" w:eastAsia="宋体" w:cs="宋体"/>
          <w:b w:val="0"/>
        </w:rPr>
        <w:t>注：其他存款本期末余额为存放在证券经纪商基金专用证券账户的证券交易结算资金。</w:t>
      </w:r>
    </w:p>
    <w:p w14:paraId="21A270AC"/>
    <w:p w14:paraId="19973F47">
      <w:r>
        <w:rPr>
          <w:rFonts w:ascii="宋体" w:hAnsi="宋体" w:eastAsia="宋体" w:cs="宋体"/>
          <w:b/>
        </w:rPr>
        <w:t>6.4.7.2 交易性金融资产</w:t>
      </w:r>
    </w:p>
    <w:p w14:paraId="37BAA7F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28"/>
        <w:gridCol w:w="1787"/>
        <w:gridCol w:w="1787"/>
        <w:gridCol w:w="1787"/>
        <w:gridCol w:w="1783"/>
      </w:tblGrid>
      <w:tr w14:paraId="5944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2AE76959">
            <w:pPr>
              <w:spacing w:line="240" w:lineRule="auto"/>
              <w:jc w:val="center"/>
            </w:pPr>
            <w:r>
              <w:rPr>
                <w:rFonts w:ascii="宋体" w:hAnsi="宋体" w:eastAsia="宋体" w:cs="宋体"/>
                <w:b w:val="0"/>
              </w:rPr>
              <w:t>项目</w:t>
            </w:r>
          </w:p>
        </w:tc>
        <w:tc>
          <w:tcPr>
            <w:tcW w:w="3846" w:type="pct"/>
            <w:gridSpan w:val="4"/>
            <w:shd w:val="clear" w:color="auto" w:fill="D9D9D9"/>
          </w:tcPr>
          <w:p w14:paraId="541A0047">
            <w:pPr>
              <w:spacing w:line="240" w:lineRule="auto"/>
              <w:jc w:val="center"/>
            </w:pPr>
            <w:r>
              <w:rPr>
                <w:rFonts w:ascii="宋体" w:hAnsi="宋体" w:eastAsia="宋体" w:cs="宋体"/>
                <w:b w:val="0"/>
              </w:rPr>
              <w:t>本期末2025年06月30日</w:t>
            </w:r>
          </w:p>
        </w:tc>
      </w:tr>
      <w:tr w14:paraId="11B2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30E2A6E3"/>
        </w:tc>
        <w:tc>
          <w:tcPr>
            <w:tcW w:w="962" w:type="pct"/>
            <w:shd w:val="clear" w:color="auto" w:fill="D9D9D9"/>
          </w:tcPr>
          <w:p w14:paraId="2908DAD0">
            <w:pPr>
              <w:spacing w:line="240" w:lineRule="auto"/>
              <w:jc w:val="center"/>
            </w:pPr>
            <w:r>
              <w:rPr>
                <w:rFonts w:ascii="宋体" w:hAnsi="宋体" w:eastAsia="宋体" w:cs="宋体"/>
                <w:b w:val="0"/>
              </w:rPr>
              <w:t>成本</w:t>
            </w:r>
          </w:p>
        </w:tc>
        <w:tc>
          <w:tcPr>
            <w:tcW w:w="962" w:type="pct"/>
            <w:shd w:val="clear" w:color="auto" w:fill="D9D9D9"/>
          </w:tcPr>
          <w:p w14:paraId="4D31C0C8">
            <w:pPr>
              <w:spacing w:line="240" w:lineRule="auto"/>
              <w:jc w:val="center"/>
            </w:pPr>
            <w:r>
              <w:rPr>
                <w:rFonts w:ascii="宋体" w:hAnsi="宋体" w:eastAsia="宋体" w:cs="宋体"/>
                <w:b w:val="0"/>
              </w:rPr>
              <w:t>应计利息</w:t>
            </w:r>
          </w:p>
        </w:tc>
        <w:tc>
          <w:tcPr>
            <w:tcW w:w="962" w:type="pct"/>
            <w:shd w:val="clear" w:color="auto" w:fill="D9D9D9"/>
          </w:tcPr>
          <w:p w14:paraId="4A1CDD00">
            <w:pPr>
              <w:spacing w:line="240" w:lineRule="auto"/>
              <w:jc w:val="center"/>
            </w:pPr>
            <w:r>
              <w:rPr>
                <w:rFonts w:ascii="宋体" w:hAnsi="宋体" w:eastAsia="宋体" w:cs="宋体"/>
                <w:b w:val="0"/>
              </w:rPr>
              <w:t>公允价值</w:t>
            </w:r>
          </w:p>
        </w:tc>
        <w:tc>
          <w:tcPr>
            <w:tcW w:w="962" w:type="pct"/>
            <w:shd w:val="clear" w:color="auto" w:fill="D9D9D9"/>
          </w:tcPr>
          <w:p w14:paraId="59246E7A">
            <w:pPr>
              <w:spacing w:line="240" w:lineRule="auto"/>
              <w:jc w:val="center"/>
            </w:pPr>
            <w:r>
              <w:rPr>
                <w:rFonts w:ascii="宋体" w:hAnsi="宋体" w:eastAsia="宋体" w:cs="宋体"/>
                <w:b w:val="0"/>
              </w:rPr>
              <w:t>公允价值变动</w:t>
            </w:r>
          </w:p>
        </w:tc>
      </w:tr>
      <w:tr w14:paraId="36D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8DA1DC1">
            <w:pPr>
              <w:spacing w:line="240" w:lineRule="auto"/>
              <w:jc w:val="left"/>
            </w:pPr>
            <w:r>
              <w:rPr>
                <w:rFonts w:ascii="宋体" w:hAnsi="宋体" w:eastAsia="宋体" w:cs="宋体"/>
                <w:b w:val="0"/>
              </w:rPr>
              <w:t>股票</w:t>
            </w:r>
          </w:p>
        </w:tc>
        <w:tc>
          <w:tcPr>
            <w:tcW w:w="0" w:type="dxa"/>
          </w:tcPr>
          <w:p w14:paraId="17690539">
            <w:pPr>
              <w:spacing w:line="240" w:lineRule="auto"/>
              <w:jc w:val="right"/>
            </w:pPr>
            <w:r>
              <w:rPr>
                <w:rFonts w:ascii="宋体" w:hAnsi="宋体" w:eastAsia="宋体" w:cs="宋体"/>
                <w:b w:val="0"/>
              </w:rPr>
              <w:t>10,851,108.45</w:t>
            </w:r>
          </w:p>
        </w:tc>
        <w:tc>
          <w:tcPr>
            <w:tcW w:w="0" w:type="dxa"/>
          </w:tcPr>
          <w:p w14:paraId="7F43996F">
            <w:pPr>
              <w:spacing w:line="240" w:lineRule="auto"/>
              <w:jc w:val="right"/>
            </w:pPr>
            <w:r>
              <w:rPr>
                <w:rFonts w:ascii="宋体" w:hAnsi="宋体" w:eastAsia="宋体" w:cs="宋体"/>
                <w:b w:val="0"/>
              </w:rPr>
              <w:t>-</w:t>
            </w:r>
          </w:p>
        </w:tc>
        <w:tc>
          <w:tcPr>
            <w:tcW w:w="0" w:type="dxa"/>
          </w:tcPr>
          <w:p w14:paraId="70E889B4">
            <w:pPr>
              <w:spacing w:line="240" w:lineRule="auto"/>
              <w:jc w:val="right"/>
            </w:pPr>
            <w:r>
              <w:rPr>
                <w:rFonts w:ascii="宋体" w:hAnsi="宋体" w:eastAsia="宋体" w:cs="宋体"/>
                <w:b w:val="0"/>
              </w:rPr>
              <w:t>10,924,771.58</w:t>
            </w:r>
          </w:p>
        </w:tc>
        <w:tc>
          <w:tcPr>
            <w:tcW w:w="0" w:type="dxa"/>
          </w:tcPr>
          <w:p w14:paraId="59CE8C37">
            <w:pPr>
              <w:spacing w:line="240" w:lineRule="auto"/>
              <w:jc w:val="right"/>
            </w:pPr>
            <w:r>
              <w:rPr>
                <w:rFonts w:ascii="宋体" w:hAnsi="宋体" w:eastAsia="宋体" w:cs="宋体"/>
                <w:b w:val="0"/>
              </w:rPr>
              <w:t>73,663.13</w:t>
            </w:r>
          </w:p>
        </w:tc>
      </w:tr>
      <w:tr w14:paraId="5C24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1C9D0366">
            <w:pPr>
              <w:spacing w:line="240" w:lineRule="auto"/>
              <w:jc w:val="left"/>
            </w:pPr>
            <w:r>
              <w:rPr>
                <w:rFonts w:ascii="宋体" w:hAnsi="宋体" w:eastAsia="宋体" w:cs="宋体"/>
                <w:b w:val="0"/>
              </w:rPr>
              <w:t>贵金属投资-金交所黄金合约</w:t>
            </w:r>
          </w:p>
        </w:tc>
        <w:tc>
          <w:tcPr>
            <w:tcW w:w="0" w:type="dxa"/>
          </w:tcPr>
          <w:p w14:paraId="372553E7">
            <w:pPr>
              <w:spacing w:line="240" w:lineRule="auto"/>
              <w:jc w:val="right"/>
            </w:pPr>
            <w:r>
              <w:rPr>
                <w:rFonts w:ascii="宋体" w:hAnsi="宋体" w:eastAsia="宋体" w:cs="宋体"/>
                <w:b w:val="0"/>
              </w:rPr>
              <w:t>-</w:t>
            </w:r>
          </w:p>
        </w:tc>
        <w:tc>
          <w:tcPr>
            <w:tcW w:w="0" w:type="dxa"/>
          </w:tcPr>
          <w:p w14:paraId="281A9B91">
            <w:pPr>
              <w:spacing w:line="240" w:lineRule="auto"/>
              <w:jc w:val="right"/>
            </w:pPr>
            <w:r>
              <w:rPr>
                <w:rFonts w:ascii="宋体" w:hAnsi="宋体" w:eastAsia="宋体" w:cs="宋体"/>
                <w:b w:val="0"/>
              </w:rPr>
              <w:t>-</w:t>
            </w:r>
          </w:p>
        </w:tc>
        <w:tc>
          <w:tcPr>
            <w:tcW w:w="0" w:type="dxa"/>
          </w:tcPr>
          <w:p w14:paraId="459D473C">
            <w:pPr>
              <w:spacing w:line="240" w:lineRule="auto"/>
              <w:jc w:val="right"/>
            </w:pPr>
            <w:r>
              <w:rPr>
                <w:rFonts w:ascii="宋体" w:hAnsi="宋体" w:eastAsia="宋体" w:cs="宋体"/>
                <w:b w:val="0"/>
              </w:rPr>
              <w:t>-</w:t>
            </w:r>
          </w:p>
        </w:tc>
        <w:tc>
          <w:tcPr>
            <w:tcW w:w="0" w:type="dxa"/>
          </w:tcPr>
          <w:p w14:paraId="7C476F4B">
            <w:pPr>
              <w:spacing w:line="240" w:lineRule="auto"/>
              <w:jc w:val="right"/>
            </w:pPr>
            <w:r>
              <w:rPr>
                <w:rFonts w:ascii="宋体" w:hAnsi="宋体" w:eastAsia="宋体" w:cs="宋体"/>
                <w:b w:val="0"/>
              </w:rPr>
              <w:t>-</w:t>
            </w:r>
          </w:p>
        </w:tc>
      </w:tr>
      <w:tr w14:paraId="6AF7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4149F183">
            <w:pPr>
              <w:spacing w:line="240" w:lineRule="auto"/>
              <w:jc w:val="center"/>
            </w:pPr>
            <w:r>
              <w:rPr>
                <w:rFonts w:ascii="宋体" w:hAnsi="宋体" w:eastAsia="宋体" w:cs="宋体"/>
                <w:b w:val="0"/>
              </w:rPr>
              <w:t>债券</w:t>
            </w:r>
          </w:p>
        </w:tc>
        <w:tc>
          <w:tcPr>
            <w:tcW w:w="769" w:type="pct"/>
          </w:tcPr>
          <w:p w14:paraId="4E0B8E5F">
            <w:pPr>
              <w:spacing w:line="240" w:lineRule="auto"/>
              <w:jc w:val="left"/>
            </w:pPr>
            <w:r>
              <w:rPr>
                <w:rFonts w:ascii="宋体" w:hAnsi="宋体" w:eastAsia="宋体" w:cs="宋体"/>
                <w:b w:val="0"/>
              </w:rPr>
              <w:t>交易所市场</w:t>
            </w:r>
          </w:p>
        </w:tc>
        <w:tc>
          <w:tcPr>
            <w:tcW w:w="0" w:type="dxa"/>
          </w:tcPr>
          <w:p w14:paraId="5F91AE6C">
            <w:pPr>
              <w:spacing w:line="240" w:lineRule="auto"/>
              <w:jc w:val="right"/>
            </w:pPr>
            <w:r>
              <w:rPr>
                <w:rFonts w:ascii="宋体" w:hAnsi="宋体" w:eastAsia="宋体" w:cs="宋体"/>
                <w:b w:val="0"/>
              </w:rPr>
              <w:t>599,160.00</w:t>
            </w:r>
          </w:p>
        </w:tc>
        <w:tc>
          <w:tcPr>
            <w:tcW w:w="0" w:type="dxa"/>
          </w:tcPr>
          <w:p w14:paraId="43F80E9A">
            <w:pPr>
              <w:spacing w:line="240" w:lineRule="auto"/>
              <w:jc w:val="right"/>
            </w:pPr>
            <w:r>
              <w:rPr>
                <w:rFonts w:ascii="宋体" w:hAnsi="宋体" w:eastAsia="宋体" w:cs="宋体"/>
                <w:b w:val="0"/>
              </w:rPr>
              <w:t>3,184.44</w:t>
            </w:r>
          </w:p>
        </w:tc>
        <w:tc>
          <w:tcPr>
            <w:tcW w:w="0" w:type="dxa"/>
          </w:tcPr>
          <w:p w14:paraId="5089E965">
            <w:pPr>
              <w:spacing w:line="240" w:lineRule="auto"/>
              <w:jc w:val="right"/>
            </w:pPr>
            <w:r>
              <w:rPr>
                <w:rFonts w:ascii="宋体" w:hAnsi="宋体" w:eastAsia="宋体" w:cs="宋体"/>
                <w:b w:val="0"/>
              </w:rPr>
              <w:t>602,644.44</w:t>
            </w:r>
          </w:p>
        </w:tc>
        <w:tc>
          <w:tcPr>
            <w:tcW w:w="0" w:type="dxa"/>
          </w:tcPr>
          <w:p w14:paraId="6B2627EB">
            <w:pPr>
              <w:spacing w:line="240" w:lineRule="auto"/>
              <w:jc w:val="right"/>
            </w:pPr>
            <w:r>
              <w:rPr>
                <w:rFonts w:ascii="宋体" w:hAnsi="宋体" w:eastAsia="宋体" w:cs="宋体"/>
                <w:b w:val="0"/>
              </w:rPr>
              <w:t>300.00</w:t>
            </w:r>
          </w:p>
        </w:tc>
      </w:tr>
      <w:tr w14:paraId="0A81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41B81F1"/>
        </w:tc>
        <w:tc>
          <w:tcPr>
            <w:tcW w:w="0" w:type="dxa"/>
          </w:tcPr>
          <w:p w14:paraId="514E739D">
            <w:pPr>
              <w:spacing w:line="240" w:lineRule="auto"/>
              <w:jc w:val="left"/>
            </w:pPr>
            <w:r>
              <w:rPr>
                <w:rFonts w:ascii="宋体" w:hAnsi="宋体" w:eastAsia="宋体" w:cs="宋体"/>
                <w:b w:val="0"/>
              </w:rPr>
              <w:t>银行间市场</w:t>
            </w:r>
          </w:p>
        </w:tc>
        <w:tc>
          <w:tcPr>
            <w:tcW w:w="0" w:type="dxa"/>
          </w:tcPr>
          <w:p w14:paraId="366ED3A3">
            <w:pPr>
              <w:spacing w:line="240" w:lineRule="auto"/>
              <w:jc w:val="right"/>
            </w:pPr>
            <w:r>
              <w:rPr>
                <w:rFonts w:ascii="宋体" w:hAnsi="宋体" w:eastAsia="宋体" w:cs="宋体"/>
                <w:b w:val="0"/>
              </w:rPr>
              <w:t>-</w:t>
            </w:r>
          </w:p>
        </w:tc>
        <w:tc>
          <w:tcPr>
            <w:tcW w:w="0" w:type="dxa"/>
          </w:tcPr>
          <w:p w14:paraId="4055A24D">
            <w:pPr>
              <w:spacing w:line="240" w:lineRule="auto"/>
              <w:jc w:val="right"/>
            </w:pPr>
            <w:r>
              <w:rPr>
                <w:rFonts w:ascii="宋体" w:hAnsi="宋体" w:eastAsia="宋体" w:cs="宋体"/>
                <w:b w:val="0"/>
              </w:rPr>
              <w:t>-</w:t>
            </w:r>
          </w:p>
        </w:tc>
        <w:tc>
          <w:tcPr>
            <w:tcW w:w="0" w:type="dxa"/>
          </w:tcPr>
          <w:p w14:paraId="7A9265D1">
            <w:pPr>
              <w:spacing w:line="240" w:lineRule="auto"/>
              <w:jc w:val="right"/>
            </w:pPr>
            <w:r>
              <w:rPr>
                <w:rFonts w:ascii="宋体" w:hAnsi="宋体" w:eastAsia="宋体" w:cs="宋体"/>
                <w:b w:val="0"/>
              </w:rPr>
              <w:t>-</w:t>
            </w:r>
          </w:p>
        </w:tc>
        <w:tc>
          <w:tcPr>
            <w:tcW w:w="0" w:type="dxa"/>
          </w:tcPr>
          <w:p w14:paraId="667FD1BA">
            <w:pPr>
              <w:spacing w:line="240" w:lineRule="auto"/>
              <w:jc w:val="right"/>
            </w:pPr>
            <w:r>
              <w:rPr>
                <w:rFonts w:ascii="宋体" w:hAnsi="宋体" w:eastAsia="宋体" w:cs="宋体"/>
                <w:b w:val="0"/>
              </w:rPr>
              <w:t>-</w:t>
            </w:r>
          </w:p>
        </w:tc>
      </w:tr>
      <w:tr w14:paraId="24EF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C726C9"/>
        </w:tc>
        <w:tc>
          <w:tcPr>
            <w:tcW w:w="0" w:type="dxa"/>
          </w:tcPr>
          <w:p w14:paraId="5203B56C">
            <w:pPr>
              <w:spacing w:line="240" w:lineRule="auto"/>
              <w:jc w:val="left"/>
            </w:pPr>
            <w:r>
              <w:rPr>
                <w:rFonts w:ascii="宋体" w:hAnsi="宋体" w:eastAsia="宋体" w:cs="宋体"/>
                <w:b w:val="0"/>
              </w:rPr>
              <w:t>合计</w:t>
            </w:r>
          </w:p>
        </w:tc>
        <w:tc>
          <w:tcPr>
            <w:tcW w:w="0" w:type="dxa"/>
          </w:tcPr>
          <w:p w14:paraId="2736D239">
            <w:pPr>
              <w:spacing w:line="240" w:lineRule="auto"/>
              <w:jc w:val="right"/>
            </w:pPr>
            <w:r>
              <w:rPr>
                <w:rFonts w:ascii="宋体" w:hAnsi="宋体" w:eastAsia="宋体" w:cs="宋体"/>
                <w:b w:val="0"/>
              </w:rPr>
              <w:t>599,160.00</w:t>
            </w:r>
          </w:p>
        </w:tc>
        <w:tc>
          <w:tcPr>
            <w:tcW w:w="0" w:type="dxa"/>
          </w:tcPr>
          <w:p w14:paraId="60690ECA">
            <w:pPr>
              <w:spacing w:line="240" w:lineRule="auto"/>
              <w:jc w:val="right"/>
            </w:pPr>
            <w:r>
              <w:rPr>
                <w:rFonts w:ascii="宋体" w:hAnsi="宋体" w:eastAsia="宋体" w:cs="宋体"/>
                <w:b w:val="0"/>
              </w:rPr>
              <w:t>3,184.44</w:t>
            </w:r>
          </w:p>
        </w:tc>
        <w:tc>
          <w:tcPr>
            <w:tcW w:w="0" w:type="dxa"/>
          </w:tcPr>
          <w:p w14:paraId="7565D26B">
            <w:pPr>
              <w:spacing w:line="240" w:lineRule="auto"/>
              <w:jc w:val="right"/>
            </w:pPr>
            <w:r>
              <w:rPr>
                <w:rFonts w:ascii="宋体" w:hAnsi="宋体" w:eastAsia="宋体" w:cs="宋体"/>
                <w:b w:val="0"/>
              </w:rPr>
              <w:t>602,644.44</w:t>
            </w:r>
          </w:p>
        </w:tc>
        <w:tc>
          <w:tcPr>
            <w:tcW w:w="0" w:type="dxa"/>
          </w:tcPr>
          <w:p w14:paraId="57A62B5F">
            <w:pPr>
              <w:spacing w:line="240" w:lineRule="auto"/>
              <w:jc w:val="right"/>
            </w:pPr>
            <w:r>
              <w:rPr>
                <w:rFonts w:ascii="宋体" w:hAnsi="宋体" w:eastAsia="宋体" w:cs="宋体"/>
                <w:b w:val="0"/>
              </w:rPr>
              <w:t>300.00</w:t>
            </w:r>
          </w:p>
        </w:tc>
      </w:tr>
      <w:tr w14:paraId="1F7D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062493B">
            <w:pPr>
              <w:spacing w:line="240" w:lineRule="auto"/>
              <w:jc w:val="left"/>
            </w:pPr>
            <w:r>
              <w:rPr>
                <w:rFonts w:ascii="宋体" w:hAnsi="宋体" w:eastAsia="宋体" w:cs="宋体"/>
                <w:b w:val="0"/>
              </w:rPr>
              <w:t>资产支持证券</w:t>
            </w:r>
          </w:p>
        </w:tc>
        <w:tc>
          <w:tcPr>
            <w:tcW w:w="0" w:type="dxa"/>
          </w:tcPr>
          <w:p w14:paraId="361B6B76">
            <w:pPr>
              <w:spacing w:line="240" w:lineRule="auto"/>
              <w:jc w:val="right"/>
            </w:pPr>
            <w:r>
              <w:rPr>
                <w:rFonts w:ascii="宋体" w:hAnsi="宋体" w:eastAsia="宋体" w:cs="宋体"/>
                <w:b w:val="0"/>
              </w:rPr>
              <w:t>-</w:t>
            </w:r>
          </w:p>
        </w:tc>
        <w:tc>
          <w:tcPr>
            <w:tcW w:w="0" w:type="dxa"/>
          </w:tcPr>
          <w:p w14:paraId="1CF406E0">
            <w:pPr>
              <w:spacing w:line="240" w:lineRule="auto"/>
              <w:jc w:val="right"/>
            </w:pPr>
            <w:r>
              <w:rPr>
                <w:rFonts w:ascii="宋体" w:hAnsi="宋体" w:eastAsia="宋体" w:cs="宋体"/>
                <w:b w:val="0"/>
              </w:rPr>
              <w:t>-</w:t>
            </w:r>
          </w:p>
        </w:tc>
        <w:tc>
          <w:tcPr>
            <w:tcW w:w="0" w:type="dxa"/>
          </w:tcPr>
          <w:p w14:paraId="2DDDF0A0">
            <w:pPr>
              <w:spacing w:line="240" w:lineRule="auto"/>
              <w:jc w:val="right"/>
            </w:pPr>
            <w:r>
              <w:rPr>
                <w:rFonts w:ascii="宋体" w:hAnsi="宋体" w:eastAsia="宋体" w:cs="宋体"/>
                <w:b w:val="0"/>
              </w:rPr>
              <w:t>-</w:t>
            </w:r>
          </w:p>
        </w:tc>
        <w:tc>
          <w:tcPr>
            <w:tcW w:w="0" w:type="dxa"/>
          </w:tcPr>
          <w:p w14:paraId="6C017900">
            <w:pPr>
              <w:spacing w:line="240" w:lineRule="auto"/>
              <w:jc w:val="right"/>
            </w:pPr>
            <w:r>
              <w:rPr>
                <w:rFonts w:ascii="宋体" w:hAnsi="宋体" w:eastAsia="宋体" w:cs="宋体"/>
                <w:b w:val="0"/>
              </w:rPr>
              <w:t>-</w:t>
            </w:r>
          </w:p>
        </w:tc>
      </w:tr>
      <w:tr w14:paraId="7C0C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1214AA44">
            <w:pPr>
              <w:spacing w:line="240" w:lineRule="auto"/>
              <w:jc w:val="left"/>
            </w:pPr>
            <w:r>
              <w:rPr>
                <w:rFonts w:ascii="宋体" w:hAnsi="宋体" w:eastAsia="宋体" w:cs="宋体"/>
                <w:b w:val="0"/>
              </w:rPr>
              <w:t>基金</w:t>
            </w:r>
          </w:p>
        </w:tc>
        <w:tc>
          <w:tcPr>
            <w:tcW w:w="0" w:type="dxa"/>
          </w:tcPr>
          <w:p w14:paraId="4F1340AA">
            <w:pPr>
              <w:spacing w:line="240" w:lineRule="auto"/>
              <w:jc w:val="right"/>
            </w:pPr>
            <w:r>
              <w:rPr>
                <w:rFonts w:ascii="宋体" w:hAnsi="宋体" w:eastAsia="宋体" w:cs="宋体"/>
                <w:b w:val="0"/>
              </w:rPr>
              <w:t>-</w:t>
            </w:r>
          </w:p>
        </w:tc>
        <w:tc>
          <w:tcPr>
            <w:tcW w:w="0" w:type="dxa"/>
          </w:tcPr>
          <w:p w14:paraId="3168EE91">
            <w:pPr>
              <w:spacing w:line="240" w:lineRule="auto"/>
              <w:jc w:val="right"/>
            </w:pPr>
            <w:r>
              <w:rPr>
                <w:rFonts w:ascii="宋体" w:hAnsi="宋体" w:eastAsia="宋体" w:cs="宋体"/>
                <w:b w:val="0"/>
              </w:rPr>
              <w:t>-</w:t>
            </w:r>
          </w:p>
        </w:tc>
        <w:tc>
          <w:tcPr>
            <w:tcW w:w="0" w:type="dxa"/>
          </w:tcPr>
          <w:p w14:paraId="494E41F3">
            <w:pPr>
              <w:spacing w:line="240" w:lineRule="auto"/>
              <w:jc w:val="right"/>
            </w:pPr>
            <w:r>
              <w:rPr>
                <w:rFonts w:ascii="宋体" w:hAnsi="宋体" w:eastAsia="宋体" w:cs="宋体"/>
                <w:b w:val="0"/>
              </w:rPr>
              <w:t>-</w:t>
            </w:r>
          </w:p>
        </w:tc>
        <w:tc>
          <w:tcPr>
            <w:tcW w:w="0" w:type="dxa"/>
          </w:tcPr>
          <w:p w14:paraId="1BEA2182">
            <w:pPr>
              <w:spacing w:line="240" w:lineRule="auto"/>
              <w:jc w:val="right"/>
            </w:pPr>
            <w:r>
              <w:rPr>
                <w:rFonts w:ascii="宋体" w:hAnsi="宋体" w:eastAsia="宋体" w:cs="宋体"/>
                <w:b w:val="0"/>
              </w:rPr>
              <w:t>-</w:t>
            </w:r>
          </w:p>
        </w:tc>
      </w:tr>
      <w:tr w14:paraId="747C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6BC720E">
            <w:pPr>
              <w:spacing w:line="240" w:lineRule="auto"/>
              <w:jc w:val="left"/>
            </w:pPr>
            <w:r>
              <w:rPr>
                <w:rFonts w:ascii="宋体" w:hAnsi="宋体" w:eastAsia="宋体" w:cs="宋体"/>
                <w:b w:val="0"/>
              </w:rPr>
              <w:t>其他</w:t>
            </w:r>
          </w:p>
        </w:tc>
        <w:tc>
          <w:tcPr>
            <w:tcW w:w="0" w:type="dxa"/>
          </w:tcPr>
          <w:p w14:paraId="1A17AA9E">
            <w:pPr>
              <w:spacing w:line="240" w:lineRule="auto"/>
              <w:jc w:val="right"/>
            </w:pPr>
            <w:r>
              <w:rPr>
                <w:rFonts w:ascii="宋体" w:hAnsi="宋体" w:eastAsia="宋体" w:cs="宋体"/>
                <w:b w:val="0"/>
              </w:rPr>
              <w:t>-</w:t>
            </w:r>
          </w:p>
        </w:tc>
        <w:tc>
          <w:tcPr>
            <w:tcW w:w="0" w:type="dxa"/>
          </w:tcPr>
          <w:p w14:paraId="545D10C8">
            <w:pPr>
              <w:spacing w:line="240" w:lineRule="auto"/>
              <w:jc w:val="right"/>
            </w:pPr>
            <w:r>
              <w:rPr>
                <w:rFonts w:ascii="宋体" w:hAnsi="宋体" w:eastAsia="宋体" w:cs="宋体"/>
                <w:b w:val="0"/>
              </w:rPr>
              <w:t>-</w:t>
            </w:r>
          </w:p>
        </w:tc>
        <w:tc>
          <w:tcPr>
            <w:tcW w:w="0" w:type="dxa"/>
          </w:tcPr>
          <w:p w14:paraId="1EE880D6">
            <w:pPr>
              <w:spacing w:line="240" w:lineRule="auto"/>
              <w:jc w:val="right"/>
            </w:pPr>
            <w:r>
              <w:rPr>
                <w:rFonts w:ascii="宋体" w:hAnsi="宋体" w:eastAsia="宋体" w:cs="宋体"/>
                <w:b w:val="0"/>
              </w:rPr>
              <w:t>-</w:t>
            </w:r>
          </w:p>
        </w:tc>
        <w:tc>
          <w:tcPr>
            <w:tcW w:w="0" w:type="dxa"/>
          </w:tcPr>
          <w:p w14:paraId="49239466">
            <w:pPr>
              <w:spacing w:line="240" w:lineRule="auto"/>
              <w:jc w:val="right"/>
            </w:pPr>
            <w:r>
              <w:rPr>
                <w:rFonts w:ascii="宋体" w:hAnsi="宋体" w:eastAsia="宋体" w:cs="宋体"/>
                <w:b w:val="0"/>
              </w:rPr>
              <w:t>-</w:t>
            </w:r>
          </w:p>
        </w:tc>
      </w:tr>
      <w:tr w14:paraId="463A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FE0D279">
            <w:pPr>
              <w:spacing w:line="240" w:lineRule="auto"/>
              <w:jc w:val="center"/>
            </w:pPr>
            <w:r>
              <w:rPr>
                <w:rFonts w:ascii="宋体" w:hAnsi="宋体" w:eastAsia="宋体" w:cs="宋体"/>
                <w:b w:val="0"/>
              </w:rPr>
              <w:t>合计</w:t>
            </w:r>
          </w:p>
        </w:tc>
        <w:tc>
          <w:tcPr>
            <w:tcW w:w="0" w:type="dxa"/>
          </w:tcPr>
          <w:p w14:paraId="78800AEA">
            <w:pPr>
              <w:spacing w:line="240" w:lineRule="auto"/>
              <w:jc w:val="right"/>
            </w:pPr>
            <w:r>
              <w:rPr>
                <w:rFonts w:ascii="宋体" w:hAnsi="宋体" w:eastAsia="宋体" w:cs="宋体"/>
                <w:b w:val="0"/>
              </w:rPr>
              <w:t>11,450,268.45</w:t>
            </w:r>
          </w:p>
        </w:tc>
        <w:tc>
          <w:tcPr>
            <w:tcW w:w="0" w:type="dxa"/>
          </w:tcPr>
          <w:p w14:paraId="2B11D52E">
            <w:pPr>
              <w:spacing w:line="240" w:lineRule="auto"/>
              <w:jc w:val="right"/>
            </w:pPr>
            <w:r>
              <w:rPr>
                <w:rFonts w:ascii="宋体" w:hAnsi="宋体" w:eastAsia="宋体" w:cs="宋体"/>
                <w:b w:val="0"/>
              </w:rPr>
              <w:t>3,184.44</w:t>
            </w:r>
          </w:p>
        </w:tc>
        <w:tc>
          <w:tcPr>
            <w:tcW w:w="0" w:type="dxa"/>
          </w:tcPr>
          <w:p w14:paraId="022F15B7">
            <w:pPr>
              <w:spacing w:line="240" w:lineRule="auto"/>
              <w:jc w:val="right"/>
            </w:pPr>
            <w:r>
              <w:rPr>
                <w:rFonts w:ascii="宋体" w:hAnsi="宋体" w:eastAsia="宋体" w:cs="宋体"/>
                <w:b w:val="0"/>
              </w:rPr>
              <w:t>11,527,416.02</w:t>
            </w:r>
          </w:p>
        </w:tc>
        <w:tc>
          <w:tcPr>
            <w:tcW w:w="0" w:type="dxa"/>
          </w:tcPr>
          <w:p w14:paraId="058CD7F3">
            <w:pPr>
              <w:spacing w:line="240" w:lineRule="auto"/>
              <w:jc w:val="right"/>
            </w:pPr>
            <w:r>
              <w:rPr>
                <w:rFonts w:ascii="宋体" w:hAnsi="宋体" w:eastAsia="宋体" w:cs="宋体"/>
                <w:b w:val="0"/>
              </w:rPr>
              <w:t>73,963.13</w:t>
            </w:r>
          </w:p>
        </w:tc>
      </w:tr>
    </w:tbl>
    <w:p w14:paraId="4F408BD4"/>
    <w:p w14:paraId="4254604F">
      <w:r>
        <w:rPr>
          <w:rFonts w:ascii="宋体" w:hAnsi="宋体" w:eastAsia="宋体" w:cs="宋体"/>
          <w:b/>
        </w:rPr>
        <w:t>6.4.7.3 衍生金融资产/负债</w:t>
      </w:r>
    </w:p>
    <w:p w14:paraId="2314FD8B">
      <w:r>
        <w:rPr>
          <w:rFonts w:ascii="宋体" w:hAnsi="宋体" w:eastAsia="宋体" w:cs="宋体"/>
          <w:b/>
        </w:rPr>
        <w:t>6.4.7.3.1 衍生金融资产/负债期末余额</w:t>
      </w:r>
    </w:p>
    <w:p w14:paraId="1B1E4144">
      <w:r>
        <w:rPr>
          <w:rFonts w:ascii="宋体" w:hAnsi="宋体" w:eastAsia="宋体" w:cs="宋体"/>
          <w:b w:val="0"/>
        </w:rPr>
        <w:t xml:space="preserve">    本基金本报告期末未持有衍生金融资产/负债。</w:t>
      </w:r>
    </w:p>
    <w:p w14:paraId="32D2FBB4"/>
    <w:p w14:paraId="2E12A85F">
      <w:r>
        <w:rPr>
          <w:rFonts w:ascii="宋体" w:hAnsi="宋体" w:eastAsia="宋体" w:cs="宋体"/>
          <w:b/>
        </w:rPr>
        <w:t>6.4.7.4 买入返售金融资产</w:t>
      </w:r>
    </w:p>
    <w:p w14:paraId="13993BD5">
      <w:r>
        <w:rPr>
          <w:rFonts w:ascii="宋体" w:hAnsi="宋体" w:eastAsia="宋体" w:cs="宋体"/>
          <w:b/>
        </w:rPr>
        <w:t>6.4.7.4.1 各项买入返售金融资产期末余额</w:t>
      </w:r>
    </w:p>
    <w:p w14:paraId="6C5DC3CF">
      <w:r>
        <w:rPr>
          <w:rFonts w:ascii="宋体" w:hAnsi="宋体" w:eastAsia="宋体" w:cs="宋体"/>
          <w:b w:val="0"/>
        </w:rPr>
        <w:t xml:space="preserve">    本基金本报告期末未持有买入返售金融资产。</w:t>
      </w:r>
    </w:p>
    <w:p w14:paraId="69B29F4E"/>
    <w:p w14:paraId="0687289C">
      <w:r>
        <w:rPr>
          <w:rFonts w:ascii="宋体" w:hAnsi="宋体" w:eastAsia="宋体" w:cs="宋体"/>
          <w:b/>
        </w:rPr>
        <w:t>6.4.7.4.2 期末买断式逆回购交易中取得的债券</w:t>
      </w:r>
    </w:p>
    <w:p w14:paraId="165168A1">
      <w:r>
        <w:rPr>
          <w:rFonts w:ascii="宋体" w:hAnsi="宋体" w:eastAsia="宋体" w:cs="宋体"/>
          <w:b w:val="0"/>
        </w:rPr>
        <w:t xml:space="preserve">    本基金本报告期末均未持有从买断式逆回购交易中取得的债券。</w:t>
      </w:r>
    </w:p>
    <w:p w14:paraId="2D6F6705"/>
    <w:p w14:paraId="322092F8">
      <w:r>
        <w:rPr>
          <w:rFonts w:ascii="宋体" w:hAnsi="宋体" w:eastAsia="宋体" w:cs="宋体"/>
          <w:b/>
        </w:rPr>
        <w:t>6.4.7.5 其他资产</w:t>
      </w:r>
    </w:p>
    <w:p w14:paraId="5175D0C6">
      <w:r>
        <w:rPr>
          <w:rFonts w:ascii="宋体" w:hAnsi="宋体" w:eastAsia="宋体" w:cs="宋体"/>
          <w:b w:val="0"/>
        </w:rPr>
        <w:t xml:space="preserve">    本基金本报告期末未持有其他资产。</w:t>
      </w:r>
    </w:p>
    <w:p w14:paraId="2FBAB1E9"/>
    <w:p w14:paraId="700A6EA3">
      <w:r>
        <w:rPr>
          <w:rFonts w:ascii="宋体" w:hAnsi="宋体" w:eastAsia="宋体" w:cs="宋体"/>
          <w:b/>
        </w:rPr>
        <w:t>6.4.7.6 其他负债</w:t>
      </w:r>
    </w:p>
    <w:p w14:paraId="2DAD263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D76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tcPr>
          <w:p w14:paraId="0F4290D1">
            <w:pPr>
              <w:spacing w:line="240" w:lineRule="auto"/>
              <w:jc w:val="center"/>
            </w:pPr>
            <w:r>
              <w:rPr>
                <w:rFonts w:ascii="宋体" w:hAnsi="宋体" w:eastAsia="宋体" w:cs="宋体"/>
                <w:b w:val="0"/>
              </w:rPr>
              <w:t>项目</w:t>
            </w:r>
          </w:p>
        </w:tc>
        <w:tc>
          <w:tcPr>
            <w:tcW w:w="3077" w:type="pct"/>
            <w:shd w:val="clear" w:color="auto" w:fill="D9D9D9"/>
          </w:tcPr>
          <w:p w14:paraId="4A2366AD">
            <w:pPr>
              <w:spacing w:line="240" w:lineRule="auto"/>
              <w:jc w:val="center"/>
            </w:pPr>
            <w:r>
              <w:rPr>
                <w:rFonts w:ascii="宋体" w:hAnsi="宋体" w:eastAsia="宋体" w:cs="宋体"/>
                <w:b w:val="0"/>
              </w:rPr>
              <w:t>本期末2025年06月30日</w:t>
            </w:r>
          </w:p>
        </w:tc>
      </w:tr>
      <w:tr w14:paraId="43C5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8C157B">
            <w:pPr>
              <w:spacing w:line="240" w:lineRule="auto"/>
              <w:jc w:val="left"/>
            </w:pPr>
            <w:r>
              <w:rPr>
                <w:rFonts w:ascii="宋体" w:hAnsi="宋体" w:eastAsia="宋体" w:cs="宋体"/>
                <w:b w:val="0"/>
              </w:rPr>
              <w:t>应付券商交易单元保证金</w:t>
            </w:r>
          </w:p>
        </w:tc>
        <w:tc>
          <w:tcPr>
            <w:tcW w:w="0" w:type="dxa"/>
          </w:tcPr>
          <w:p w14:paraId="50C4572E">
            <w:pPr>
              <w:spacing w:line="240" w:lineRule="auto"/>
              <w:jc w:val="right"/>
            </w:pPr>
            <w:r>
              <w:rPr>
                <w:rFonts w:ascii="宋体" w:hAnsi="宋体" w:eastAsia="宋体" w:cs="宋体"/>
                <w:b w:val="0"/>
              </w:rPr>
              <w:t>-</w:t>
            </w:r>
          </w:p>
        </w:tc>
      </w:tr>
      <w:tr w14:paraId="3BE6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5B6F71">
            <w:pPr>
              <w:spacing w:line="240" w:lineRule="auto"/>
              <w:jc w:val="left"/>
            </w:pPr>
            <w:r>
              <w:rPr>
                <w:rFonts w:ascii="宋体" w:hAnsi="宋体" w:eastAsia="宋体" w:cs="宋体"/>
                <w:b w:val="0"/>
              </w:rPr>
              <w:t>应付赎回费</w:t>
            </w:r>
          </w:p>
        </w:tc>
        <w:tc>
          <w:tcPr>
            <w:tcW w:w="0" w:type="dxa"/>
          </w:tcPr>
          <w:p w14:paraId="32B928A3">
            <w:pPr>
              <w:spacing w:line="240" w:lineRule="auto"/>
              <w:jc w:val="right"/>
            </w:pPr>
            <w:r>
              <w:rPr>
                <w:rFonts w:ascii="宋体" w:hAnsi="宋体" w:eastAsia="宋体" w:cs="宋体"/>
                <w:b w:val="0"/>
              </w:rPr>
              <w:t>-</w:t>
            </w:r>
          </w:p>
        </w:tc>
      </w:tr>
      <w:tr w14:paraId="5C98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BF69D8">
            <w:pPr>
              <w:spacing w:line="240" w:lineRule="auto"/>
              <w:jc w:val="left"/>
            </w:pPr>
            <w:r>
              <w:rPr>
                <w:rFonts w:ascii="宋体" w:hAnsi="宋体" w:eastAsia="宋体" w:cs="宋体"/>
                <w:b w:val="0"/>
              </w:rPr>
              <w:t>应付证券出借违约金</w:t>
            </w:r>
          </w:p>
        </w:tc>
        <w:tc>
          <w:tcPr>
            <w:tcW w:w="0" w:type="dxa"/>
          </w:tcPr>
          <w:p w14:paraId="175FF7C4">
            <w:pPr>
              <w:spacing w:line="240" w:lineRule="auto"/>
              <w:jc w:val="right"/>
            </w:pPr>
            <w:r>
              <w:rPr>
                <w:rFonts w:ascii="宋体" w:hAnsi="宋体" w:eastAsia="宋体" w:cs="宋体"/>
                <w:b w:val="0"/>
              </w:rPr>
              <w:t>-</w:t>
            </w:r>
          </w:p>
        </w:tc>
      </w:tr>
      <w:tr w14:paraId="7419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14ADA6">
            <w:pPr>
              <w:spacing w:line="240" w:lineRule="auto"/>
              <w:jc w:val="left"/>
            </w:pPr>
            <w:r>
              <w:rPr>
                <w:rFonts w:ascii="宋体" w:hAnsi="宋体" w:eastAsia="宋体" w:cs="宋体"/>
                <w:b w:val="0"/>
              </w:rPr>
              <w:t>应付交易费用</w:t>
            </w:r>
          </w:p>
        </w:tc>
        <w:tc>
          <w:tcPr>
            <w:tcW w:w="0" w:type="dxa"/>
          </w:tcPr>
          <w:p w14:paraId="16512A17">
            <w:pPr>
              <w:spacing w:line="240" w:lineRule="auto"/>
              <w:jc w:val="right"/>
            </w:pPr>
            <w:r>
              <w:rPr>
                <w:rFonts w:ascii="宋体" w:hAnsi="宋体" w:eastAsia="宋体" w:cs="宋体"/>
                <w:b w:val="0"/>
              </w:rPr>
              <w:t>-</w:t>
            </w:r>
          </w:p>
        </w:tc>
      </w:tr>
      <w:tr w14:paraId="7211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F75989">
            <w:pPr>
              <w:spacing w:line="240" w:lineRule="auto"/>
              <w:jc w:val="left"/>
            </w:pPr>
            <w:r>
              <w:rPr>
                <w:rFonts w:ascii="宋体" w:hAnsi="宋体" w:eastAsia="宋体" w:cs="宋体"/>
                <w:b w:val="0"/>
              </w:rPr>
              <w:t>其中：交易所市场</w:t>
            </w:r>
          </w:p>
        </w:tc>
        <w:tc>
          <w:tcPr>
            <w:tcW w:w="0" w:type="dxa"/>
          </w:tcPr>
          <w:p w14:paraId="0962F3B5">
            <w:pPr>
              <w:spacing w:line="240" w:lineRule="auto"/>
              <w:jc w:val="right"/>
            </w:pPr>
            <w:r>
              <w:rPr>
                <w:rFonts w:ascii="宋体" w:hAnsi="宋体" w:eastAsia="宋体" w:cs="宋体"/>
                <w:b w:val="0"/>
              </w:rPr>
              <w:t>-</w:t>
            </w:r>
          </w:p>
        </w:tc>
      </w:tr>
      <w:tr w14:paraId="3096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F9BBFD">
            <w:pPr>
              <w:spacing w:line="240" w:lineRule="auto"/>
              <w:jc w:val="left"/>
            </w:pPr>
            <w:r>
              <w:rPr>
                <w:rFonts w:ascii="宋体" w:hAnsi="宋体" w:eastAsia="宋体" w:cs="宋体"/>
                <w:b w:val="0"/>
              </w:rPr>
              <w:t xml:space="preserve">      银行间市场</w:t>
            </w:r>
          </w:p>
        </w:tc>
        <w:tc>
          <w:tcPr>
            <w:tcW w:w="0" w:type="dxa"/>
          </w:tcPr>
          <w:p w14:paraId="4A99EEDA">
            <w:pPr>
              <w:spacing w:line="240" w:lineRule="auto"/>
              <w:jc w:val="right"/>
            </w:pPr>
            <w:r>
              <w:rPr>
                <w:rFonts w:ascii="宋体" w:hAnsi="宋体" w:eastAsia="宋体" w:cs="宋体"/>
                <w:b w:val="0"/>
              </w:rPr>
              <w:t>-</w:t>
            </w:r>
          </w:p>
        </w:tc>
      </w:tr>
      <w:tr w14:paraId="17F2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87AD83">
            <w:pPr>
              <w:spacing w:line="240" w:lineRule="auto"/>
              <w:jc w:val="left"/>
            </w:pPr>
            <w:r>
              <w:rPr>
                <w:rFonts w:ascii="宋体" w:hAnsi="宋体" w:eastAsia="宋体" w:cs="宋体"/>
                <w:b w:val="0"/>
              </w:rPr>
              <w:t>应付利息</w:t>
            </w:r>
          </w:p>
        </w:tc>
        <w:tc>
          <w:tcPr>
            <w:tcW w:w="0" w:type="dxa"/>
          </w:tcPr>
          <w:p w14:paraId="09D5E517">
            <w:pPr>
              <w:spacing w:line="240" w:lineRule="auto"/>
              <w:jc w:val="right"/>
            </w:pPr>
            <w:r>
              <w:rPr>
                <w:rFonts w:ascii="宋体" w:hAnsi="宋体" w:eastAsia="宋体" w:cs="宋体"/>
                <w:b w:val="0"/>
              </w:rPr>
              <w:t>-</w:t>
            </w:r>
          </w:p>
        </w:tc>
      </w:tr>
      <w:tr w14:paraId="370D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115905">
            <w:pPr>
              <w:spacing w:line="240" w:lineRule="auto"/>
              <w:jc w:val="left"/>
            </w:pPr>
            <w:r>
              <w:rPr>
                <w:rFonts w:ascii="宋体" w:hAnsi="宋体" w:eastAsia="宋体" w:cs="宋体"/>
                <w:b w:val="0"/>
              </w:rPr>
              <w:t>预提费用</w:t>
            </w:r>
          </w:p>
        </w:tc>
        <w:tc>
          <w:tcPr>
            <w:tcW w:w="0" w:type="dxa"/>
          </w:tcPr>
          <w:p w14:paraId="28ED0C4E">
            <w:pPr>
              <w:spacing w:line="240" w:lineRule="auto"/>
              <w:jc w:val="right"/>
            </w:pPr>
            <w:r>
              <w:rPr>
                <w:rFonts w:ascii="宋体" w:hAnsi="宋体" w:eastAsia="宋体" w:cs="宋体"/>
                <w:b w:val="0"/>
              </w:rPr>
              <w:t>7,177.00</w:t>
            </w:r>
          </w:p>
        </w:tc>
      </w:tr>
      <w:tr w14:paraId="01E2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6A036D">
            <w:pPr>
              <w:spacing w:line="240" w:lineRule="auto"/>
              <w:jc w:val="center"/>
            </w:pPr>
            <w:r>
              <w:rPr>
                <w:rFonts w:ascii="宋体" w:hAnsi="宋体" w:eastAsia="宋体" w:cs="宋体"/>
                <w:b w:val="0"/>
              </w:rPr>
              <w:t>合计</w:t>
            </w:r>
          </w:p>
        </w:tc>
        <w:tc>
          <w:tcPr>
            <w:tcW w:w="0" w:type="dxa"/>
          </w:tcPr>
          <w:p w14:paraId="7464B3AA">
            <w:pPr>
              <w:spacing w:line="240" w:lineRule="auto"/>
              <w:jc w:val="right"/>
            </w:pPr>
            <w:r>
              <w:rPr>
                <w:rFonts w:ascii="宋体" w:hAnsi="宋体" w:eastAsia="宋体" w:cs="宋体"/>
                <w:b w:val="0"/>
              </w:rPr>
              <w:t>7,177.00</w:t>
            </w:r>
          </w:p>
        </w:tc>
      </w:tr>
    </w:tbl>
    <w:p w14:paraId="00FF39A4"/>
    <w:p w14:paraId="379C6E99">
      <w:r>
        <w:rPr>
          <w:rFonts w:ascii="宋体" w:hAnsi="宋体" w:eastAsia="宋体" w:cs="宋体"/>
          <w:b/>
        </w:rPr>
        <w:t>6.4.7.7 实收基金</w:t>
      </w:r>
    </w:p>
    <w:p w14:paraId="4146C44F">
      <w:pPr>
        <w:jc w:val="left"/>
      </w:pPr>
      <w:r>
        <w:rPr>
          <w:rFonts w:ascii="宋体" w:hAnsi="宋体" w:eastAsia="宋体" w:cs="宋体"/>
          <w:b/>
        </w:rPr>
        <w:t>东方阿尔法科技优选混合发起A</w:t>
      </w:r>
    </w:p>
    <w:p w14:paraId="46855DC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2F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C6C6586">
            <w:pPr>
              <w:spacing w:line="240" w:lineRule="auto"/>
              <w:jc w:val="center"/>
            </w:pPr>
            <w:r>
              <w:rPr>
                <w:rFonts w:ascii="宋体" w:hAnsi="宋体" w:eastAsia="宋体" w:cs="宋体"/>
                <w:b w:val="0"/>
              </w:rPr>
              <w:t>项目</w:t>
            </w:r>
          </w:p>
        </w:tc>
        <w:tc>
          <w:tcPr>
            <w:tcW w:w="3077" w:type="pct"/>
            <w:gridSpan w:val="2"/>
            <w:shd w:val="clear" w:color="auto" w:fill="D9D9D9"/>
          </w:tcPr>
          <w:p w14:paraId="1AFA0202">
            <w:pPr>
              <w:spacing w:line="240" w:lineRule="auto"/>
              <w:jc w:val="center"/>
            </w:pPr>
            <w:r>
              <w:rPr>
                <w:rFonts w:ascii="宋体" w:hAnsi="宋体" w:eastAsia="宋体" w:cs="宋体"/>
                <w:b w:val="0"/>
              </w:rPr>
              <w:t>本期2025年06月06日（基金合同生效日）至2025年06月30日</w:t>
            </w:r>
          </w:p>
        </w:tc>
      </w:tr>
      <w:tr w14:paraId="6A1F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8F9E68E"/>
        </w:tc>
        <w:tc>
          <w:tcPr>
            <w:tcW w:w="1538" w:type="pct"/>
            <w:shd w:val="clear" w:color="auto" w:fill="D9D9D9"/>
          </w:tcPr>
          <w:p w14:paraId="40CB467C">
            <w:pPr>
              <w:spacing w:line="240" w:lineRule="auto"/>
              <w:jc w:val="center"/>
            </w:pPr>
            <w:r>
              <w:rPr>
                <w:rFonts w:ascii="宋体" w:hAnsi="宋体" w:eastAsia="宋体" w:cs="宋体"/>
                <w:b w:val="0"/>
              </w:rPr>
              <w:t>基金份额（份）</w:t>
            </w:r>
          </w:p>
        </w:tc>
        <w:tc>
          <w:tcPr>
            <w:tcW w:w="1538" w:type="pct"/>
            <w:shd w:val="clear" w:color="auto" w:fill="D9D9D9"/>
          </w:tcPr>
          <w:p w14:paraId="0C470848">
            <w:pPr>
              <w:spacing w:line="240" w:lineRule="auto"/>
              <w:jc w:val="center"/>
            </w:pPr>
            <w:r>
              <w:rPr>
                <w:rFonts w:ascii="宋体" w:hAnsi="宋体" w:eastAsia="宋体" w:cs="宋体"/>
                <w:b w:val="0"/>
              </w:rPr>
              <w:t>账面金额</w:t>
            </w:r>
          </w:p>
        </w:tc>
      </w:tr>
      <w:tr w14:paraId="7829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E5FEEA">
            <w:pPr>
              <w:spacing w:line="240" w:lineRule="auto"/>
              <w:jc w:val="left"/>
            </w:pPr>
            <w:r>
              <w:rPr>
                <w:rFonts w:ascii="宋体" w:hAnsi="宋体" w:eastAsia="宋体" w:cs="宋体"/>
                <w:b w:val="0"/>
              </w:rPr>
              <w:t>基金合同生效日</w:t>
            </w:r>
          </w:p>
        </w:tc>
        <w:tc>
          <w:tcPr>
            <w:tcW w:w="0" w:type="dxa"/>
          </w:tcPr>
          <w:p w14:paraId="176FE872">
            <w:pPr>
              <w:spacing w:line="240" w:lineRule="auto"/>
              <w:jc w:val="right"/>
            </w:pPr>
            <w:r>
              <w:rPr>
                <w:rFonts w:ascii="宋体" w:hAnsi="宋体" w:eastAsia="宋体" w:cs="宋体"/>
                <w:b w:val="0"/>
              </w:rPr>
              <w:t>11,871,621.31</w:t>
            </w:r>
          </w:p>
        </w:tc>
        <w:tc>
          <w:tcPr>
            <w:tcW w:w="0" w:type="dxa"/>
          </w:tcPr>
          <w:p w14:paraId="422B1BAC">
            <w:pPr>
              <w:spacing w:line="240" w:lineRule="auto"/>
              <w:jc w:val="right"/>
            </w:pPr>
            <w:r>
              <w:rPr>
                <w:rFonts w:ascii="宋体" w:hAnsi="宋体" w:eastAsia="宋体" w:cs="宋体"/>
                <w:b w:val="0"/>
              </w:rPr>
              <w:t>11,871,621.31</w:t>
            </w:r>
          </w:p>
        </w:tc>
      </w:tr>
      <w:tr w14:paraId="645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3F0311">
            <w:pPr>
              <w:spacing w:line="240" w:lineRule="auto"/>
              <w:jc w:val="left"/>
            </w:pPr>
            <w:r>
              <w:rPr>
                <w:rFonts w:ascii="宋体" w:hAnsi="宋体" w:eastAsia="宋体" w:cs="宋体"/>
                <w:b w:val="0"/>
              </w:rPr>
              <w:t>本期申购</w:t>
            </w:r>
          </w:p>
        </w:tc>
        <w:tc>
          <w:tcPr>
            <w:tcW w:w="0" w:type="dxa"/>
          </w:tcPr>
          <w:p w14:paraId="2858B53E">
            <w:pPr>
              <w:spacing w:line="240" w:lineRule="auto"/>
              <w:jc w:val="right"/>
            </w:pPr>
            <w:r>
              <w:rPr>
                <w:rFonts w:ascii="宋体" w:hAnsi="宋体" w:eastAsia="宋体" w:cs="宋体"/>
                <w:b w:val="0"/>
              </w:rPr>
              <w:t>795.82</w:t>
            </w:r>
          </w:p>
        </w:tc>
        <w:tc>
          <w:tcPr>
            <w:tcW w:w="0" w:type="dxa"/>
          </w:tcPr>
          <w:p w14:paraId="40B471C3">
            <w:pPr>
              <w:spacing w:line="240" w:lineRule="auto"/>
              <w:jc w:val="right"/>
            </w:pPr>
            <w:r>
              <w:rPr>
                <w:rFonts w:ascii="宋体" w:hAnsi="宋体" w:eastAsia="宋体" w:cs="宋体"/>
                <w:b w:val="0"/>
              </w:rPr>
              <w:t>795.82</w:t>
            </w:r>
          </w:p>
        </w:tc>
      </w:tr>
      <w:tr w14:paraId="0E1A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21E966">
            <w:pPr>
              <w:spacing w:line="240" w:lineRule="auto"/>
              <w:jc w:val="left"/>
            </w:pPr>
            <w:r>
              <w:rPr>
                <w:rFonts w:ascii="宋体" w:hAnsi="宋体" w:eastAsia="宋体" w:cs="宋体"/>
                <w:b w:val="0"/>
              </w:rPr>
              <w:t>本期赎回（以“-”号填列）</w:t>
            </w:r>
          </w:p>
        </w:tc>
        <w:tc>
          <w:tcPr>
            <w:tcW w:w="0" w:type="dxa"/>
          </w:tcPr>
          <w:p w14:paraId="09A09021">
            <w:pPr>
              <w:spacing w:line="240" w:lineRule="auto"/>
              <w:jc w:val="right"/>
            </w:pPr>
            <w:r>
              <w:rPr>
                <w:rFonts w:ascii="宋体" w:hAnsi="宋体" w:eastAsia="宋体" w:cs="宋体"/>
                <w:b w:val="0"/>
              </w:rPr>
              <w:t>-998.80</w:t>
            </w:r>
          </w:p>
        </w:tc>
        <w:tc>
          <w:tcPr>
            <w:tcW w:w="0" w:type="dxa"/>
          </w:tcPr>
          <w:p w14:paraId="74885638">
            <w:pPr>
              <w:spacing w:line="240" w:lineRule="auto"/>
              <w:jc w:val="right"/>
            </w:pPr>
            <w:r>
              <w:rPr>
                <w:rFonts w:ascii="宋体" w:hAnsi="宋体" w:eastAsia="宋体" w:cs="宋体"/>
                <w:b w:val="0"/>
              </w:rPr>
              <w:t>-998.80</w:t>
            </w:r>
          </w:p>
        </w:tc>
      </w:tr>
      <w:tr w14:paraId="328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77856E">
            <w:pPr>
              <w:spacing w:line="240" w:lineRule="auto"/>
              <w:jc w:val="left"/>
            </w:pPr>
            <w:r>
              <w:rPr>
                <w:rFonts w:ascii="宋体" w:hAnsi="宋体" w:eastAsia="宋体" w:cs="宋体"/>
                <w:b w:val="0"/>
              </w:rPr>
              <w:t>本期末</w:t>
            </w:r>
          </w:p>
        </w:tc>
        <w:tc>
          <w:tcPr>
            <w:tcW w:w="0" w:type="dxa"/>
          </w:tcPr>
          <w:p w14:paraId="54EDCF30">
            <w:pPr>
              <w:spacing w:line="240" w:lineRule="auto"/>
              <w:jc w:val="right"/>
            </w:pPr>
            <w:r>
              <w:rPr>
                <w:rFonts w:ascii="宋体" w:hAnsi="宋体" w:eastAsia="宋体" w:cs="宋体"/>
                <w:b w:val="0"/>
              </w:rPr>
              <w:t>11,871,418.33</w:t>
            </w:r>
          </w:p>
        </w:tc>
        <w:tc>
          <w:tcPr>
            <w:tcW w:w="0" w:type="dxa"/>
          </w:tcPr>
          <w:p w14:paraId="446E929C">
            <w:pPr>
              <w:spacing w:line="240" w:lineRule="auto"/>
              <w:jc w:val="right"/>
            </w:pPr>
            <w:r>
              <w:rPr>
                <w:rFonts w:ascii="宋体" w:hAnsi="宋体" w:eastAsia="宋体" w:cs="宋体"/>
                <w:b w:val="0"/>
              </w:rPr>
              <w:t>11,871,418.33</w:t>
            </w:r>
          </w:p>
        </w:tc>
      </w:tr>
    </w:tbl>
    <w:p w14:paraId="45E92429">
      <w:pPr>
        <w:jc w:val="left"/>
      </w:pPr>
      <w:r>
        <w:rPr>
          <w:rFonts w:ascii="宋体" w:hAnsi="宋体" w:eastAsia="宋体" w:cs="宋体"/>
          <w:b/>
        </w:rPr>
        <w:t>东方阿尔法科技优选混合发起C</w:t>
      </w:r>
    </w:p>
    <w:p w14:paraId="453025A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42CA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A5392F0">
            <w:pPr>
              <w:spacing w:line="240" w:lineRule="auto"/>
              <w:jc w:val="center"/>
            </w:pPr>
            <w:r>
              <w:rPr>
                <w:rFonts w:ascii="宋体" w:hAnsi="宋体" w:eastAsia="宋体" w:cs="宋体"/>
                <w:b w:val="0"/>
              </w:rPr>
              <w:t>项目</w:t>
            </w:r>
          </w:p>
        </w:tc>
        <w:tc>
          <w:tcPr>
            <w:tcW w:w="3077" w:type="pct"/>
            <w:gridSpan w:val="2"/>
            <w:shd w:val="clear" w:color="auto" w:fill="D9D9D9"/>
          </w:tcPr>
          <w:p w14:paraId="13CB6C96">
            <w:pPr>
              <w:spacing w:line="240" w:lineRule="auto"/>
              <w:jc w:val="center"/>
            </w:pPr>
            <w:r>
              <w:rPr>
                <w:rFonts w:ascii="宋体" w:hAnsi="宋体" w:eastAsia="宋体" w:cs="宋体"/>
                <w:b w:val="0"/>
              </w:rPr>
              <w:t>本期2025年06月06日（基金合同生效日）至2025年06月30日</w:t>
            </w:r>
          </w:p>
        </w:tc>
      </w:tr>
      <w:tr w14:paraId="1C10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B0103F0"/>
        </w:tc>
        <w:tc>
          <w:tcPr>
            <w:tcW w:w="1538" w:type="pct"/>
            <w:shd w:val="clear" w:color="auto" w:fill="D9D9D9"/>
          </w:tcPr>
          <w:p w14:paraId="7F5AD34C">
            <w:pPr>
              <w:spacing w:line="240" w:lineRule="auto"/>
              <w:jc w:val="center"/>
            </w:pPr>
            <w:r>
              <w:rPr>
                <w:rFonts w:ascii="宋体" w:hAnsi="宋体" w:eastAsia="宋体" w:cs="宋体"/>
                <w:b w:val="0"/>
              </w:rPr>
              <w:t>基金份额（份）</w:t>
            </w:r>
          </w:p>
        </w:tc>
        <w:tc>
          <w:tcPr>
            <w:tcW w:w="1538" w:type="pct"/>
            <w:shd w:val="clear" w:color="auto" w:fill="D9D9D9"/>
          </w:tcPr>
          <w:p w14:paraId="5E36CE53">
            <w:pPr>
              <w:spacing w:line="240" w:lineRule="auto"/>
              <w:jc w:val="center"/>
            </w:pPr>
            <w:r>
              <w:rPr>
                <w:rFonts w:ascii="宋体" w:hAnsi="宋体" w:eastAsia="宋体" w:cs="宋体"/>
                <w:b w:val="0"/>
              </w:rPr>
              <w:t>账面金额</w:t>
            </w:r>
          </w:p>
        </w:tc>
      </w:tr>
      <w:tr w14:paraId="412F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3BF0A2">
            <w:pPr>
              <w:spacing w:line="240" w:lineRule="auto"/>
              <w:jc w:val="left"/>
            </w:pPr>
            <w:r>
              <w:rPr>
                <w:rFonts w:ascii="宋体" w:hAnsi="宋体" w:eastAsia="宋体" w:cs="宋体"/>
                <w:b w:val="0"/>
              </w:rPr>
              <w:t>基金合同生效日</w:t>
            </w:r>
          </w:p>
        </w:tc>
        <w:tc>
          <w:tcPr>
            <w:tcW w:w="0" w:type="dxa"/>
          </w:tcPr>
          <w:p w14:paraId="40DDD2B6">
            <w:pPr>
              <w:spacing w:line="240" w:lineRule="auto"/>
              <w:jc w:val="right"/>
            </w:pPr>
            <w:r>
              <w:rPr>
                <w:rFonts w:ascii="宋体" w:hAnsi="宋体" w:eastAsia="宋体" w:cs="宋体"/>
                <w:b w:val="0"/>
              </w:rPr>
              <w:t>4,290.13</w:t>
            </w:r>
          </w:p>
        </w:tc>
        <w:tc>
          <w:tcPr>
            <w:tcW w:w="0" w:type="dxa"/>
          </w:tcPr>
          <w:p w14:paraId="7681D1EB">
            <w:pPr>
              <w:spacing w:line="240" w:lineRule="auto"/>
              <w:jc w:val="right"/>
            </w:pPr>
            <w:r>
              <w:rPr>
                <w:rFonts w:ascii="宋体" w:hAnsi="宋体" w:eastAsia="宋体" w:cs="宋体"/>
                <w:b w:val="0"/>
              </w:rPr>
              <w:t>4,290.13</w:t>
            </w:r>
          </w:p>
        </w:tc>
      </w:tr>
      <w:tr w14:paraId="48F5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C64606">
            <w:pPr>
              <w:spacing w:line="240" w:lineRule="auto"/>
              <w:jc w:val="left"/>
            </w:pPr>
            <w:r>
              <w:rPr>
                <w:rFonts w:ascii="宋体" w:hAnsi="宋体" w:eastAsia="宋体" w:cs="宋体"/>
                <w:b w:val="0"/>
              </w:rPr>
              <w:t>本期申购</w:t>
            </w:r>
          </w:p>
        </w:tc>
        <w:tc>
          <w:tcPr>
            <w:tcW w:w="0" w:type="dxa"/>
          </w:tcPr>
          <w:p w14:paraId="537475F9">
            <w:pPr>
              <w:spacing w:line="240" w:lineRule="auto"/>
              <w:jc w:val="right"/>
            </w:pPr>
            <w:r>
              <w:rPr>
                <w:rFonts w:ascii="宋体" w:hAnsi="宋体" w:eastAsia="宋体" w:cs="宋体"/>
                <w:b w:val="0"/>
              </w:rPr>
              <w:t>49,572.58</w:t>
            </w:r>
          </w:p>
        </w:tc>
        <w:tc>
          <w:tcPr>
            <w:tcW w:w="0" w:type="dxa"/>
          </w:tcPr>
          <w:p w14:paraId="099C981F">
            <w:pPr>
              <w:spacing w:line="240" w:lineRule="auto"/>
              <w:jc w:val="right"/>
            </w:pPr>
            <w:r>
              <w:rPr>
                <w:rFonts w:ascii="宋体" w:hAnsi="宋体" w:eastAsia="宋体" w:cs="宋体"/>
                <w:b w:val="0"/>
              </w:rPr>
              <w:t>49,572.58</w:t>
            </w:r>
          </w:p>
        </w:tc>
      </w:tr>
      <w:tr w14:paraId="0C8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B30055">
            <w:pPr>
              <w:spacing w:line="240" w:lineRule="auto"/>
              <w:jc w:val="left"/>
            </w:pPr>
            <w:r>
              <w:rPr>
                <w:rFonts w:ascii="宋体" w:hAnsi="宋体" w:eastAsia="宋体" w:cs="宋体"/>
                <w:b w:val="0"/>
              </w:rPr>
              <w:t>本期赎回（以“-”号填列）</w:t>
            </w:r>
          </w:p>
        </w:tc>
        <w:tc>
          <w:tcPr>
            <w:tcW w:w="0" w:type="dxa"/>
          </w:tcPr>
          <w:p w14:paraId="0F0F2179">
            <w:pPr>
              <w:spacing w:line="240" w:lineRule="auto"/>
              <w:jc w:val="right"/>
            </w:pPr>
            <w:r>
              <w:rPr>
                <w:rFonts w:ascii="宋体" w:hAnsi="宋体" w:eastAsia="宋体" w:cs="宋体"/>
                <w:b w:val="0"/>
              </w:rPr>
              <w:t>-174.01</w:t>
            </w:r>
          </w:p>
        </w:tc>
        <w:tc>
          <w:tcPr>
            <w:tcW w:w="0" w:type="dxa"/>
          </w:tcPr>
          <w:p w14:paraId="427052CD">
            <w:pPr>
              <w:spacing w:line="240" w:lineRule="auto"/>
              <w:jc w:val="right"/>
            </w:pPr>
            <w:r>
              <w:rPr>
                <w:rFonts w:ascii="宋体" w:hAnsi="宋体" w:eastAsia="宋体" w:cs="宋体"/>
                <w:b w:val="0"/>
              </w:rPr>
              <w:t>-174.01</w:t>
            </w:r>
          </w:p>
        </w:tc>
      </w:tr>
      <w:tr w14:paraId="25D2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36129A">
            <w:pPr>
              <w:spacing w:line="240" w:lineRule="auto"/>
              <w:jc w:val="left"/>
            </w:pPr>
            <w:r>
              <w:rPr>
                <w:rFonts w:ascii="宋体" w:hAnsi="宋体" w:eastAsia="宋体" w:cs="宋体"/>
                <w:b w:val="0"/>
              </w:rPr>
              <w:t>本期末</w:t>
            </w:r>
          </w:p>
        </w:tc>
        <w:tc>
          <w:tcPr>
            <w:tcW w:w="0" w:type="dxa"/>
          </w:tcPr>
          <w:p w14:paraId="46248117">
            <w:pPr>
              <w:spacing w:line="240" w:lineRule="auto"/>
              <w:jc w:val="right"/>
            </w:pPr>
            <w:r>
              <w:rPr>
                <w:rFonts w:ascii="宋体" w:hAnsi="宋体" w:eastAsia="宋体" w:cs="宋体"/>
                <w:b w:val="0"/>
              </w:rPr>
              <w:t>53,688.70</w:t>
            </w:r>
          </w:p>
        </w:tc>
        <w:tc>
          <w:tcPr>
            <w:tcW w:w="0" w:type="dxa"/>
          </w:tcPr>
          <w:p w14:paraId="31F0EBF5">
            <w:pPr>
              <w:spacing w:line="240" w:lineRule="auto"/>
              <w:jc w:val="right"/>
            </w:pPr>
            <w:r>
              <w:rPr>
                <w:rFonts w:ascii="宋体" w:hAnsi="宋体" w:eastAsia="宋体" w:cs="宋体"/>
                <w:b w:val="0"/>
              </w:rPr>
              <w:t>53,688.70</w:t>
            </w:r>
          </w:p>
        </w:tc>
      </w:tr>
    </w:tbl>
    <w:p w14:paraId="054E50B2">
      <w:r>
        <w:rPr>
          <w:rFonts w:ascii="宋体" w:hAnsi="宋体" w:eastAsia="宋体" w:cs="宋体"/>
          <w:b w:val="0"/>
        </w:rPr>
        <w:t xml:space="preserve">注: 1. 申购含转换入份额；赎回含转换出份额。 </w:t>
      </w:r>
      <w:r>
        <w:rPr>
          <w:rFonts w:ascii="宋体" w:hAnsi="宋体" w:eastAsia="宋体" w:cs="宋体"/>
          <w:b w:val="0"/>
        </w:rPr>
        <w:cr/>
      </w:r>
      <w:r>
        <w:rPr>
          <w:rFonts w:ascii="宋体" w:hAnsi="宋体" w:eastAsia="宋体" w:cs="宋体"/>
          <w:b w:val="0"/>
        </w:rPr>
        <w:t xml:space="preserve">2.本基金自2025年6月3日至2025年6月3日止期间公开发售，共募集有效净认购资金人民币11,875,450.28元，折合为11,875,450.28份基金份额(其中A类基金份额11,871,160.28份，C类基金份额4,290.00份)。根据《东方阿尔法科技优选混合型发起式证券投资基金招募说明书》的规定，本基金设立募集期内认购资金产生的利息收入人民币461.16元在本基金成立后，折合为461.16份基金份额(其中A类基金份额461.03份，C类基金份额0.13份)，划入基金份额持有人账户。 </w:t>
      </w:r>
      <w:r>
        <w:rPr>
          <w:rFonts w:ascii="宋体" w:hAnsi="宋体" w:eastAsia="宋体" w:cs="宋体"/>
          <w:b w:val="0"/>
        </w:rPr>
        <w:cr/>
      </w:r>
      <w:r>
        <w:rPr>
          <w:rFonts w:ascii="宋体" w:hAnsi="宋体" w:eastAsia="宋体" w:cs="宋体"/>
          <w:b w:val="0"/>
        </w:rPr>
        <w:t>3.根据《东方阿尔法科技优选混合型发起式证券投资基金基金合同》、《东方阿尔法科技优选混合型发起式证券投资基金招募说明书》及《东方阿尔法科技优选混合型发起式证券投资基金开放日常申购、赎回、定期定额投资及转换业务的公告》的相关规定，本基金于2025年6月6日(基金合同生效日)至2025年6月15日止期间暂不向投资人开放基金交易，申购业务、赎回业务和转换业务自2025年6月16日起开始办理。</w:t>
      </w:r>
    </w:p>
    <w:p w14:paraId="018F8CD2"/>
    <w:p w14:paraId="753DDB3A">
      <w:r>
        <w:rPr>
          <w:rFonts w:ascii="宋体" w:hAnsi="宋体" w:eastAsia="宋体" w:cs="宋体"/>
          <w:b/>
        </w:rPr>
        <w:t>6.4.7.8 未分配利润</w:t>
      </w:r>
    </w:p>
    <w:p w14:paraId="58A3638C">
      <w:pPr>
        <w:jc w:val="left"/>
      </w:pPr>
      <w:r>
        <w:rPr>
          <w:rFonts w:ascii="宋体" w:hAnsi="宋体" w:eastAsia="宋体" w:cs="宋体"/>
          <w:b/>
        </w:rPr>
        <w:t>东方阿尔法科技优选混合发起A</w:t>
      </w:r>
    </w:p>
    <w:p w14:paraId="349BD97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143"/>
        <w:gridCol w:w="2143"/>
        <w:gridCol w:w="1429"/>
      </w:tblGrid>
      <w:tr w14:paraId="7B3C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0734249D">
            <w:pPr>
              <w:spacing w:line="240" w:lineRule="auto"/>
              <w:jc w:val="center"/>
            </w:pPr>
            <w:r>
              <w:rPr>
                <w:rFonts w:ascii="宋体" w:hAnsi="宋体" w:eastAsia="宋体" w:cs="宋体"/>
                <w:b w:val="0"/>
              </w:rPr>
              <w:t>项目</w:t>
            </w:r>
          </w:p>
        </w:tc>
        <w:tc>
          <w:tcPr>
            <w:tcW w:w="1154" w:type="pct"/>
            <w:shd w:val="clear" w:color="auto" w:fill="D9D9D9"/>
            <w:vAlign w:val="center"/>
          </w:tcPr>
          <w:p w14:paraId="545C6DFC">
            <w:pPr>
              <w:spacing w:line="240" w:lineRule="auto"/>
              <w:jc w:val="center"/>
            </w:pPr>
            <w:r>
              <w:rPr>
                <w:rFonts w:ascii="宋体" w:hAnsi="宋体" w:eastAsia="宋体" w:cs="宋体"/>
                <w:b w:val="0"/>
              </w:rPr>
              <w:t>已实现部分</w:t>
            </w:r>
          </w:p>
        </w:tc>
        <w:tc>
          <w:tcPr>
            <w:tcW w:w="1154" w:type="pct"/>
            <w:shd w:val="clear" w:color="auto" w:fill="D9D9D9"/>
            <w:vAlign w:val="center"/>
          </w:tcPr>
          <w:p w14:paraId="5C4EC411">
            <w:pPr>
              <w:spacing w:line="240" w:lineRule="auto"/>
              <w:jc w:val="center"/>
            </w:pPr>
            <w:r>
              <w:rPr>
                <w:rFonts w:ascii="宋体" w:hAnsi="宋体" w:eastAsia="宋体" w:cs="宋体"/>
                <w:b w:val="0"/>
              </w:rPr>
              <w:t>未实现部分</w:t>
            </w:r>
          </w:p>
        </w:tc>
        <w:tc>
          <w:tcPr>
            <w:tcW w:w="1154" w:type="pct"/>
            <w:shd w:val="clear" w:color="auto" w:fill="D9D9D9"/>
            <w:vAlign w:val="center"/>
          </w:tcPr>
          <w:p w14:paraId="5DB29863">
            <w:pPr>
              <w:spacing w:line="240" w:lineRule="auto"/>
              <w:jc w:val="center"/>
            </w:pPr>
            <w:r>
              <w:rPr>
                <w:rFonts w:ascii="宋体" w:hAnsi="宋体" w:eastAsia="宋体" w:cs="宋体"/>
                <w:b w:val="0"/>
              </w:rPr>
              <w:t>未分配利润合计</w:t>
            </w:r>
          </w:p>
        </w:tc>
      </w:tr>
      <w:tr w14:paraId="6693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51F326">
            <w:pPr>
              <w:spacing w:line="240" w:lineRule="auto"/>
              <w:jc w:val="left"/>
            </w:pPr>
            <w:r>
              <w:rPr>
                <w:rFonts w:ascii="宋体" w:hAnsi="宋体" w:eastAsia="宋体" w:cs="宋体"/>
                <w:b w:val="0"/>
              </w:rPr>
              <w:t>上年度末</w:t>
            </w:r>
          </w:p>
        </w:tc>
        <w:tc>
          <w:tcPr>
            <w:tcW w:w="0" w:type="dxa"/>
            <w:vAlign w:val="center"/>
          </w:tcPr>
          <w:p w14:paraId="208598C6">
            <w:pPr>
              <w:spacing w:line="240" w:lineRule="auto"/>
              <w:jc w:val="right"/>
            </w:pPr>
            <w:r>
              <w:rPr>
                <w:rFonts w:ascii="宋体" w:hAnsi="宋体" w:eastAsia="宋体" w:cs="宋体"/>
                <w:b w:val="0"/>
              </w:rPr>
              <w:t>-</w:t>
            </w:r>
          </w:p>
        </w:tc>
        <w:tc>
          <w:tcPr>
            <w:tcW w:w="0" w:type="dxa"/>
            <w:vAlign w:val="center"/>
          </w:tcPr>
          <w:p w14:paraId="1F8670E4">
            <w:pPr>
              <w:spacing w:line="240" w:lineRule="auto"/>
              <w:jc w:val="right"/>
            </w:pPr>
            <w:r>
              <w:rPr>
                <w:rFonts w:ascii="宋体" w:hAnsi="宋体" w:eastAsia="宋体" w:cs="宋体"/>
                <w:b w:val="0"/>
              </w:rPr>
              <w:t>-</w:t>
            </w:r>
          </w:p>
        </w:tc>
        <w:tc>
          <w:tcPr>
            <w:tcW w:w="0" w:type="dxa"/>
            <w:vAlign w:val="center"/>
          </w:tcPr>
          <w:p w14:paraId="1740B3CF">
            <w:pPr>
              <w:spacing w:line="240" w:lineRule="auto"/>
              <w:jc w:val="right"/>
            </w:pPr>
            <w:r>
              <w:rPr>
                <w:rFonts w:ascii="宋体" w:hAnsi="宋体" w:eastAsia="宋体" w:cs="宋体"/>
                <w:b w:val="0"/>
              </w:rPr>
              <w:t>-</w:t>
            </w:r>
          </w:p>
        </w:tc>
      </w:tr>
      <w:tr w14:paraId="736F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715C84">
            <w:pPr>
              <w:spacing w:line="240" w:lineRule="auto"/>
              <w:jc w:val="left"/>
            </w:pPr>
            <w:r>
              <w:rPr>
                <w:rFonts w:ascii="宋体" w:hAnsi="宋体" w:eastAsia="宋体" w:cs="宋体"/>
                <w:b w:val="0"/>
              </w:rPr>
              <w:t>本期期初</w:t>
            </w:r>
          </w:p>
        </w:tc>
        <w:tc>
          <w:tcPr>
            <w:tcW w:w="0" w:type="dxa"/>
            <w:vAlign w:val="center"/>
          </w:tcPr>
          <w:p w14:paraId="7BA8E996">
            <w:pPr>
              <w:spacing w:line="240" w:lineRule="auto"/>
              <w:jc w:val="right"/>
            </w:pPr>
            <w:r>
              <w:rPr>
                <w:rFonts w:ascii="宋体" w:hAnsi="宋体" w:eastAsia="宋体" w:cs="宋体"/>
                <w:b w:val="0"/>
              </w:rPr>
              <w:t>-</w:t>
            </w:r>
          </w:p>
        </w:tc>
        <w:tc>
          <w:tcPr>
            <w:tcW w:w="0" w:type="dxa"/>
            <w:vAlign w:val="center"/>
          </w:tcPr>
          <w:p w14:paraId="5C119729">
            <w:pPr>
              <w:spacing w:line="240" w:lineRule="auto"/>
              <w:jc w:val="right"/>
            </w:pPr>
            <w:r>
              <w:rPr>
                <w:rFonts w:ascii="宋体" w:hAnsi="宋体" w:eastAsia="宋体" w:cs="宋体"/>
                <w:b w:val="0"/>
              </w:rPr>
              <w:t>-</w:t>
            </w:r>
          </w:p>
        </w:tc>
        <w:tc>
          <w:tcPr>
            <w:tcW w:w="0" w:type="dxa"/>
            <w:vAlign w:val="center"/>
          </w:tcPr>
          <w:p w14:paraId="5A98EA20">
            <w:pPr>
              <w:spacing w:line="240" w:lineRule="auto"/>
              <w:jc w:val="right"/>
            </w:pPr>
            <w:r>
              <w:rPr>
                <w:rFonts w:ascii="宋体" w:hAnsi="宋体" w:eastAsia="宋体" w:cs="宋体"/>
                <w:b w:val="0"/>
              </w:rPr>
              <w:t>-</w:t>
            </w:r>
          </w:p>
        </w:tc>
      </w:tr>
      <w:tr w14:paraId="2911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6642DD">
            <w:pPr>
              <w:spacing w:line="240" w:lineRule="auto"/>
              <w:jc w:val="left"/>
            </w:pPr>
            <w:r>
              <w:rPr>
                <w:rFonts w:ascii="宋体" w:hAnsi="宋体" w:eastAsia="宋体" w:cs="宋体"/>
                <w:b w:val="0"/>
              </w:rPr>
              <w:t>本期利润</w:t>
            </w:r>
          </w:p>
        </w:tc>
        <w:tc>
          <w:tcPr>
            <w:tcW w:w="0" w:type="dxa"/>
            <w:vAlign w:val="center"/>
          </w:tcPr>
          <w:p w14:paraId="36CA70EE">
            <w:pPr>
              <w:spacing w:line="240" w:lineRule="auto"/>
              <w:jc w:val="right"/>
            </w:pPr>
            <w:r>
              <w:rPr>
                <w:rFonts w:ascii="宋体" w:hAnsi="宋体" w:eastAsia="宋体" w:cs="宋体"/>
                <w:b w:val="0"/>
              </w:rPr>
              <w:t>-156,641.79</w:t>
            </w:r>
          </w:p>
        </w:tc>
        <w:tc>
          <w:tcPr>
            <w:tcW w:w="0" w:type="dxa"/>
            <w:vAlign w:val="center"/>
          </w:tcPr>
          <w:p w14:paraId="452B168C">
            <w:pPr>
              <w:spacing w:line="240" w:lineRule="auto"/>
              <w:jc w:val="right"/>
            </w:pPr>
            <w:r>
              <w:rPr>
                <w:rFonts w:ascii="宋体" w:hAnsi="宋体" w:eastAsia="宋体" w:cs="宋体"/>
                <w:b w:val="0"/>
              </w:rPr>
              <w:t>73,017.50</w:t>
            </w:r>
          </w:p>
        </w:tc>
        <w:tc>
          <w:tcPr>
            <w:tcW w:w="0" w:type="dxa"/>
            <w:vAlign w:val="center"/>
          </w:tcPr>
          <w:p w14:paraId="4FA48A9B">
            <w:pPr>
              <w:spacing w:line="240" w:lineRule="auto"/>
              <w:jc w:val="right"/>
            </w:pPr>
            <w:r>
              <w:rPr>
                <w:rFonts w:ascii="宋体" w:hAnsi="宋体" w:eastAsia="宋体" w:cs="宋体"/>
                <w:b w:val="0"/>
              </w:rPr>
              <w:t>-83,624.29</w:t>
            </w:r>
          </w:p>
        </w:tc>
      </w:tr>
      <w:tr w14:paraId="7E9B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E52B23">
            <w:pPr>
              <w:spacing w:line="240" w:lineRule="auto"/>
              <w:jc w:val="left"/>
            </w:pPr>
            <w:r>
              <w:rPr>
                <w:rFonts w:ascii="宋体" w:hAnsi="宋体" w:eastAsia="宋体" w:cs="宋体"/>
                <w:b w:val="0"/>
              </w:rPr>
              <w:t>本期基金份额交易产生的变动数</w:t>
            </w:r>
          </w:p>
        </w:tc>
        <w:tc>
          <w:tcPr>
            <w:tcW w:w="0" w:type="dxa"/>
            <w:vAlign w:val="center"/>
          </w:tcPr>
          <w:p w14:paraId="77EC11A6">
            <w:pPr>
              <w:spacing w:line="240" w:lineRule="auto"/>
              <w:jc w:val="right"/>
            </w:pPr>
            <w:r>
              <w:rPr>
                <w:rFonts w:ascii="宋体" w:hAnsi="宋体" w:eastAsia="宋体" w:cs="宋体"/>
                <w:b w:val="0"/>
              </w:rPr>
              <w:t>-0.55</w:t>
            </w:r>
          </w:p>
        </w:tc>
        <w:tc>
          <w:tcPr>
            <w:tcW w:w="0" w:type="dxa"/>
            <w:vAlign w:val="center"/>
          </w:tcPr>
          <w:p w14:paraId="5C0EC665">
            <w:pPr>
              <w:spacing w:line="240" w:lineRule="auto"/>
              <w:jc w:val="right"/>
            </w:pPr>
            <w:r>
              <w:rPr>
                <w:rFonts w:ascii="宋体" w:hAnsi="宋体" w:eastAsia="宋体" w:cs="宋体"/>
                <w:b w:val="0"/>
              </w:rPr>
              <w:t>37.30</w:t>
            </w:r>
          </w:p>
        </w:tc>
        <w:tc>
          <w:tcPr>
            <w:tcW w:w="0" w:type="dxa"/>
            <w:vAlign w:val="center"/>
          </w:tcPr>
          <w:p w14:paraId="084C6740">
            <w:pPr>
              <w:spacing w:line="240" w:lineRule="auto"/>
              <w:jc w:val="right"/>
            </w:pPr>
            <w:r>
              <w:rPr>
                <w:rFonts w:ascii="宋体" w:hAnsi="宋体" w:eastAsia="宋体" w:cs="宋体"/>
                <w:b w:val="0"/>
              </w:rPr>
              <w:t>36.75</w:t>
            </w:r>
          </w:p>
        </w:tc>
      </w:tr>
      <w:tr w14:paraId="581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D4B5AE">
            <w:pPr>
              <w:spacing w:line="240" w:lineRule="auto"/>
              <w:jc w:val="left"/>
            </w:pPr>
            <w:r>
              <w:rPr>
                <w:rFonts w:ascii="宋体" w:hAnsi="宋体" w:eastAsia="宋体" w:cs="宋体"/>
                <w:b w:val="0"/>
              </w:rPr>
              <w:t>其中：基金申购款</w:t>
            </w:r>
          </w:p>
        </w:tc>
        <w:tc>
          <w:tcPr>
            <w:tcW w:w="0" w:type="dxa"/>
            <w:vAlign w:val="center"/>
          </w:tcPr>
          <w:p w14:paraId="5FBF1632">
            <w:pPr>
              <w:spacing w:line="240" w:lineRule="auto"/>
              <w:jc w:val="right"/>
            </w:pPr>
            <w:r>
              <w:rPr>
                <w:rFonts w:ascii="宋体" w:hAnsi="宋体" w:eastAsia="宋体" w:cs="宋体"/>
                <w:b w:val="0"/>
              </w:rPr>
              <w:t>-0.85</w:t>
            </w:r>
          </w:p>
        </w:tc>
        <w:tc>
          <w:tcPr>
            <w:tcW w:w="0" w:type="dxa"/>
            <w:vAlign w:val="center"/>
          </w:tcPr>
          <w:p w14:paraId="43F30511">
            <w:pPr>
              <w:spacing w:line="240" w:lineRule="auto"/>
              <w:jc w:val="right"/>
            </w:pPr>
            <w:r>
              <w:rPr>
                <w:rFonts w:ascii="宋体" w:hAnsi="宋体" w:eastAsia="宋体" w:cs="宋体"/>
                <w:b w:val="0"/>
              </w:rPr>
              <w:t>-13.74</w:t>
            </w:r>
          </w:p>
        </w:tc>
        <w:tc>
          <w:tcPr>
            <w:tcW w:w="0" w:type="dxa"/>
            <w:vAlign w:val="center"/>
          </w:tcPr>
          <w:p w14:paraId="57C8F898">
            <w:pPr>
              <w:spacing w:line="240" w:lineRule="auto"/>
              <w:jc w:val="right"/>
            </w:pPr>
            <w:r>
              <w:rPr>
                <w:rFonts w:ascii="宋体" w:hAnsi="宋体" w:eastAsia="宋体" w:cs="宋体"/>
                <w:b w:val="0"/>
              </w:rPr>
              <w:t>-14.59</w:t>
            </w:r>
          </w:p>
        </w:tc>
      </w:tr>
      <w:tr w14:paraId="237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F9E9F7">
            <w:pPr>
              <w:spacing w:line="240" w:lineRule="auto"/>
              <w:jc w:val="left"/>
            </w:pPr>
            <w:r>
              <w:rPr>
                <w:rFonts w:ascii="宋体" w:hAnsi="宋体" w:eastAsia="宋体" w:cs="宋体"/>
                <w:b w:val="0"/>
              </w:rPr>
              <w:t xml:space="preserve">      基金赎回款</w:t>
            </w:r>
          </w:p>
        </w:tc>
        <w:tc>
          <w:tcPr>
            <w:tcW w:w="0" w:type="dxa"/>
            <w:vAlign w:val="center"/>
          </w:tcPr>
          <w:p w14:paraId="119AACCD">
            <w:pPr>
              <w:spacing w:line="240" w:lineRule="auto"/>
              <w:jc w:val="right"/>
            </w:pPr>
            <w:r>
              <w:rPr>
                <w:rFonts w:ascii="宋体" w:hAnsi="宋体" w:eastAsia="宋体" w:cs="宋体"/>
                <w:b w:val="0"/>
              </w:rPr>
              <w:t>0.30</w:t>
            </w:r>
          </w:p>
        </w:tc>
        <w:tc>
          <w:tcPr>
            <w:tcW w:w="0" w:type="dxa"/>
            <w:vAlign w:val="center"/>
          </w:tcPr>
          <w:p w14:paraId="6C9E0BCA">
            <w:pPr>
              <w:spacing w:line="240" w:lineRule="auto"/>
              <w:jc w:val="right"/>
            </w:pPr>
            <w:r>
              <w:rPr>
                <w:rFonts w:ascii="宋体" w:hAnsi="宋体" w:eastAsia="宋体" w:cs="宋体"/>
                <w:b w:val="0"/>
              </w:rPr>
              <w:t>51.04</w:t>
            </w:r>
          </w:p>
        </w:tc>
        <w:tc>
          <w:tcPr>
            <w:tcW w:w="0" w:type="dxa"/>
            <w:vAlign w:val="center"/>
          </w:tcPr>
          <w:p w14:paraId="72A6A062">
            <w:pPr>
              <w:spacing w:line="240" w:lineRule="auto"/>
              <w:jc w:val="right"/>
            </w:pPr>
            <w:r>
              <w:rPr>
                <w:rFonts w:ascii="宋体" w:hAnsi="宋体" w:eastAsia="宋体" w:cs="宋体"/>
                <w:b w:val="0"/>
              </w:rPr>
              <w:t>51.34</w:t>
            </w:r>
          </w:p>
        </w:tc>
      </w:tr>
      <w:tr w14:paraId="78E8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C12EDE">
            <w:pPr>
              <w:spacing w:line="240" w:lineRule="auto"/>
              <w:jc w:val="left"/>
            </w:pPr>
            <w:r>
              <w:rPr>
                <w:rFonts w:ascii="宋体" w:hAnsi="宋体" w:eastAsia="宋体" w:cs="宋体"/>
                <w:b w:val="0"/>
              </w:rPr>
              <w:t>本期已分配利润</w:t>
            </w:r>
          </w:p>
        </w:tc>
        <w:tc>
          <w:tcPr>
            <w:tcW w:w="0" w:type="dxa"/>
            <w:vAlign w:val="center"/>
          </w:tcPr>
          <w:p w14:paraId="5F20FB5B">
            <w:pPr>
              <w:spacing w:line="240" w:lineRule="auto"/>
              <w:jc w:val="right"/>
            </w:pPr>
            <w:r>
              <w:rPr>
                <w:rFonts w:ascii="宋体" w:hAnsi="宋体" w:eastAsia="宋体" w:cs="宋体"/>
                <w:b w:val="0"/>
              </w:rPr>
              <w:t>-</w:t>
            </w:r>
          </w:p>
        </w:tc>
        <w:tc>
          <w:tcPr>
            <w:tcW w:w="0" w:type="dxa"/>
            <w:vAlign w:val="center"/>
          </w:tcPr>
          <w:p w14:paraId="6FC3C25D">
            <w:pPr>
              <w:spacing w:line="240" w:lineRule="auto"/>
              <w:jc w:val="right"/>
            </w:pPr>
            <w:r>
              <w:rPr>
                <w:rFonts w:ascii="宋体" w:hAnsi="宋体" w:eastAsia="宋体" w:cs="宋体"/>
                <w:b w:val="0"/>
              </w:rPr>
              <w:t>-</w:t>
            </w:r>
          </w:p>
        </w:tc>
        <w:tc>
          <w:tcPr>
            <w:tcW w:w="0" w:type="dxa"/>
            <w:vAlign w:val="center"/>
          </w:tcPr>
          <w:p w14:paraId="24E3922C">
            <w:pPr>
              <w:spacing w:line="240" w:lineRule="auto"/>
              <w:jc w:val="right"/>
            </w:pPr>
            <w:r>
              <w:rPr>
                <w:rFonts w:ascii="宋体" w:hAnsi="宋体" w:eastAsia="宋体" w:cs="宋体"/>
                <w:b w:val="0"/>
              </w:rPr>
              <w:t>-</w:t>
            </w:r>
          </w:p>
        </w:tc>
      </w:tr>
      <w:tr w14:paraId="48F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1CD67A">
            <w:pPr>
              <w:spacing w:line="240" w:lineRule="auto"/>
              <w:jc w:val="left"/>
            </w:pPr>
            <w:r>
              <w:rPr>
                <w:rFonts w:ascii="宋体" w:hAnsi="宋体" w:eastAsia="宋体" w:cs="宋体"/>
                <w:b w:val="0"/>
              </w:rPr>
              <w:t>本期末</w:t>
            </w:r>
          </w:p>
        </w:tc>
        <w:tc>
          <w:tcPr>
            <w:tcW w:w="0" w:type="dxa"/>
            <w:vAlign w:val="center"/>
          </w:tcPr>
          <w:p w14:paraId="24A5D8E9">
            <w:pPr>
              <w:spacing w:line="240" w:lineRule="auto"/>
              <w:jc w:val="right"/>
            </w:pPr>
            <w:r>
              <w:rPr>
                <w:rFonts w:ascii="宋体" w:hAnsi="宋体" w:eastAsia="宋体" w:cs="宋体"/>
                <w:b w:val="0"/>
              </w:rPr>
              <w:t>-156,642.34</w:t>
            </w:r>
          </w:p>
        </w:tc>
        <w:tc>
          <w:tcPr>
            <w:tcW w:w="0" w:type="dxa"/>
            <w:vAlign w:val="center"/>
          </w:tcPr>
          <w:p w14:paraId="3DDAC958">
            <w:pPr>
              <w:spacing w:line="240" w:lineRule="auto"/>
              <w:jc w:val="right"/>
            </w:pPr>
            <w:r>
              <w:rPr>
                <w:rFonts w:ascii="宋体" w:hAnsi="宋体" w:eastAsia="宋体" w:cs="宋体"/>
                <w:b w:val="0"/>
              </w:rPr>
              <w:t>73,054.80</w:t>
            </w:r>
          </w:p>
        </w:tc>
        <w:tc>
          <w:tcPr>
            <w:tcW w:w="0" w:type="dxa"/>
            <w:vAlign w:val="center"/>
          </w:tcPr>
          <w:p w14:paraId="4D8F4FE0">
            <w:pPr>
              <w:spacing w:line="240" w:lineRule="auto"/>
              <w:jc w:val="right"/>
            </w:pPr>
            <w:r>
              <w:rPr>
                <w:rFonts w:ascii="宋体" w:hAnsi="宋体" w:eastAsia="宋体" w:cs="宋体"/>
                <w:b w:val="0"/>
              </w:rPr>
              <w:t>-83,587.54</w:t>
            </w:r>
          </w:p>
        </w:tc>
      </w:tr>
    </w:tbl>
    <w:p w14:paraId="02459CBF">
      <w:pPr>
        <w:jc w:val="left"/>
      </w:pPr>
      <w:r>
        <w:rPr>
          <w:rFonts w:ascii="宋体" w:hAnsi="宋体" w:eastAsia="宋体" w:cs="宋体"/>
          <w:b/>
        </w:rPr>
        <w:t>东方阿尔法科技优选混合发起C</w:t>
      </w:r>
    </w:p>
    <w:p w14:paraId="2971A8F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143"/>
        <w:gridCol w:w="2143"/>
        <w:gridCol w:w="1429"/>
      </w:tblGrid>
      <w:tr w14:paraId="33B6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0123DC84">
            <w:pPr>
              <w:spacing w:line="240" w:lineRule="auto"/>
              <w:jc w:val="center"/>
            </w:pPr>
            <w:r>
              <w:rPr>
                <w:rFonts w:ascii="宋体" w:hAnsi="宋体" w:eastAsia="宋体" w:cs="宋体"/>
                <w:b w:val="0"/>
              </w:rPr>
              <w:t>项目</w:t>
            </w:r>
          </w:p>
        </w:tc>
        <w:tc>
          <w:tcPr>
            <w:tcW w:w="1154" w:type="pct"/>
            <w:shd w:val="clear" w:color="auto" w:fill="D9D9D9"/>
            <w:vAlign w:val="center"/>
          </w:tcPr>
          <w:p w14:paraId="7DE440A5">
            <w:pPr>
              <w:spacing w:line="240" w:lineRule="auto"/>
              <w:jc w:val="center"/>
            </w:pPr>
            <w:r>
              <w:rPr>
                <w:rFonts w:ascii="宋体" w:hAnsi="宋体" w:eastAsia="宋体" w:cs="宋体"/>
                <w:b w:val="0"/>
              </w:rPr>
              <w:t>已实现部分</w:t>
            </w:r>
          </w:p>
        </w:tc>
        <w:tc>
          <w:tcPr>
            <w:tcW w:w="1154" w:type="pct"/>
            <w:shd w:val="clear" w:color="auto" w:fill="D9D9D9"/>
            <w:vAlign w:val="center"/>
          </w:tcPr>
          <w:p w14:paraId="36B6AF9B">
            <w:pPr>
              <w:spacing w:line="240" w:lineRule="auto"/>
              <w:jc w:val="center"/>
            </w:pPr>
            <w:r>
              <w:rPr>
                <w:rFonts w:ascii="宋体" w:hAnsi="宋体" w:eastAsia="宋体" w:cs="宋体"/>
                <w:b w:val="0"/>
              </w:rPr>
              <w:t>未实现部分</w:t>
            </w:r>
          </w:p>
        </w:tc>
        <w:tc>
          <w:tcPr>
            <w:tcW w:w="1154" w:type="pct"/>
            <w:shd w:val="clear" w:color="auto" w:fill="D9D9D9"/>
            <w:vAlign w:val="center"/>
          </w:tcPr>
          <w:p w14:paraId="7FB652E9">
            <w:pPr>
              <w:spacing w:line="240" w:lineRule="auto"/>
              <w:jc w:val="center"/>
            </w:pPr>
            <w:r>
              <w:rPr>
                <w:rFonts w:ascii="宋体" w:hAnsi="宋体" w:eastAsia="宋体" w:cs="宋体"/>
                <w:b w:val="0"/>
              </w:rPr>
              <w:t>未分配利润合计</w:t>
            </w:r>
          </w:p>
        </w:tc>
      </w:tr>
      <w:tr w14:paraId="69C8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F96A2E">
            <w:pPr>
              <w:spacing w:line="240" w:lineRule="auto"/>
              <w:jc w:val="left"/>
            </w:pPr>
            <w:r>
              <w:rPr>
                <w:rFonts w:ascii="宋体" w:hAnsi="宋体" w:eastAsia="宋体" w:cs="宋体"/>
                <w:b w:val="0"/>
              </w:rPr>
              <w:t>上年度末</w:t>
            </w:r>
          </w:p>
        </w:tc>
        <w:tc>
          <w:tcPr>
            <w:tcW w:w="0" w:type="dxa"/>
            <w:vAlign w:val="center"/>
          </w:tcPr>
          <w:p w14:paraId="63FE4E31">
            <w:pPr>
              <w:spacing w:line="240" w:lineRule="auto"/>
              <w:jc w:val="right"/>
            </w:pPr>
            <w:r>
              <w:rPr>
                <w:rFonts w:ascii="宋体" w:hAnsi="宋体" w:eastAsia="宋体" w:cs="宋体"/>
                <w:b w:val="0"/>
              </w:rPr>
              <w:t>-</w:t>
            </w:r>
          </w:p>
        </w:tc>
        <w:tc>
          <w:tcPr>
            <w:tcW w:w="0" w:type="dxa"/>
            <w:vAlign w:val="center"/>
          </w:tcPr>
          <w:p w14:paraId="138707B8">
            <w:pPr>
              <w:spacing w:line="240" w:lineRule="auto"/>
              <w:jc w:val="right"/>
            </w:pPr>
            <w:r>
              <w:rPr>
                <w:rFonts w:ascii="宋体" w:hAnsi="宋体" w:eastAsia="宋体" w:cs="宋体"/>
                <w:b w:val="0"/>
              </w:rPr>
              <w:t>-</w:t>
            </w:r>
          </w:p>
        </w:tc>
        <w:tc>
          <w:tcPr>
            <w:tcW w:w="0" w:type="dxa"/>
            <w:vAlign w:val="center"/>
          </w:tcPr>
          <w:p w14:paraId="54175B32">
            <w:pPr>
              <w:spacing w:line="240" w:lineRule="auto"/>
              <w:jc w:val="right"/>
            </w:pPr>
            <w:r>
              <w:rPr>
                <w:rFonts w:ascii="宋体" w:hAnsi="宋体" w:eastAsia="宋体" w:cs="宋体"/>
                <w:b w:val="0"/>
              </w:rPr>
              <w:t>-</w:t>
            </w:r>
          </w:p>
        </w:tc>
      </w:tr>
      <w:tr w14:paraId="3EA8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880914">
            <w:pPr>
              <w:spacing w:line="240" w:lineRule="auto"/>
              <w:jc w:val="left"/>
            </w:pPr>
            <w:r>
              <w:rPr>
                <w:rFonts w:ascii="宋体" w:hAnsi="宋体" w:eastAsia="宋体" w:cs="宋体"/>
                <w:b w:val="0"/>
              </w:rPr>
              <w:t>本期期初</w:t>
            </w:r>
          </w:p>
        </w:tc>
        <w:tc>
          <w:tcPr>
            <w:tcW w:w="0" w:type="dxa"/>
            <w:vAlign w:val="center"/>
          </w:tcPr>
          <w:p w14:paraId="746D5805">
            <w:pPr>
              <w:spacing w:line="240" w:lineRule="auto"/>
              <w:jc w:val="right"/>
            </w:pPr>
            <w:r>
              <w:rPr>
                <w:rFonts w:ascii="宋体" w:hAnsi="宋体" w:eastAsia="宋体" w:cs="宋体"/>
                <w:b w:val="0"/>
              </w:rPr>
              <w:t>-</w:t>
            </w:r>
          </w:p>
        </w:tc>
        <w:tc>
          <w:tcPr>
            <w:tcW w:w="0" w:type="dxa"/>
            <w:vAlign w:val="center"/>
          </w:tcPr>
          <w:p w14:paraId="45A3B1F3">
            <w:pPr>
              <w:spacing w:line="240" w:lineRule="auto"/>
              <w:jc w:val="right"/>
            </w:pPr>
            <w:r>
              <w:rPr>
                <w:rFonts w:ascii="宋体" w:hAnsi="宋体" w:eastAsia="宋体" w:cs="宋体"/>
                <w:b w:val="0"/>
              </w:rPr>
              <w:t>-</w:t>
            </w:r>
          </w:p>
        </w:tc>
        <w:tc>
          <w:tcPr>
            <w:tcW w:w="0" w:type="dxa"/>
            <w:vAlign w:val="center"/>
          </w:tcPr>
          <w:p w14:paraId="77CC5770">
            <w:pPr>
              <w:spacing w:line="240" w:lineRule="auto"/>
              <w:jc w:val="right"/>
            </w:pPr>
            <w:r>
              <w:rPr>
                <w:rFonts w:ascii="宋体" w:hAnsi="宋体" w:eastAsia="宋体" w:cs="宋体"/>
                <w:b w:val="0"/>
              </w:rPr>
              <w:t>-</w:t>
            </w:r>
          </w:p>
        </w:tc>
      </w:tr>
      <w:tr w14:paraId="0704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532C60">
            <w:pPr>
              <w:spacing w:line="240" w:lineRule="auto"/>
              <w:jc w:val="left"/>
            </w:pPr>
            <w:r>
              <w:rPr>
                <w:rFonts w:ascii="宋体" w:hAnsi="宋体" w:eastAsia="宋体" w:cs="宋体"/>
                <w:b w:val="0"/>
              </w:rPr>
              <w:t>本期利润</w:t>
            </w:r>
          </w:p>
        </w:tc>
        <w:tc>
          <w:tcPr>
            <w:tcW w:w="0" w:type="dxa"/>
            <w:vAlign w:val="center"/>
          </w:tcPr>
          <w:p w14:paraId="2842B2C1">
            <w:pPr>
              <w:spacing w:line="240" w:lineRule="auto"/>
              <w:jc w:val="right"/>
            </w:pPr>
            <w:r>
              <w:rPr>
                <w:rFonts w:ascii="宋体" w:hAnsi="宋体" w:eastAsia="宋体" w:cs="宋体"/>
                <w:b w:val="0"/>
              </w:rPr>
              <w:t>-567.48</w:t>
            </w:r>
          </w:p>
        </w:tc>
        <w:tc>
          <w:tcPr>
            <w:tcW w:w="0" w:type="dxa"/>
            <w:vAlign w:val="center"/>
          </w:tcPr>
          <w:p w14:paraId="507C3C1B">
            <w:pPr>
              <w:spacing w:line="240" w:lineRule="auto"/>
              <w:jc w:val="right"/>
            </w:pPr>
            <w:r>
              <w:rPr>
                <w:rFonts w:ascii="宋体" w:hAnsi="宋体" w:eastAsia="宋体" w:cs="宋体"/>
                <w:b w:val="0"/>
              </w:rPr>
              <w:t>945.63</w:t>
            </w:r>
          </w:p>
        </w:tc>
        <w:tc>
          <w:tcPr>
            <w:tcW w:w="0" w:type="dxa"/>
            <w:vAlign w:val="center"/>
          </w:tcPr>
          <w:p w14:paraId="4D3B39DD">
            <w:pPr>
              <w:spacing w:line="240" w:lineRule="auto"/>
              <w:jc w:val="right"/>
            </w:pPr>
            <w:r>
              <w:rPr>
                <w:rFonts w:ascii="宋体" w:hAnsi="宋体" w:eastAsia="宋体" w:cs="宋体"/>
                <w:b w:val="0"/>
              </w:rPr>
              <w:t>378.15</w:t>
            </w:r>
          </w:p>
        </w:tc>
      </w:tr>
      <w:tr w14:paraId="694A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600EBF">
            <w:pPr>
              <w:spacing w:line="240" w:lineRule="auto"/>
              <w:jc w:val="left"/>
            </w:pPr>
            <w:r>
              <w:rPr>
                <w:rFonts w:ascii="宋体" w:hAnsi="宋体" w:eastAsia="宋体" w:cs="宋体"/>
                <w:b w:val="0"/>
              </w:rPr>
              <w:t>本期基金份额交易产生的变动数</w:t>
            </w:r>
          </w:p>
        </w:tc>
        <w:tc>
          <w:tcPr>
            <w:tcW w:w="0" w:type="dxa"/>
            <w:vAlign w:val="center"/>
          </w:tcPr>
          <w:p w14:paraId="1A98B84C">
            <w:pPr>
              <w:spacing w:line="240" w:lineRule="auto"/>
              <w:jc w:val="right"/>
            </w:pPr>
            <w:r>
              <w:rPr>
                <w:rFonts w:ascii="宋体" w:hAnsi="宋体" w:eastAsia="宋体" w:cs="宋体"/>
                <w:b w:val="0"/>
              </w:rPr>
              <w:t>-155.97</w:t>
            </w:r>
          </w:p>
        </w:tc>
        <w:tc>
          <w:tcPr>
            <w:tcW w:w="0" w:type="dxa"/>
            <w:vAlign w:val="center"/>
          </w:tcPr>
          <w:p w14:paraId="48770863">
            <w:pPr>
              <w:spacing w:line="240" w:lineRule="auto"/>
              <w:jc w:val="right"/>
            </w:pPr>
            <w:r>
              <w:rPr>
                <w:rFonts w:ascii="宋体" w:hAnsi="宋体" w:eastAsia="宋体" w:cs="宋体"/>
                <w:b w:val="0"/>
              </w:rPr>
              <w:t>-615.62</w:t>
            </w:r>
          </w:p>
        </w:tc>
        <w:tc>
          <w:tcPr>
            <w:tcW w:w="0" w:type="dxa"/>
            <w:vAlign w:val="center"/>
          </w:tcPr>
          <w:p w14:paraId="39B0D332">
            <w:pPr>
              <w:spacing w:line="240" w:lineRule="auto"/>
              <w:jc w:val="right"/>
            </w:pPr>
            <w:r>
              <w:rPr>
                <w:rFonts w:ascii="宋体" w:hAnsi="宋体" w:eastAsia="宋体" w:cs="宋体"/>
                <w:b w:val="0"/>
              </w:rPr>
              <w:t>-771.59</w:t>
            </w:r>
          </w:p>
        </w:tc>
      </w:tr>
      <w:tr w14:paraId="2B58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540FB6">
            <w:pPr>
              <w:spacing w:line="240" w:lineRule="auto"/>
              <w:jc w:val="left"/>
            </w:pPr>
            <w:r>
              <w:rPr>
                <w:rFonts w:ascii="宋体" w:hAnsi="宋体" w:eastAsia="宋体" w:cs="宋体"/>
                <w:b w:val="0"/>
              </w:rPr>
              <w:t>其中：基金申购款</w:t>
            </w:r>
          </w:p>
        </w:tc>
        <w:tc>
          <w:tcPr>
            <w:tcW w:w="0" w:type="dxa"/>
            <w:vAlign w:val="center"/>
          </w:tcPr>
          <w:p w14:paraId="3594C6EB">
            <w:pPr>
              <w:spacing w:line="240" w:lineRule="auto"/>
              <w:jc w:val="right"/>
            </w:pPr>
            <w:r>
              <w:rPr>
                <w:rFonts w:ascii="宋体" w:hAnsi="宋体" w:eastAsia="宋体" w:cs="宋体"/>
                <w:b w:val="0"/>
              </w:rPr>
              <w:t>-156.94</w:t>
            </w:r>
          </w:p>
        </w:tc>
        <w:tc>
          <w:tcPr>
            <w:tcW w:w="0" w:type="dxa"/>
            <w:vAlign w:val="center"/>
          </w:tcPr>
          <w:p w14:paraId="5ED726C3">
            <w:pPr>
              <w:spacing w:line="240" w:lineRule="auto"/>
              <w:jc w:val="right"/>
            </w:pPr>
            <w:r>
              <w:rPr>
                <w:rFonts w:ascii="宋体" w:hAnsi="宋体" w:eastAsia="宋体" w:cs="宋体"/>
                <w:b w:val="0"/>
              </w:rPr>
              <w:t>-617.35</w:t>
            </w:r>
          </w:p>
        </w:tc>
        <w:tc>
          <w:tcPr>
            <w:tcW w:w="0" w:type="dxa"/>
            <w:vAlign w:val="center"/>
          </w:tcPr>
          <w:p w14:paraId="2441A4C9">
            <w:pPr>
              <w:spacing w:line="240" w:lineRule="auto"/>
              <w:jc w:val="right"/>
            </w:pPr>
            <w:r>
              <w:rPr>
                <w:rFonts w:ascii="宋体" w:hAnsi="宋体" w:eastAsia="宋体" w:cs="宋体"/>
                <w:b w:val="0"/>
              </w:rPr>
              <w:t>-774.29</w:t>
            </w:r>
          </w:p>
        </w:tc>
      </w:tr>
      <w:tr w14:paraId="30EB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C4B7C">
            <w:pPr>
              <w:spacing w:line="240" w:lineRule="auto"/>
              <w:jc w:val="left"/>
            </w:pPr>
            <w:r>
              <w:rPr>
                <w:rFonts w:ascii="宋体" w:hAnsi="宋体" w:eastAsia="宋体" w:cs="宋体"/>
                <w:b w:val="0"/>
              </w:rPr>
              <w:t xml:space="preserve">      基金赎回款</w:t>
            </w:r>
          </w:p>
        </w:tc>
        <w:tc>
          <w:tcPr>
            <w:tcW w:w="0" w:type="dxa"/>
            <w:vAlign w:val="center"/>
          </w:tcPr>
          <w:p w14:paraId="6CBEA3D7">
            <w:pPr>
              <w:spacing w:line="240" w:lineRule="auto"/>
              <w:jc w:val="right"/>
            </w:pPr>
            <w:r>
              <w:rPr>
                <w:rFonts w:ascii="宋体" w:hAnsi="宋体" w:eastAsia="宋体" w:cs="宋体"/>
                <w:b w:val="0"/>
              </w:rPr>
              <w:t>0.97</w:t>
            </w:r>
          </w:p>
        </w:tc>
        <w:tc>
          <w:tcPr>
            <w:tcW w:w="0" w:type="dxa"/>
            <w:vAlign w:val="center"/>
          </w:tcPr>
          <w:p w14:paraId="151690B5">
            <w:pPr>
              <w:spacing w:line="240" w:lineRule="auto"/>
              <w:jc w:val="right"/>
            </w:pPr>
            <w:r>
              <w:rPr>
                <w:rFonts w:ascii="宋体" w:hAnsi="宋体" w:eastAsia="宋体" w:cs="宋体"/>
                <w:b w:val="0"/>
              </w:rPr>
              <w:t>1.73</w:t>
            </w:r>
          </w:p>
        </w:tc>
        <w:tc>
          <w:tcPr>
            <w:tcW w:w="0" w:type="dxa"/>
            <w:vAlign w:val="center"/>
          </w:tcPr>
          <w:p w14:paraId="14AAB263">
            <w:pPr>
              <w:spacing w:line="240" w:lineRule="auto"/>
              <w:jc w:val="right"/>
            </w:pPr>
            <w:r>
              <w:rPr>
                <w:rFonts w:ascii="宋体" w:hAnsi="宋体" w:eastAsia="宋体" w:cs="宋体"/>
                <w:b w:val="0"/>
              </w:rPr>
              <w:t>2.70</w:t>
            </w:r>
          </w:p>
        </w:tc>
      </w:tr>
      <w:tr w14:paraId="0AEC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EA862">
            <w:pPr>
              <w:spacing w:line="240" w:lineRule="auto"/>
              <w:jc w:val="left"/>
            </w:pPr>
            <w:r>
              <w:rPr>
                <w:rFonts w:ascii="宋体" w:hAnsi="宋体" w:eastAsia="宋体" w:cs="宋体"/>
                <w:b w:val="0"/>
              </w:rPr>
              <w:t>本期已分配利润</w:t>
            </w:r>
          </w:p>
        </w:tc>
        <w:tc>
          <w:tcPr>
            <w:tcW w:w="0" w:type="dxa"/>
            <w:vAlign w:val="center"/>
          </w:tcPr>
          <w:p w14:paraId="73223E46">
            <w:pPr>
              <w:spacing w:line="240" w:lineRule="auto"/>
              <w:jc w:val="right"/>
            </w:pPr>
            <w:r>
              <w:rPr>
                <w:rFonts w:ascii="宋体" w:hAnsi="宋体" w:eastAsia="宋体" w:cs="宋体"/>
                <w:b w:val="0"/>
              </w:rPr>
              <w:t>-</w:t>
            </w:r>
          </w:p>
        </w:tc>
        <w:tc>
          <w:tcPr>
            <w:tcW w:w="0" w:type="dxa"/>
            <w:vAlign w:val="center"/>
          </w:tcPr>
          <w:p w14:paraId="2DBE5F65">
            <w:pPr>
              <w:spacing w:line="240" w:lineRule="auto"/>
              <w:jc w:val="right"/>
            </w:pPr>
            <w:r>
              <w:rPr>
                <w:rFonts w:ascii="宋体" w:hAnsi="宋体" w:eastAsia="宋体" w:cs="宋体"/>
                <w:b w:val="0"/>
              </w:rPr>
              <w:t>-</w:t>
            </w:r>
          </w:p>
        </w:tc>
        <w:tc>
          <w:tcPr>
            <w:tcW w:w="0" w:type="dxa"/>
            <w:vAlign w:val="center"/>
          </w:tcPr>
          <w:p w14:paraId="796C2003">
            <w:pPr>
              <w:spacing w:line="240" w:lineRule="auto"/>
              <w:jc w:val="right"/>
            </w:pPr>
            <w:r>
              <w:rPr>
                <w:rFonts w:ascii="宋体" w:hAnsi="宋体" w:eastAsia="宋体" w:cs="宋体"/>
                <w:b w:val="0"/>
              </w:rPr>
              <w:t>-</w:t>
            </w:r>
          </w:p>
        </w:tc>
      </w:tr>
      <w:tr w14:paraId="3519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BFFA6A">
            <w:pPr>
              <w:spacing w:line="240" w:lineRule="auto"/>
              <w:jc w:val="left"/>
            </w:pPr>
            <w:r>
              <w:rPr>
                <w:rFonts w:ascii="宋体" w:hAnsi="宋体" w:eastAsia="宋体" w:cs="宋体"/>
                <w:b w:val="0"/>
              </w:rPr>
              <w:t>本期末</w:t>
            </w:r>
          </w:p>
        </w:tc>
        <w:tc>
          <w:tcPr>
            <w:tcW w:w="0" w:type="dxa"/>
            <w:vAlign w:val="center"/>
          </w:tcPr>
          <w:p w14:paraId="601F2D70">
            <w:pPr>
              <w:spacing w:line="240" w:lineRule="auto"/>
              <w:jc w:val="right"/>
            </w:pPr>
            <w:r>
              <w:rPr>
                <w:rFonts w:ascii="宋体" w:hAnsi="宋体" w:eastAsia="宋体" w:cs="宋体"/>
                <w:b w:val="0"/>
              </w:rPr>
              <w:t>-723.45</w:t>
            </w:r>
          </w:p>
        </w:tc>
        <w:tc>
          <w:tcPr>
            <w:tcW w:w="0" w:type="dxa"/>
            <w:vAlign w:val="center"/>
          </w:tcPr>
          <w:p w14:paraId="4B416F38">
            <w:pPr>
              <w:spacing w:line="240" w:lineRule="auto"/>
              <w:jc w:val="right"/>
            </w:pPr>
            <w:r>
              <w:rPr>
                <w:rFonts w:ascii="宋体" w:hAnsi="宋体" w:eastAsia="宋体" w:cs="宋体"/>
                <w:b w:val="0"/>
              </w:rPr>
              <w:t>330.01</w:t>
            </w:r>
          </w:p>
        </w:tc>
        <w:tc>
          <w:tcPr>
            <w:tcW w:w="0" w:type="dxa"/>
            <w:vAlign w:val="center"/>
          </w:tcPr>
          <w:p w14:paraId="7F9404E2">
            <w:pPr>
              <w:spacing w:line="240" w:lineRule="auto"/>
              <w:jc w:val="right"/>
            </w:pPr>
            <w:r>
              <w:rPr>
                <w:rFonts w:ascii="宋体" w:hAnsi="宋体" w:eastAsia="宋体" w:cs="宋体"/>
                <w:b w:val="0"/>
              </w:rPr>
              <w:t>-393.44</w:t>
            </w:r>
          </w:p>
        </w:tc>
      </w:tr>
    </w:tbl>
    <w:p w14:paraId="01A0A4A7"/>
    <w:p w14:paraId="67B87245">
      <w:r>
        <w:rPr>
          <w:rFonts w:ascii="宋体" w:hAnsi="宋体" w:eastAsia="宋体" w:cs="宋体"/>
          <w:b/>
        </w:rPr>
        <w:t>6.4.7.9 存款利息收入</w:t>
      </w:r>
    </w:p>
    <w:p w14:paraId="54C1BCF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15B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034C2B70">
            <w:pPr>
              <w:spacing w:line="240" w:lineRule="auto"/>
              <w:jc w:val="center"/>
            </w:pPr>
            <w:r>
              <w:rPr>
                <w:rFonts w:ascii="宋体" w:hAnsi="宋体" w:eastAsia="宋体" w:cs="宋体"/>
                <w:b w:val="0"/>
              </w:rPr>
              <w:t>项目</w:t>
            </w:r>
          </w:p>
        </w:tc>
        <w:tc>
          <w:tcPr>
            <w:tcW w:w="3077" w:type="pct"/>
            <w:shd w:val="clear" w:color="auto" w:fill="D9D9D9"/>
          </w:tcPr>
          <w:p w14:paraId="04399D87">
            <w:pPr>
              <w:spacing w:line="240" w:lineRule="auto"/>
              <w:jc w:val="center"/>
            </w:pPr>
            <w:r>
              <w:rPr>
                <w:rFonts w:ascii="宋体" w:hAnsi="宋体" w:eastAsia="宋体" w:cs="宋体"/>
                <w:b w:val="0"/>
              </w:rPr>
              <w:t>本期2025年06月06日（基金合同生效日）至2025年06月30日</w:t>
            </w:r>
          </w:p>
        </w:tc>
      </w:tr>
      <w:tr w14:paraId="2A36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5F78CF">
            <w:pPr>
              <w:spacing w:line="240" w:lineRule="auto"/>
              <w:jc w:val="left"/>
            </w:pPr>
            <w:r>
              <w:rPr>
                <w:rFonts w:ascii="宋体" w:hAnsi="宋体" w:eastAsia="宋体" w:cs="宋体"/>
                <w:b w:val="0"/>
              </w:rPr>
              <w:t>活期存款利息收入</w:t>
            </w:r>
          </w:p>
        </w:tc>
        <w:tc>
          <w:tcPr>
            <w:tcW w:w="0" w:type="dxa"/>
          </w:tcPr>
          <w:p w14:paraId="504D80BD">
            <w:pPr>
              <w:spacing w:line="240" w:lineRule="auto"/>
              <w:jc w:val="right"/>
            </w:pPr>
            <w:r>
              <w:rPr>
                <w:rFonts w:ascii="宋体" w:hAnsi="宋体" w:eastAsia="宋体" w:cs="宋体"/>
                <w:b w:val="0"/>
              </w:rPr>
              <w:t>67.09</w:t>
            </w:r>
          </w:p>
        </w:tc>
      </w:tr>
      <w:tr w14:paraId="2F21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0B9069">
            <w:pPr>
              <w:spacing w:line="240" w:lineRule="auto"/>
              <w:jc w:val="left"/>
            </w:pPr>
            <w:r>
              <w:rPr>
                <w:rFonts w:ascii="宋体" w:hAnsi="宋体" w:eastAsia="宋体" w:cs="宋体"/>
                <w:b w:val="0"/>
              </w:rPr>
              <w:t>定期存款利息收入</w:t>
            </w:r>
          </w:p>
        </w:tc>
        <w:tc>
          <w:tcPr>
            <w:tcW w:w="0" w:type="dxa"/>
          </w:tcPr>
          <w:p w14:paraId="2EC5F8D8">
            <w:pPr>
              <w:spacing w:line="240" w:lineRule="auto"/>
              <w:jc w:val="right"/>
            </w:pPr>
            <w:r>
              <w:rPr>
                <w:rFonts w:ascii="宋体" w:hAnsi="宋体" w:eastAsia="宋体" w:cs="宋体"/>
                <w:b w:val="0"/>
              </w:rPr>
              <w:t>-</w:t>
            </w:r>
          </w:p>
        </w:tc>
      </w:tr>
      <w:tr w14:paraId="7837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E7DC2B">
            <w:pPr>
              <w:spacing w:line="240" w:lineRule="auto"/>
              <w:jc w:val="left"/>
            </w:pPr>
            <w:r>
              <w:rPr>
                <w:rFonts w:ascii="宋体" w:hAnsi="宋体" w:eastAsia="宋体" w:cs="宋体"/>
                <w:b w:val="0"/>
              </w:rPr>
              <w:t>其他存款利息收入</w:t>
            </w:r>
          </w:p>
        </w:tc>
        <w:tc>
          <w:tcPr>
            <w:tcW w:w="0" w:type="dxa"/>
          </w:tcPr>
          <w:p w14:paraId="089CB883">
            <w:pPr>
              <w:spacing w:line="240" w:lineRule="auto"/>
              <w:jc w:val="right"/>
            </w:pPr>
            <w:r>
              <w:rPr>
                <w:rFonts w:ascii="宋体" w:hAnsi="宋体" w:eastAsia="宋体" w:cs="宋体"/>
                <w:b w:val="0"/>
              </w:rPr>
              <w:t>38.73</w:t>
            </w:r>
          </w:p>
        </w:tc>
      </w:tr>
      <w:tr w14:paraId="3C9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A480B6">
            <w:pPr>
              <w:spacing w:line="240" w:lineRule="auto"/>
              <w:jc w:val="left"/>
            </w:pPr>
            <w:r>
              <w:rPr>
                <w:rFonts w:ascii="宋体" w:hAnsi="宋体" w:eastAsia="宋体" w:cs="宋体"/>
                <w:b w:val="0"/>
              </w:rPr>
              <w:t>结算备付金利息收入</w:t>
            </w:r>
          </w:p>
        </w:tc>
        <w:tc>
          <w:tcPr>
            <w:tcW w:w="0" w:type="dxa"/>
          </w:tcPr>
          <w:p w14:paraId="64178E9B">
            <w:pPr>
              <w:spacing w:line="240" w:lineRule="auto"/>
              <w:jc w:val="right"/>
            </w:pPr>
            <w:r>
              <w:rPr>
                <w:rFonts w:ascii="宋体" w:hAnsi="宋体" w:eastAsia="宋体" w:cs="宋体"/>
                <w:b w:val="0"/>
              </w:rPr>
              <w:t>-</w:t>
            </w:r>
          </w:p>
        </w:tc>
      </w:tr>
      <w:tr w14:paraId="06BB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1E180B">
            <w:pPr>
              <w:spacing w:line="240" w:lineRule="auto"/>
              <w:jc w:val="left"/>
            </w:pPr>
            <w:r>
              <w:rPr>
                <w:rFonts w:ascii="宋体" w:hAnsi="宋体" w:eastAsia="宋体" w:cs="宋体"/>
                <w:b w:val="0"/>
              </w:rPr>
              <w:t>其他</w:t>
            </w:r>
          </w:p>
        </w:tc>
        <w:tc>
          <w:tcPr>
            <w:tcW w:w="0" w:type="dxa"/>
          </w:tcPr>
          <w:p w14:paraId="146E356E">
            <w:pPr>
              <w:spacing w:line="240" w:lineRule="auto"/>
              <w:jc w:val="right"/>
            </w:pPr>
            <w:r>
              <w:rPr>
                <w:rFonts w:ascii="宋体" w:hAnsi="宋体" w:eastAsia="宋体" w:cs="宋体"/>
                <w:b w:val="0"/>
              </w:rPr>
              <w:t>-</w:t>
            </w:r>
          </w:p>
        </w:tc>
      </w:tr>
      <w:tr w14:paraId="1BE0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CDDF47">
            <w:pPr>
              <w:spacing w:line="240" w:lineRule="auto"/>
              <w:jc w:val="center"/>
            </w:pPr>
            <w:r>
              <w:rPr>
                <w:rFonts w:ascii="宋体" w:hAnsi="宋体" w:eastAsia="宋体" w:cs="宋体"/>
                <w:b w:val="0"/>
              </w:rPr>
              <w:t>合计</w:t>
            </w:r>
          </w:p>
        </w:tc>
        <w:tc>
          <w:tcPr>
            <w:tcW w:w="0" w:type="dxa"/>
          </w:tcPr>
          <w:p w14:paraId="3A66C237">
            <w:pPr>
              <w:spacing w:line="240" w:lineRule="auto"/>
              <w:jc w:val="right"/>
            </w:pPr>
            <w:r>
              <w:rPr>
                <w:rFonts w:ascii="宋体" w:hAnsi="宋体" w:eastAsia="宋体" w:cs="宋体"/>
                <w:b w:val="0"/>
              </w:rPr>
              <w:t>105.82</w:t>
            </w:r>
          </w:p>
        </w:tc>
      </w:tr>
    </w:tbl>
    <w:p w14:paraId="50D82E67">
      <w:r>
        <w:rPr>
          <w:rFonts w:ascii="宋体" w:hAnsi="宋体" w:eastAsia="宋体" w:cs="宋体"/>
          <w:b w:val="0"/>
        </w:rPr>
        <w:t>注：其他存款利息收入为存放在证券经纪商基金专用证券账户的证券交易结算资金产生的利息收入。</w:t>
      </w:r>
    </w:p>
    <w:p w14:paraId="3E05758F"/>
    <w:p w14:paraId="66CCAC35">
      <w:r>
        <w:rPr>
          <w:rFonts w:ascii="宋体" w:hAnsi="宋体" w:eastAsia="宋体" w:cs="宋体"/>
          <w:b/>
        </w:rPr>
        <w:t>6.4.7.10 股票投资收益——买卖股票差价收入</w:t>
      </w:r>
    </w:p>
    <w:p w14:paraId="0995520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AD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5462EDA2">
            <w:pPr>
              <w:spacing w:line="240" w:lineRule="auto"/>
              <w:jc w:val="center"/>
            </w:pPr>
            <w:r>
              <w:rPr>
                <w:rFonts w:ascii="宋体" w:hAnsi="宋体" w:eastAsia="宋体" w:cs="宋体"/>
                <w:b w:val="0"/>
              </w:rPr>
              <w:t>项目</w:t>
            </w:r>
          </w:p>
        </w:tc>
        <w:tc>
          <w:tcPr>
            <w:tcW w:w="3077" w:type="pct"/>
            <w:shd w:val="clear" w:color="auto" w:fill="D9D9D9"/>
            <w:vAlign w:val="center"/>
          </w:tcPr>
          <w:p w14:paraId="42FC5680">
            <w:pPr>
              <w:spacing w:line="240" w:lineRule="auto"/>
              <w:jc w:val="center"/>
            </w:pPr>
            <w:r>
              <w:rPr>
                <w:rFonts w:ascii="宋体" w:hAnsi="宋体" w:eastAsia="宋体" w:cs="宋体"/>
                <w:b w:val="0"/>
              </w:rPr>
              <w:t>本期2025年06月06日（基金合同生效日）至2025年06月30日</w:t>
            </w:r>
          </w:p>
        </w:tc>
      </w:tr>
      <w:tr w14:paraId="0C1C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527839">
            <w:pPr>
              <w:spacing w:line="240" w:lineRule="auto"/>
              <w:jc w:val="left"/>
            </w:pPr>
            <w:r>
              <w:rPr>
                <w:rFonts w:ascii="宋体" w:hAnsi="宋体" w:eastAsia="宋体" w:cs="宋体"/>
                <w:b w:val="0"/>
              </w:rPr>
              <w:t>卖出股票成交总额</w:t>
            </w:r>
          </w:p>
        </w:tc>
        <w:tc>
          <w:tcPr>
            <w:tcW w:w="0" w:type="dxa"/>
          </w:tcPr>
          <w:p w14:paraId="571A5704">
            <w:pPr>
              <w:spacing w:line="240" w:lineRule="auto"/>
              <w:jc w:val="right"/>
            </w:pPr>
            <w:r>
              <w:rPr>
                <w:rFonts w:ascii="宋体" w:hAnsi="宋体" w:eastAsia="宋体" w:cs="宋体"/>
                <w:b w:val="0"/>
              </w:rPr>
              <w:t>9,898,361.32</w:t>
            </w:r>
          </w:p>
        </w:tc>
      </w:tr>
      <w:tr w14:paraId="46F6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26AF60">
            <w:pPr>
              <w:spacing w:line="240" w:lineRule="auto"/>
              <w:jc w:val="left"/>
            </w:pPr>
            <w:r>
              <w:rPr>
                <w:rFonts w:ascii="宋体" w:hAnsi="宋体" w:eastAsia="宋体" w:cs="宋体"/>
                <w:b w:val="0"/>
              </w:rPr>
              <w:t>减：卖出股票成本总额</w:t>
            </w:r>
          </w:p>
        </w:tc>
        <w:tc>
          <w:tcPr>
            <w:tcW w:w="0" w:type="dxa"/>
          </w:tcPr>
          <w:p w14:paraId="67D4C23B">
            <w:pPr>
              <w:spacing w:line="240" w:lineRule="auto"/>
              <w:jc w:val="right"/>
            </w:pPr>
            <w:r>
              <w:rPr>
                <w:rFonts w:ascii="宋体" w:hAnsi="宋体" w:eastAsia="宋体" w:cs="宋体"/>
                <w:b w:val="0"/>
              </w:rPr>
              <w:t>10,052,635.67</w:t>
            </w:r>
          </w:p>
        </w:tc>
      </w:tr>
      <w:tr w14:paraId="0E99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DDFE55">
            <w:pPr>
              <w:spacing w:line="240" w:lineRule="auto"/>
              <w:jc w:val="left"/>
            </w:pPr>
            <w:r>
              <w:rPr>
                <w:rFonts w:ascii="宋体" w:hAnsi="宋体" w:eastAsia="宋体" w:cs="宋体"/>
                <w:b w:val="0"/>
              </w:rPr>
              <w:t>减：交易费用</w:t>
            </w:r>
          </w:p>
        </w:tc>
        <w:tc>
          <w:tcPr>
            <w:tcW w:w="0" w:type="dxa"/>
          </w:tcPr>
          <w:p w14:paraId="49ECB9E4">
            <w:pPr>
              <w:spacing w:line="240" w:lineRule="auto"/>
              <w:jc w:val="right"/>
            </w:pPr>
            <w:r>
              <w:rPr>
                <w:rFonts w:ascii="宋体" w:hAnsi="宋体" w:eastAsia="宋体" w:cs="宋体"/>
                <w:b w:val="0"/>
              </w:rPr>
              <w:t>20,351.25</w:t>
            </w:r>
          </w:p>
        </w:tc>
      </w:tr>
      <w:tr w14:paraId="410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7ED829">
            <w:pPr>
              <w:spacing w:line="240" w:lineRule="auto"/>
              <w:jc w:val="left"/>
            </w:pPr>
            <w:r>
              <w:rPr>
                <w:rFonts w:ascii="宋体" w:hAnsi="宋体" w:eastAsia="宋体" w:cs="宋体"/>
                <w:b w:val="0"/>
              </w:rPr>
              <w:t>买卖股票差价收入</w:t>
            </w:r>
          </w:p>
        </w:tc>
        <w:tc>
          <w:tcPr>
            <w:tcW w:w="0" w:type="dxa"/>
          </w:tcPr>
          <w:p w14:paraId="4BC47F36">
            <w:pPr>
              <w:spacing w:line="240" w:lineRule="auto"/>
              <w:jc w:val="right"/>
            </w:pPr>
            <w:r>
              <w:rPr>
                <w:rFonts w:ascii="宋体" w:hAnsi="宋体" w:eastAsia="宋体" w:cs="宋体"/>
                <w:b w:val="0"/>
              </w:rPr>
              <w:t>-174,625.60</w:t>
            </w:r>
          </w:p>
        </w:tc>
      </w:tr>
    </w:tbl>
    <w:p w14:paraId="2C12658D"/>
    <w:p w14:paraId="062EBCF8">
      <w:r>
        <w:rPr>
          <w:rFonts w:ascii="宋体" w:hAnsi="宋体" w:eastAsia="宋体" w:cs="宋体"/>
          <w:b/>
        </w:rPr>
        <w:t>6.4.7.11 债券投资收益</w:t>
      </w:r>
    </w:p>
    <w:p w14:paraId="738E424A">
      <w:r>
        <w:rPr>
          <w:rFonts w:ascii="宋体" w:hAnsi="宋体" w:eastAsia="宋体" w:cs="宋体"/>
          <w:b/>
        </w:rPr>
        <w:t>6.4.7.11.1 债券投资收益项目构成</w:t>
      </w:r>
    </w:p>
    <w:p w14:paraId="7AC9704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8"/>
        <w:gridCol w:w="4888"/>
      </w:tblGrid>
      <w:tr w14:paraId="0556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pct"/>
            <w:shd w:val="clear" w:color="auto" w:fill="D9D9D9"/>
            <w:vAlign w:val="center"/>
          </w:tcPr>
          <w:p w14:paraId="3E9575DA">
            <w:pPr>
              <w:spacing w:line="240" w:lineRule="auto"/>
              <w:jc w:val="center"/>
            </w:pPr>
            <w:r>
              <w:rPr>
                <w:rFonts w:ascii="宋体" w:hAnsi="宋体" w:eastAsia="宋体" w:cs="宋体"/>
                <w:b w:val="0"/>
              </w:rPr>
              <w:t>项目</w:t>
            </w:r>
          </w:p>
        </w:tc>
        <w:tc>
          <w:tcPr>
            <w:tcW w:w="2500" w:type="pct"/>
            <w:shd w:val="clear" w:color="auto" w:fill="D9D9D9"/>
            <w:vAlign w:val="center"/>
          </w:tcPr>
          <w:p w14:paraId="52CF9051">
            <w:pPr>
              <w:spacing w:line="240" w:lineRule="auto"/>
              <w:jc w:val="center"/>
            </w:pPr>
            <w:r>
              <w:rPr>
                <w:rFonts w:ascii="宋体" w:hAnsi="宋体" w:eastAsia="宋体" w:cs="宋体"/>
                <w:b w:val="0"/>
              </w:rPr>
              <w:t>本期2025年06月06日（基金合同生效日）至2025年06月30日</w:t>
            </w:r>
          </w:p>
        </w:tc>
      </w:tr>
      <w:tr w14:paraId="375D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4DE803">
            <w:pPr>
              <w:spacing w:line="240" w:lineRule="auto"/>
              <w:jc w:val="left"/>
            </w:pPr>
            <w:r>
              <w:rPr>
                <w:rFonts w:ascii="宋体" w:hAnsi="宋体" w:eastAsia="宋体" w:cs="宋体"/>
                <w:b w:val="0"/>
              </w:rPr>
              <w:t>债券投资收益——利息收入</w:t>
            </w:r>
          </w:p>
        </w:tc>
        <w:tc>
          <w:tcPr>
            <w:tcW w:w="0" w:type="dxa"/>
            <w:vAlign w:val="center"/>
          </w:tcPr>
          <w:p w14:paraId="63BA7F23">
            <w:pPr>
              <w:spacing w:line="240" w:lineRule="auto"/>
              <w:jc w:val="right"/>
            </w:pPr>
            <w:r>
              <w:rPr>
                <w:rFonts w:ascii="宋体" w:hAnsi="宋体" w:eastAsia="宋体" w:cs="宋体"/>
                <w:b w:val="0"/>
              </w:rPr>
              <w:t>400.44</w:t>
            </w:r>
          </w:p>
        </w:tc>
      </w:tr>
      <w:tr w14:paraId="6686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F85BA3">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4AAEFD77">
            <w:pPr>
              <w:spacing w:line="240" w:lineRule="auto"/>
              <w:jc w:val="right"/>
            </w:pPr>
            <w:r>
              <w:rPr>
                <w:rFonts w:ascii="宋体" w:hAnsi="宋体" w:eastAsia="宋体" w:cs="宋体"/>
                <w:b w:val="0"/>
              </w:rPr>
              <w:t>-120.39</w:t>
            </w:r>
          </w:p>
        </w:tc>
      </w:tr>
      <w:tr w14:paraId="55C0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C3F092">
            <w:pPr>
              <w:spacing w:line="240" w:lineRule="auto"/>
              <w:jc w:val="left"/>
            </w:pPr>
            <w:r>
              <w:rPr>
                <w:rFonts w:ascii="宋体" w:hAnsi="宋体" w:eastAsia="宋体" w:cs="宋体"/>
                <w:b w:val="0"/>
              </w:rPr>
              <w:t>债券投资收益——赎回差价收入</w:t>
            </w:r>
          </w:p>
        </w:tc>
        <w:tc>
          <w:tcPr>
            <w:tcW w:w="0" w:type="dxa"/>
            <w:vAlign w:val="center"/>
          </w:tcPr>
          <w:p w14:paraId="07B572BF">
            <w:pPr>
              <w:spacing w:line="240" w:lineRule="auto"/>
              <w:jc w:val="right"/>
            </w:pPr>
            <w:r>
              <w:rPr>
                <w:rFonts w:ascii="宋体" w:hAnsi="宋体" w:eastAsia="宋体" w:cs="宋体"/>
                <w:b w:val="0"/>
              </w:rPr>
              <w:t>-</w:t>
            </w:r>
          </w:p>
        </w:tc>
      </w:tr>
      <w:tr w14:paraId="48E7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0CDAE4">
            <w:pPr>
              <w:spacing w:line="240" w:lineRule="auto"/>
              <w:jc w:val="left"/>
            </w:pPr>
            <w:r>
              <w:rPr>
                <w:rFonts w:ascii="宋体" w:hAnsi="宋体" w:eastAsia="宋体" w:cs="宋体"/>
                <w:b w:val="0"/>
              </w:rPr>
              <w:t>债券投资收益——申购差价收入</w:t>
            </w:r>
          </w:p>
        </w:tc>
        <w:tc>
          <w:tcPr>
            <w:tcW w:w="0" w:type="dxa"/>
            <w:vAlign w:val="center"/>
          </w:tcPr>
          <w:p w14:paraId="4487AC29">
            <w:pPr>
              <w:spacing w:line="240" w:lineRule="auto"/>
              <w:jc w:val="right"/>
            </w:pPr>
            <w:r>
              <w:rPr>
                <w:rFonts w:ascii="宋体" w:hAnsi="宋体" w:eastAsia="宋体" w:cs="宋体"/>
                <w:b w:val="0"/>
              </w:rPr>
              <w:t>-</w:t>
            </w:r>
          </w:p>
        </w:tc>
      </w:tr>
      <w:tr w14:paraId="40D3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2C6A11">
            <w:pPr>
              <w:spacing w:line="240" w:lineRule="auto"/>
              <w:jc w:val="left"/>
            </w:pPr>
            <w:r>
              <w:rPr>
                <w:rFonts w:ascii="宋体" w:hAnsi="宋体" w:eastAsia="宋体" w:cs="宋体"/>
                <w:b w:val="0"/>
              </w:rPr>
              <w:t>合计</w:t>
            </w:r>
          </w:p>
        </w:tc>
        <w:tc>
          <w:tcPr>
            <w:tcW w:w="0" w:type="dxa"/>
            <w:vAlign w:val="center"/>
          </w:tcPr>
          <w:p w14:paraId="3CF04FB9">
            <w:pPr>
              <w:spacing w:line="240" w:lineRule="auto"/>
              <w:jc w:val="right"/>
            </w:pPr>
            <w:r>
              <w:rPr>
                <w:rFonts w:ascii="宋体" w:hAnsi="宋体" w:eastAsia="宋体" w:cs="宋体"/>
                <w:b w:val="0"/>
              </w:rPr>
              <w:t>280.05</w:t>
            </w:r>
          </w:p>
        </w:tc>
      </w:tr>
    </w:tbl>
    <w:p w14:paraId="5A9F311D"/>
    <w:p w14:paraId="03E259A6">
      <w:r>
        <w:rPr>
          <w:rFonts w:ascii="宋体" w:hAnsi="宋体" w:eastAsia="宋体" w:cs="宋体"/>
          <w:b/>
        </w:rPr>
        <w:t>6.4.7.11.2 债券投资收益——买卖债券差价收入</w:t>
      </w:r>
    </w:p>
    <w:p w14:paraId="4792502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6"/>
        <w:gridCol w:w="3980"/>
      </w:tblGrid>
      <w:tr w14:paraId="48F4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vAlign w:val="center"/>
          </w:tcPr>
          <w:p w14:paraId="2F7EF9C6">
            <w:pPr>
              <w:spacing w:line="240" w:lineRule="auto"/>
              <w:jc w:val="center"/>
            </w:pPr>
            <w:r>
              <w:rPr>
                <w:rFonts w:ascii="宋体" w:hAnsi="宋体" w:eastAsia="宋体" w:cs="宋体"/>
                <w:b w:val="0"/>
              </w:rPr>
              <w:t>项目</w:t>
            </w:r>
          </w:p>
        </w:tc>
        <w:tc>
          <w:tcPr>
            <w:tcW w:w="1500" w:type="pct"/>
            <w:shd w:val="clear" w:color="auto" w:fill="D9D9D9"/>
            <w:vAlign w:val="center"/>
          </w:tcPr>
          <w:p w14:paraId="4178A7A9">
            <w:pPr>
              <w:spacing w:line="240" w:lineRule="auto"/>
              <w:jc w:val="center"/>
            </w:pPr>
            <w:r>
              <w:rPr>
                <w:rFonts w:ascii="宋体" w:hAnsi="宋体" w:eastAsia="宋体" w:cs="宋体"/>
                <w:b w:val="0"/>
              </w:rPr>
              <w:t>本期2025年06月06日（基金合同生效日）至2025年06月30日</w:t>
            </w:r>
          </w:p>
        </w:tc>
      </w:tr>
      <w:tr w14:paraId="20D1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2D7C35">
            <w:pPr>
              <w:spacing w:line="240" w:lineRule="auto"/>
              <w:jc w:val="left"/>
            </w:pPr>
            <w:r>
              <w:rPr>
                <w:rFonts w:ascii="宋体" w:hAnsi="宋体" w:eastAsia="宋体" w:cs="宋体"/>
                <w:b w:val="0"/>
              </w:rPr>
              <w:t>卖出债券（债转股及债券到期兑付）成交总额</w:t>
            </w:r>
          </w:p>
        </w:tc>
        <w:tc>
          <w:tcPr>
            <w:tcW w:w="0" w:type="dxa"/>
            <w:vAlign w:val="center"/>
          </w:tcPr>
          <w:p w14:paraId="27D5D683">
            <w:pPr>
              <w:spacing w:line="240" w:lineRule="auto"/>
              <w:jc w:val="right"/>
            </w:pPr>
            <w:r>
              <w:rPr>
                <w:rFonts w:ascii="宋体" w:hAnsi="宋体" w:eastAsia="宋体" w:cs="宋体"/>
                <w:b w:val="0"/>
              </w:rPr>
              <w:t>-</w:t>
            </w:r>
          </w:p>
        </w:tc>
      </w:tr>
      <w:tr w14:paraId="2168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642FCE">
            <w:pPr>
              <w:spacing w:line="240" w:lineRule="auto"/>
              <w:jc w:val="left"/>
            </w:pPr>
            <w:r>
              <w:rPr>
                <w:rFonts w:ascii="宋体" w:hAnsi="宋体" w:eastAsia="宋体" w:cs="宋体"/>
                <w:b w:val="0"/>
              </w:rPr>
              <w:t>减：卖出债券（债转股及债券到期兑付）成本总额</w:t>
            </w:r>
          </w:p>
        </w:tc>
        <w:tc>
          <w:tcPr>
            <w:tcW w:w="0" w:type="dxa"/>
            <w:vAlign w:val="center"/>
          </w:tcPr>
          <w:p w14:paraId="71A7E604">
            <w:pPr>
              <w:spacing w:line="240" w:lineRule="auto"/>
              <w:jc w:val="right"/>
            </w:pPr>
            <w:r>
              <w:rPr>
                <w:rFonts w:ascii="宋体" w:hAnsi="宋体" w:eastAsia="宋体" w:cs="宋体"/>
                <w:b w:val="0"/>
              </w:rPr>
              <w:t>-</w:t>
            </w:r>
          </w:p>
        </w:tc>
      </w:tr>
      <w:tr w14:paraId="2A70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B8F2F4">
            <w:pPr>
              <w:spacing w:line="240" w:lineRule="auto"/>
              <w:jc w:val="left"/>
            </w:pPr>
            <w:r>
              <w:rPr>
                <w:rFonts w:ascii="宋体" w:hAnsi="宋体" w:eastAsia="宋体" w:cs="宋体"/>
                <w:b w:val="0"/>
              </w:rPr>
              <w:t>减：应计利息总额</w:t>
            </w:r>
          </w:p>
        </w:tc>
        <w:tc>
          <w:tcPr>
            <w:tcW w:w="0" w:type="dxa"/>
            <w:vAlign w:val="center"/>
          </w:tcPr>
          <w:p w14:paraId="21732351">
            <w:pPr>
              <w:spacing w:line="240" w:lineRule="auto"/>
              <w:jc w:val="right"/>
            </w:pPr>
            <w:r>
              <w:rPr>
                <w:rFonts w:ascii="宋体" w:hAnsi="宋体" w:eastAsia="宋体" w:cs="宋体"/>
                <w:b w:val="0"/>
              </w:rPr>
              <w:t>-</w:t>
            </w:r>
          </w:p>
        </w:tc>
      </w:tr>
      <w:tr w14:paraId="3DB6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BB4D5E">
            <w:pPr>
              <w:spacing w:line="240" w:lineRule="auto"/>
              <w:jc w:val="left"/>
            </w:pPr>
            <w:r>
              <w:rPr>
                <w:rFonts w:ascii="宋体" w:hAnsi="宋体" w:eastAsia="宋体" w:cs="宋体"/>
                <w:b w:val="0"/>
              </w:rPr>
              <w:t>减：交易费用</w:t>
            </w:r>
          </w:p>
        </w:tc>
        <w:tc>
          <w:tcPr>
            <w:tcW w:w="0" w:type="dxa"/>
            <w:vAlign w:val="center"/>
          </w:tcPr>
          <w:p w14:paraId="4802C4ED">
            <w:pPr>
              <w:spacing w:line="240" w:lineRule="auto"/>
              <w:jc w:val="right"/>
            </w:pPr>
            <w:r>
              <w:rPr>
                <w:rFonts w:ascii="宋体" w:hAnsi="宋体" w:eastAsia="宋体" w:cs="宋体"/>
                <w:b w:val="0"/>
              </w:rPr>
              <w:t>120.39</w:t>
            </w:r>
          </w:p>
        </w:tc>
      </w:tr>
      <w:tr w14:paraId="1F7F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98C44B">
            <w:pPr>
              <w:spacing w:line="240" w:lineRule="auto"/>
              <w:jc w:val="left"/>
            </w:pPr>
            <w:r>
              <w:rPr>
                <w:rFonts w:ascii="宋体" w:hAnsi="宋体" w:eastAsia="宋体" w:cs="宋体"/>
                <w:b w:val="0"/>
              </w:rPr>
              <w:t>买卖债券差价收入</w:t>
            </w:r>
          </w:p>
        </w:tc>
        <w:tc>
          <w:tcPr>
            <w:tcW w:w="0" w:type="dxa"/>
            <w:vAlign w:val="center"/>
          </w:tcPr>
          <w:p w14:paraId="12BDB3B1">
            <w:pPr>
              <w:spacing w:line="240" w:lineRule="auto"/>
              <w:jc w:val="right"/>
            </w:pPr>
            <w:r>
              <w:rPr>
                <w:rFonts w:ascii="宋体" w:hAnsi="宋体" w:eastAsia="宋体" w:cs="宋体"/>
                <w:b w:val="0"/>
              </w:rPr>
              <w:t>-120.39</w:t>
            </w:r>
          </w:p>
        </w:tc>
      </w:tr>
    </w:tbl>
    <w:p w14:paraId="221EE48C"/>
    <w:p w14:paraId="6DBFCEDD">
      <w:r>
        <w:rPr>
          <w:rFonts w:ascii="宋体" w:hAnsi="宋体" w:eastAsia="宋体" w:cs="宋体"/>
          <w:b/>
        </w:rPr>
        <w:t>6.4.7.12 资产支持证券投资收益</w:t>
      </w:r>
    </w:p>
    <w:p w14:paraId="62C6972B">
      <w:r>
        <w:rPr>
          <w:rFonts w:ascii="宋体" w:hAnsi="宋体" w:eastAsia="宋体" w:cs="宋体"/>
          <w:b w:val="0"/>
        </w:rPr>
        <w:t xml:space="preserve">    本基金本报告期内无资产支持证券投资收益。</w:t>
      </w:r>
    </w:p>
    <w:p w14:paraId="068DCEE8"/>
    <w:p w14:paraId="0FFE8D3B">
      <w:r>
        <w:rPr>
          <w:rFonts w:ascii="宋体" w:hAnsi="宋体" w:eastAsia="宋体" w:cs="宋体"/>
          <w:b/>
        </w:rPr>
        <w:t>6.4.7.13 贵金属投资收益</w:t>
      </w:r>
    </w:p>
    <w:p w14:paraId="20646D6A">
      <w:r>
        <w:rPr>
          <w:rFonts w:ascii="宋体" w:hAnsi="宋体" w:eastAsia="宋体" w:cs="宋体"/>
          <w:b w:val="0"/>
        </w:rPr>
        <w:t xml:space="preserve">    本基金本报告期内无贵金属投资收益。</w:t>
      </w:r>
    </w:p>
    <w:p w14:paraId="3340A056"/>
    <w:p w14:paraId="4B9BAE16">
      <w:r>
        <w:rPr>
          <w:rFonts w:ascii="宋体" w:hAnsi="宋体" w:eastAsia="宋体" w:cs="宋体"/>
          <w:b/>
        </w:rPr>
        <w:t>6.4.7.14 衍生工具收益</w:t>
      </w:r>
    </w:p>
    <w:p w14:paraId="44D468DE">
      <w:r>
        <w:rPr>
          <w:rFonts w:ascii="宋体" w:hAnsi="宋体" w:eastAsia="宋体" w:cs="宋体"/>
          <w:b w:val="0"/>
        </w:rPr>
        <w:t xml:space="preserve">    本基金本报告期内无衍生工具收益。</w:t>
      </w:r>
    </w:p>
    <w:p w14:paraId="1AD3867C"/>
    <w:p w14:paraId="76CE6B78">
      <w:r>
        <w:rPr>
          <w:rFonts w:ascii="宋体" w:hAnsi="宋体" w:eastAsia="宋体" w:cs="宋体"/>
          <w:b/>
        </w:rPr>
        <w:t>6.4.7.15 股利收益</w:t>
      </w:r>
    </w:p>
    <w:p w14:paraId="53EE463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0923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3F4DE0D3">
            <w:pPr>
              <w:spacing w:line="240" w:lineRule="auto"/>
              <w:jc w:val="center"/>
            </w:pPr>
            <w:r>
              <w:rPr>
                <w:rFonts w:ascii="宋体" w:hAnsi="宋体" w:eastAsia="宋体" w:cs="宋体"/>
                <w:b w:val="0"/>
              </w:rPr>
              <w:t>项目</w:t>
            </w:r>
          </w:p>
        </w:tc>
        <w:tc>
          <w:tcPr>
            <w:tcW w:w="3077" w:type="pct"/>
            <w:shd w:val="clear" w:color="auto" w:fill="D9D9D9"/>
            <w:vAlign w:val="center"/>
          </w:tcPr>
          <w:p w14:paraId="4CABE6B8">
            <w:pPr>
              <w:spacing w:line="240" w:lineRule="auto"/>
              <w:jc w:val="center"/>
            </w:pPr>
            <w:r>
              <w:rPr>
                <w:rFonts w:ascii="宋体" w:hAnsi="宋体" w:eastAsia="宋体" w:cs="宋体"/>
                <w:b w:val="0"/>
              </w:rPr>
              <w:t>本期2025年06月06日（基金合同生效日）至2025年06月30日</w:t>
            </w:r>
          </w:p>
        </w:tc>
      </w:tr>
      <w:tr w14:paraId="1A4C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1ADA35">
            <w:pPr>
              <w:spacing w:line="240" w:lineRule="auto"/>
              <w:jc w:val="left"/>
            </w:pPr>
            <w:r>
              <w:rPr>
                <w:rFonts w:ascii="宋体" w:hAnsi="宋体" w:eastAsia="宋体" w:cs="宋体"/>
                <w:b w:val="0"/>
              </w:rPr>
              <w:t>股票投资产生的股利收益</w:t>
            </w:r>
          </w:p>
        </w:tc>
        <w:tc>
          <w:tcPr>
            <w:tcW w:w="0" w:type="dxa"/>
          </w:tcPr>
          <w:p w14:paraId="224B2FF2">
            <w:pPr>
              <w:spacing w:line="240" w:lineRule="auto"/>
              <w:jc w:val="right"/>
            </w:pPr>
            <w:r>
              <w:rPr>
                <w:rFonts w:ascii="宋体" w:hAnsi="宋体" w:eastAsia="宋体" w:cs="宋体"/>
                <w:b w:val="0"/>
              </w:rPr>
              <w:t>36,106.18</w:t>
            </w:r>
          </w:p>
        </w:tc>
      </w:tr>
      <w:tr w14:paraId="0125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D7539F">
            <w:pPr>
              <w:spacing w:line="240" w:lineRule="auto"/>
              <w:jc w:val="left"/>
            </w:pPr>
            <w:r>
              <w:rPr>
                <w:rFonts w:ascii="宋体" w:hAnsi="宋体" w:eastAsia="宋体" w:cs="宋体"/>
                <w:b w:val="0"/>
              </w:rPr>
              <w:t>其中：证券出借权益补偿收入</w:t>
            </w:r>
          </w:p>
        </w:tc>
        <w:tc>
          <w:tcPr>
            <w:tcW w:w="0" w:type="dxa"/>
          </w:tcPr>
          <w:p w14:paraId="52848886">
            <w:pPr>
              <w:spacing w:line="240" w:lineRule="auto"/>
              <w:jc w:val="right"/>
            </w:pPr>
            <w:r>
              <w:rPr>
                <w:rFonts w:ascii="宋体" w:hAnsi="宋体" w:eastAsia="宋体" w:cs="宋体"/>
                <w:b w:val="0"/>
              </w:rPr>
              <w:t>-</w:t>
            </w:r>
          </w:p>
        </w:tc>
      </w:tr>
      <w:tr w14:paraId="0EFA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4C2BEA">
            <w:pPr>
              <w:spacing w:line="240" w:lineRule="auto"/>
              <w:jc w:val="left"/>
            </w:pPr>
            <w:r>
              <w:rPr>
                <w:rFonts w:ascii="宋体" w:hAnsi="宋体" w:eastAsia="宋体" w:cs="宋体"/>
                <w:b w:val="0"/>
              </w:rPr>
              <w:t>基金投资产生的股利收益</w:t>
            </w:r>
          </w:p>
        </w:tc>
        <w:tc>
          <w:tcPr>
            <w:tcW w:w="0" w:type="dxa"/>
          </w:tcPr>
          <w:p w14:paraId="5CE2EE0E">
            <w:pPr>
              <w:spacing w:line="240" w:lineRule="auto"/>
              <w:jc w:val="right"/>
            </w:pPr>
            <w:r>
              <w:rPr>
                <w:rFonts w:ascii="宋体" w:hAnsi="宋体" w:eastAsia="宋体" w:cs="宋体"/>
                <w:b w:val="0"/>
              </w:rPr>
              <w:t>-</w:t>
            </w:r>
          </w:p>
        </w:tc>
      </w:tr>
      <w:tr w14:paraId="0BC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C43DE9">
            <w:pPr>
              <w:spacing w:line="240" w:lineRule="auto"/>
              <w:jc w:val="center"/>
            </w:pPr>
            <w:r>
              <w:rPr>
                <w:rFonts w:ascii="宋体" w:hAnsi="宋体" w:eastAsia="宋体" w:cs="宋体"/>
                <w:b w:val="0"/>
              </w:rPr>
              <w:t>合计</w:t>
            </w:r>
          </w:p>
        </w:tc>
        <w:tc>
          <w:tcPr>
            <w:tcW w:w="0" w:type="dxa"/>
          </w:tcPr>
          <w:p w14:paraId="55DC3BFE">
            <w:pPr>
              <w:spacing w:line="240" w:lineRule="auto"/>
              <w:jc w:val="right"/>
            </w:pPr>
            <w:r>
              <w:rPr>
                <w:rFonts w:ascii="宋体" w:hAnsi="宋体" w:eastAsia="宋体" w:cs="宋体"/>
                <w:b w:val="0"/>
              </w:rPr>
              <w:t>36,106.18</w:t>
            </w:r>
          </w:p>
        </w:tc>
      </w:tr>
    </w:tbl>
    <w:p w14:paraId="101C8437"/>
    <w:p w14:paraId="520E1EB7">
      <w:r>
        <w:rPr>
          <w:rFonts w:ascii="宋体" w:hAnsi="宋体" w:eastAsia="宋体" w:cs="宋体"/>
          <w:b/>
        </w:rPr>
        <w:t>6.4.7.16 公允价值变动收益</w:t>
      </w:r>
    </w:p>
    <w:p w14:paraId="34FC2DB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6191"/>
      </w:tblGrid>
      <w:tr w14:paraId="1B28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shd w:val="clear" w:color="auto" w:fill="D9D9D9"/>
            <w:vAlign w:val="center"/>
          </w:tcPr>
          <w:p w14:paraId="3CBF336C">
            <w:pPr>
              <w:spacing w:line="240" w:lineRule="auto"/>
              <w:jc w:val="center"/>
            </w:pPr>
            <w:r>
              <w:rPr>
                <w:rFonts w:ascii="宋体" w:hAnsi="宋体" w:eastAsia="宋体" w:cs="宋体"/>
                <w:b w:val="0"/>
              </w:rPr>
              <w:t>项目名称</w:t>
            </w:r>
          </w:p>
        </w:tc>
        <w:tc>
          <w:tcPr>
            <w:tcW w:w="3000" w:type="pct"/>
            <w:shd w:val="clear" w:color="auto" w:fill="D9D9D9"/>
            <w:vAlign w:val="center"/>
          </w:tcPr>
          <w:p w14:paraId="3E97A431">
            <w:pPr>
              <w:spacing w:line="240" w:lineRule="auto"/>
              <w:jc w:val="center"/>
            </w:pPr>
            <w:r>
              <w:rPr>
                <w:rFonts w:ascii="宋体" w:hAnsi="宋体" w:eastAsia="宋体" w:cs="宋体"/>
                <w:b w:val="0"/>
              </w:rPr>
              <w:t>本期2025年06月06日（基金合同生效日）至2025年06月30日</w:t>
            </w:r>
          </w:p>
        </w:tc>
      </w:tr>
      <w:tr w14:paraId="0CBD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2B9220">
            <w:pPr>
              <w:spacing w:line="240" w:lineRule="auto"/>
              <w:jc w:val="left"/>
            </w:pPr>
            <w:r>
              <w:rPr>
                <w:rFonts w:ascii="宋体" w:hAnsi="宋体" w:eastAsia="宋体" w:cs="宋体"/>
                <w:b w:val="0"/>
              </w:rPr>
              <w:t>1.交易性金融资产</w:t>
            </w:r>
          </w:p>
        </w:tc>
        <w:tc>
          <w:tcPr>
            <w:tcW w:w="0" w:type="dxa"/>
          </w:tcPr>
          <w:p w14:paraId="38A37574">
            <w:pPr>
              <w:spacing w:line="240" w:lineRule="auto"/>
              <w:jc w:val="right"/>
            </w:pPr>
            <w:r>
              <w:rPr>
                <w:rFonts w:ascii="宋体" w:hAnsi="宋体" w:eastAsia="宋体" w:cs="宋体"/>
                <w:b w:val="0"/>
              </w:rPr>
              <w:t>73,963.13</w:t>
            </w:r>
          </w:p>
        </w:tc>
      </w:tr>
      <w:tr w14:paraId="43A4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F38502">
            <w:pPr>
              <w:spacing w:line="240" w:lineRule="auto"/>
              <w:jc w:val="left"/>
            </w:pPr>
            <w:r>
              <w:rPr>
                <w:rFonts w:ascii="宋体" w:hAnsi="宋体" w:eastAsia="宋体" w:cs="宋体"/>
                <w:b w:val="0"/>
              </w:rPr>
              <w:t>——股票投资</w:t>
            </w:r>
          </w:p>
        </w:tc>
        <w:tc>
          <w:tcPr>
            <w:tcW w:w="0" w:type="dxa"/>
          </w:tcPr>
          <w:p w14:paraId="0D308B6B">
            <w:pPr>
              <w:spacing w:line="240" w:lineRule="auto"/>
              <w:jc w:val="right"/>
            </w:pPr>
            <w:r>
              <w:rPr>
                <w:rFonts w:ascii="宋体" w:hAnsi="宋体" w:eastAsia="宋体" w:cs="宋体"/>
                <w:b w:val="0"/>
              </w:rPr>
              <w:t>73,663.13</w:t>
            </w:r>
          </w:p>
        </w:tc>
      </w:tr>
      <w:tr w14:paraId="0961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4C0C7C">
            <w:pPr>
              <w:spacing w:line="240" w:lineRule="auto"/>
              <w:jc w:val="left"/>
            </w:pPr>
            <w:r>
              <w:rPr>
                <w:rFonts w:ascii="宋体" w:hAnsi="宋体" w:eastAsia="宋体" w:cs="宋体"/>
                <w:b w:val="0"/>
              </w:rPr>
              <w:t>——债券投资</w:t>
            </w:r>
          </w:p>
        </w:tc>
        <w:tc>
          <w:tcPr>
            <w:tcW w:w="0" w:type="dxa"/>
          </w:tcPr>
          <w:p w14:paraId="24AFEBB4">
            <w:pPr>
              <w:spacing w:line="240" w:lineRule="auto"/>
              <w:jc w:val="right"/>
            </w:pPr>
            <w:r>
              <w:rPr>
                <w:rFonts w:ascii="宋体" w:hAnsi="宋体" w:eastAsia="宋体" w:cs="宋体"/>
                <w:b w:val="0"/>
              </w:rPr>
              <w:t>300.00</w:t>
            </w:r>
          </w:p>
        </w:tc>
      </w:tr>
      <w:tr w14:paraId="0224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17227B">
            <w:pPr>
              <w:spacing w:line="240" w:lineRule="auto"/>
              <w:jc w:val="left"/>
            </w:pPr>
            <w:r>
              <w:rPr>
                <w:rFonts w:ascii="宋体" w:hAnsi="宋体" w:eastAsia="宋体" w:cs="宋体"/>
                <w:b w:val="0"/>
              </w:rPr>
              <w:t>——资产支持证券投资</w:t>
            </w:r>
          </w:p>
        </w:tc>
        <w:tc>
          <w:tcPr>
            <w:tcW w:w="0" w:type="dxa"/>
          </w:tcPr>
          <w:p w14:paraId="450682B7">
            <w:pPr>
              <w:spacing w:line="240" w:lineRule="auto"/>
              <w:jc w:val="right"/>
            </w:pPr>
            <w:r>
              <w:rPr>
                <w:rFonts w:ascii="宋体" w:hAnsi="宋体" w:eastAsia="宋体" w:cs="宋体"/>
                <w:b w:val="0"/>
              </w:rPr>
              <w:t>-</w:t>
            </w:r>
          </w:p>
        </w:tc>
      </w:tr>
      <w:tr w14:paraId="49CB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92AC2A">
            <w:pPr>
              <w:spacing w:line="240" w:lineRule="auto"/>
              <w:jc w:val="left"/>
            </w:pPr>
            <w:r>
              <w:rPr>
                <w:rFonts w:ascii="宋体" w:hAnsi="宋体" w:eastAsia="宋体" w:cs="宋体"/>
                <w:b w:val="0"/>
              </w:rPr>
              <w:t>——基金投资</w:t>
            </w:r>
          </w:p>
        </w:tc>
        <w:tc>
          <w:tcPr>
            <w:tcW w:w="0" w:type="dxa"/>
          </w:tcPr>
          <w:p w14:paraId="0137CA9A">
            <w:pPr>
              <w:spacing w:line="240" w:lineRule="auto"/>
              <w:jc w:val="right"/>
            </w:pPr>
            <w:r>
              <w:rPr>
                <w:rFonts w:ascii="宋体" w:hAnsi="宋体" w:eastAsia="宋体" w:cs="宋体"/>
                <w:b w:val="0"/>
              </w:rPr>
              <w:t>-</w:t>
            </w:r>
          </w:p>
        </w:tc>
      </w:tr>
      <w:tr w14:paraId="0D2E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E019CC">
            <w:pPr>
              <w:spacing w:line="240" w:lineRule="auto"/>
              <w:jc w:val="left"/>
            </w:pPr>
            <w:r>
              <w:rPr>
                <w:rFonts w:ascii="宋体" w:hAnsi="宋体" w:eastAsia="宋体" w:cs="宋体"/>
                <w:b w:val="0"/>
              </w:rPr>
              <w:t>——贵金属投资</w:t>
            </w:r>
          </w:p>
        </w:tc>
        <w:tc>
          <w:tcPr>
            <w:tcW w:w="0" w:type="dxa"/>
          </w:tcPr>
          <w:p w14:paraId="5B8F9217">
            <w:pPr>
              <w:spacing w:line="240" w:lineRule="auto"/>
              <w:jc w:val="right"/>
            </w:pPr>
            <w:r>
              <w:rPr>
                <w:rFonts w:ascii="宋体" w:hAnsi="宋体" w:eastAsia="宋体" w:cs="宋体"/>
                <w:b w:val="0"/>
              </w:rPr>
              <w:t>-</w:t>
            </w:r>
          </w:p>
        </w:tc>
      </w:tr>
      <w:tr w14:paraId="2648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BACE2A">
            <w:pPr>
              <w:spacing w:line="240" w:lineRule="auto"/>
              <w:jc w:val="left"/>
            </w:pPr>
            <w:r>
              <w:rPr>
                <w:rFonts w:ascii="宋体" w:hAnsi="宋体" w:eastAsia="宋体" w:cs="宋体"/>
                <w:b w:val="0"/>
              </w:rPr>
              <w:t>——其他</w:t>
            </w:r>
          </w:p>
        </w:tc>
        <w:tc>
          <w:tcPr>
            <w:tcW w:w="0" w:type="dxa"/>
          </w:tcPr>
          <w:p w14:paraId="6B553E86">
            <w:pPr>
              <w:spacing w:line="240" w:lineRule="auto"/>
              <w:jc w:val="right"/>
            </w:pPr>
            <w:r>
              <w:rPr>
                <w:rFonts w:ascii="宋体" w:hAnsi="宋体" w:eastAsia="宋体" w:cs="宋体"/>
                <w:b w:val="0"/>
              </w:rPr>
              <w:t>-</w:t>
            </w:r>
          </w:p>
        </w:tc>
      </w:tr>
      <w:tr w14:paraId="2E6F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5AFC97">
            <w:pPr>
              <w:spacing w:line="240" w:lineRule="auto"/>
              <w:jc w:val="left"/>
            </w:pPr>
            <w:r>
              <w:rPr>
                <w:rFonts w:ascii="宋体" w:hAnsi="宋体" w:eastAsia="宋体" w:cs="宋体"/>
                <w:b w:val="0"/>
              </w:rPr>
              <w:t>2.衍生工具</w:t>
            </w:r>
          </w:p>
        </w:tc>
        <w:tc>
          <w:tcPr>
            <w:tcW w:w="0" w:type="dxa"/>
          </w:tcPr>
          <w:p w14:paraId="637E6D09">
            <w:pPr>
              <w:spacing w:line="240" w:lineRule="auto"/>
              <w:jc w:val="right"/>
            </w:pPr>
            <w:r>
              <w:rPr>
                <w:rFonts w:ascii="宋体" w:hAnsi="宋体" w:eastAsia="宋体" w:cs="宋体"/>
                <w:b w:val="0"/>
              </w:rPr>
              <w:t>-</w:t>
            </w:r>
          </w:p>
        </w:tc>
      </w:tr>
      <w:tr w14:paraId="7E35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507EA4">
            <w:pPr>
              <w:spacing w:line="240" w:lineRule="auto"/>
              <w:jc w:val="left"/>
            </w:pPr>
            <w:r>
              <w:rPr>
                <w:rFonts w:ascii="宋体" w:hAnsi="宋体" w:eastAsia="宋体" w:cs="宋体"/>
                <w:b w:val="0"/>
              </w:rPr>
              <w:t>——权证投资</w:t>
            </w:r>
          </w:p>
        </w:tc>
        <w:tc>
          <w:tcPr>
            <w:tcW w:w="0" w:type="dxa"/>
          </w:tcPr>
          <w:p w14:paraId="6C37DAB1">
            <w:pPr>
              <w:spacing w:line="240" w:lineRule="auto"/>
              <w:jc w:val="right"/>
            </w:pPr>
            <w:r>
              <w:rPr>
                <w:rFonts w:ascii="宋体" w:hAnsi="宋体" w:eastAsia="宋体" w:cs="宋体"/>
                <w:b w:val="0"/>
              </w:rPr>
              <w:t>-</w:t>
            </w:r>
          </w:p>
        </w:tc>
      </w:tr>
      <w:tr w14:paraId="4328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1DA420">
            <w:pPr>
              <w:spacing w:line="240" w:lineRule="auto"/>
              <w:jc w:val="left"/>
            </w:pPr>
            <w:r>
              <w:rPr>
                <w:rFonts w:ascii="宋体" w:hAnsi="宋体" w:eastAsia="宋体" w:cs="宋体"/>
                <w:b w:val="0"/>
              </w:rPr>
              <w:t>3.其他</w:t>
            </w:r>
          </w:p>
        </w:tc>
        <w:tc>
          <w:tcPr>
            <w:tcW w:w="0" w:type="dxa"/>
          </w:tcPr>
          <w:p w14:paraId="3B184B84">
            <w:pPr>
              <w:spacing w:line="240" w:lineRule="auto"/>
              <w:jc w:val="right"/>
            </w:pPr>
            <w:r>
              <w:rPr>
                <w:rFonts w:ascii="宋体" w:hAnsi="宋体" w:eastAsia="宋体" w:cs="宋体"/>
                <w:b w:val="0"/>
              </w:rPr>
              <w:t>-</w:t>
            </w:r>
          </w:p>
        </w:tc>
      </w:tr>
      <w:tr w14:paraId="14B5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6EB05A">
            <w:pPr>
              <w:spacing w:line="240" w:lineRule="auto"/>
              <w:jc w:val="left"/>
            </w:pPr>
            <w:r>
              <w:rPr>
                <w:rFonts w:ascii="宋体" w:hAnsi="宋体" w:eastAsia="宋体" w:cs="宋体"/>
                <w:b w:val="0"/>
              </w:rPr>
              <w:t>减：应税金融商品公允价值变动产生的预估增值税</w:t>
            </w:r>
          </w:p>
        </w:tc>
        <w:tc>
          <w:tcPr>
            <w:tcW w:w="0" w:type="dxa"/>
          </w:tcPr>
          <w:p w14:paraId="4AAA2F53">
            <w:pPr>
              <w:spacing w:line="240" w:lineRule="auto"/>
              <w:jc w:val="right"/>
            </w:pPr>
            <w:r>
              <w:rPr>
                <w:rFonts w:ascii="宋体" w:hAnsi="宋体" w:eastAsia="宋体" w:cs="宋体"/>
                <w:b w:val="0"/>
              </w:rPr>
              <w:t>-</w:t>
            </w:r>
          </w:p>
        </w:tc>
      </w:tr>
      <w:tr w14:paraId="76D4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783404">
            <w:pPr>
              <w:spacing w:line="240" w:lineRule="auto"/>
              <w:jc w:val="left"/>
            </w:pPr>
            <w:r>
              <w:rPr>
                <w:rFonts w:ascii="宋体" w:hAnsi="宋体" w:eastAsia="宋体" w:cs="宋体"/>
                <w:b w:val="0"/>
              </w:rPr>
              <w:t>合计</w:t>
            </w:r>
          </w:p>
        </w:tc>
        <w:tc>
          <w:tcPr>
            <w:tcW w:w="0" w:type="dxa"/>
          </w:tcPr>
          <w:p w14:paraId="57F65AA3">
            <w:pPr>
              <w:spacing w:line="240" w:lineRule="auto"/>
              <w:jc w:val="right"/>
            </w:pPr>
            <w:r>
              <w:rPr>
                <w:rFonts w:ascii="宋体" w:hAnsi="宋体" w:eastAsia="宋体" w:cs="宋体"/>
                <w:b w:val="0"/>
              </w:rPr>
              <w:t>73,963.13</w:t>
            </w:r>
          </w:p>
        </w:tc>
      </w:tr>
    </w:tbl>
    <w:p w14:paraId="419F249A"/>
    <w:p w14:paraId="21022BE1">
      <w:r>
        <w:rPr>
          <w:rFonts w:ascii="宋体" w:hAnsi="宋体" w:eastAsia="宋体" w:cs="宋体"/>
          <w:b/>
        </w:rPr>
        <w:t>6.4.7.17 其他收入</w:t>
      </w:r>
    </w:p>
    <w:p w14:paraId="6CDFB21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C31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7EB90A34">
            <w:pPr>
              <w:spacing w:line="240" w:lineRule="auto"/>
              <w:jc w:val="center"/>
            </w:pPr>
            <w:r>
              <w:rPr>
                <w:rFonts w:ascii="宋体" w:hAnsi="宋体" w:eastAsia="宋体" w:cs="宋体"/>
                <w:b w:val="0"/>
              </w:rPr>
              <w:t>项目</w:t>
            </w:r>
          </w:p>
        </w:tc>
        <w:tc>
          <w:tcPr>
            <w:tcW w:w="3077" w:type="pct"/>
            <w:shd w:val="clear" w:color="auto" w:fill="D9D9D9"/>
            <w:vAlign w:val="center"/>
          </w:tcPr>
          <w:p w14:paraId="70F3E85F">
            <w:pPr>
              <w:spacing w:line="240" w:lineRule="auto"/>
              <w:jc w:val="center"/>
            </w:pPr>
            <w:r>
              <w:rPr>
                <w:rFonts w:ascii="宋体" w:hAnsi="宋体" w:eastAsia="宋体" w:cs="宋体"/>
                <w:b w:val="0"/>
              </w:rPr>
              <w:t>本期2025年06月06日（基金合同生效日）至2025年06月30日</w:t>
            </w:r>
          </w:p>
        </w:tc>
      </w:tr>
      <w:tr w14:paraId="498E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B2C836">
            <w:pPr>
              <w:spacing w:line="240" w:lineRule="auto"/>
              <w:jc w:val="left"/>
            </w:pPr>
            <w:r>
              <w:rPr>
                <w:rFonts w:ascii="宋体" w:hAnsi="宋体" w:eastAsia="宋体" w:cs="宋体"/>
                <w:b w:val="0"/>
              </w:rPr>
              <w:t>基金赎回费收入</w:t>
            </w:r>
          </w:p>
        </w:tc>
        <w:tc>
          <w:tcPr>
            <w:tcW w:w="0" w:type="dxa"/>
          </w:tcPr>
          <w:p w14:paraId="3C4F4BB5">
            <w:pPr>
              <w:spacing w:line="240" w:lineRule="auto"/>
              <w:jc w:val="right"/>
            </w:pPr>
            <w:r>
              <w:rPr>
                <w:rFonts w:ascii="宋体" w:hAnsi="宋体" w:eastAsia="宋体" w:cs="宋体"/>
                <w:b w:val="0"/>
              </w:rPr>
              <w:t>8.23</w:t>
            </w:r>
          </w:p>
        </w:tc>
      </w:tr>
      <w:tr w14:paraId="118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C1B1B9">
            <w:pPr>
              <w:spacing w:line="240" w:lineRule="auto"/>
              <w:jc w:val="left"/>
            </w:pPr>
            <w:r>
              <w:rPr>
                <w:rFonts w:ascii="宋体" w:hAnsi="宋体" w:eastAsia="宋体" w:cs="宋体"/>
                <w:b w:val="0"/>
              </w:rPr>
              <w:t>合计</w:t>
            </w:r>
          </w:p>
        </w:tc>
        <w:tc>
          <w:tcPr>
            <w:tcW w:w="0" w:type="dxa"/>
          </w:tcPr>
          <w:p w14:paraId="04137967">
            <w:pPr>
              <w:spacing w:line="240" w:lineRule="auto"/>
              <w:jc w:val="right"/>
            </w:pPr>
            <w:r>
              <w:rPr>
                <w:rFonts w:ascii="宋体" w:hAnsi="宋体" w:eastAsia="宋体" w:cs="宋体"/>
                <w:b w:val="0"/>
              </w:rPr>
              <w:t>8.23</w:t>
            </w:r>
          </w:p>
        </w:tc>
      </w:tr>
    </w:tbl>
    <w:p w14:paraId="756B8149"/>
    <w:p w14:paraId="12D59D51">
      <w:r>
        <w:rPr>
          <w:rFonts w:ascii="宋体" w:hAnsi="宋体" w:eastAsia="宋体" w:cs="宋体"/>
          <w:b/>
        </w:rPr>
        <w:t>6.4.7.18 其他费用</w:t>
      </w:r>
    </w:p>
    <w:p w14:paraId="769B7D1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3081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3F1DB16F">
            <w:pPr>
              <w:spacing w:line="240" w:lineRule="auto"/>
              <w:jc w:val="center"/>
            </w:pPr>
            <w:r>
              <w:rPr>
                <w:rFonts w:ascii="宋体" w:hAnsi="宋体" w:eastAsia="宋体" w:cs="宋体"/>
                <w:b w:val="0"/>
              </w:rPr>
              <w:t>项目</w:t>
            </w:r>
          </w:p>
        </w:tc>
        <w:tc>
          <w:tcPr>
            <w:tcW w:w="3077" w:type="pct"/>
            <w:shd w:val="clear" w:color="auto" w:fill="D9D9D9"/>
            <w:vAlign w:val="center"/>
          </w:tcPr>
          <w:p w14:paraId="154E2304">
            <w:pPr>
              <w:spacing w:line="240" w:lineRule="auto"/>
              <w:jc w:val="center"/>
            </w:pPr>
            <w:r>
              <w:rPr>
                <w:rFonts w:ascii="宋体" w:hAnsi="宋体" w:eastAsia="宋体" w:cs="宋体"/>
                <w:b w:val="0"/>
              </w:rPr>
              <w:t>本期2025年06月06日（基金合同生效日）至2025年06月30日</w:t>
            </w:r>
          </w:p>
        </w:tc>
      </w:tr>
      <w:tr w14:paraId="440B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34C04D">
            <w:pPr>
              <w:spacing w:line="240" w:lineRule="auto"/>
              <w:jc w:val="left"/>
            </w:pPr>
            <w:r>
              <w:rPr>
                <w:rFonts w:ascii="宋体" w:hAnsi="宋体" w:eastAsia="宋体" w:cs="宋体"/>
                <w:b w:val="0"/>
              </w:rPr>
              <w:t>审计费用</w:t>
            </w:r>
          </w:p>
        </w:tc>
        <w:tc>
          <w:tcPr>
            <w:tcW w:w="0" w:type="dxa"/>
          </w:tcPr>
          <w:p w14:paraId="7EB3404D">
            <w:pPr>
              <w:spacing w:line="240" w:lineRule="auto"/>
              <w:jc w:val="right"/>
            </w:pPr>
            <w:r>
              <w:rPr>
                <w:rFonts w:ascii="宋体" w:hAnsi="宋体" w:eastAsia="宋体" w:cs="宋体"/>
                <w:b w:val="0"/>
              </w:rPr>
              <w:t>1,196.25</w:t>
            </w:r>
          </w:p>
        </w:tc>
      </w:tr>
      <w:tr w14:paraId="642D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9FBD57">
            <w:pPr>
              <w:spacing w:line="240" w:lineRule="auto"/>
              <w:jc w:val="left"/>
            </w:pPr>
            <w:r>
              <w:rPr>
                <w:rFonts w:ascii="宋体" w:hAnsi="宋体" w:eastAsia="宋体" w:cs="宋体"/>
                <w:b w:val="0"/>
              </w:rPr>
              <w:t>信息披露费</w:t>
            </w:r>
          </w:p>
        </w:tc>
        <w:tc>
          <w:tcPr>
            <w:tcW w:w="0" w:type="dxa"/>
          </w:tcPr>
          <w:p w14:paraId="6E178316">
            <w:pPr>
              <w:spacing w:line="240" w:lineRule="auto"/>
              <w:jc w:val="right"/>
            </w:pPr>
            <w:r>
              <w:rPr>
                <w:rFonts w:ascii="宋体" w:hAnsi="宋体" w:eastAsia="宋体" w:cs="宋体"/>
                <w:b w:val="0"/>
              </w:rPr>
              <w:t>5,980.75</w:t>
            </w:r>
          </w:p>
        </w:tc>
      </w:tr>
      <w:tr w14:paraId="7BC9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A36022">
            <w:pPr>
              <w:spacing w:line="240" w:lineRule="auto"/>
              <w:jc w:val="left"/>
            </w:pPr>
            <w:r>
              <w:rPr>
                <w:rFonts w:ascii="宋体" w:hAnsi="宋体" w:eastAsia="宋体" w:cs="宋体"/>
                <w:b w:val="0"/>
              </w:rPr>
              <w:t>证券出借违约金</w:t>
            </w:r>
          </w:p>
        </w:tc>
        <w:tc>
          <w:tcPr>
            <w:tcW w:w="0" w:type="dxa"/>
          </w:tcPr>
          <w:p w14:paraId="35ACBF6C">
            <w:pPr>
              <w:spacing w:line="240" w:lineRule="auto"/>
              <w:jc w:val="right"/>
            </w:pPr>
            <w:r>
              <w:rPr>
                <w:rFonts w:ascii="宋体" w:hAnsi="宋体" w:eastAsia="宋体" w:cs="宋体"/>
                <w:b w:val="0"/>
              </w:rPr>
              <w:t>-</w:t>
            </w:r>
          </w:p>
        </w:tc>
      </w:tr>
      <w:tr w14:paraId="2893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1BAB47">
            <w:pPr>
              <w:spacing w:line="240" w:lineRule="auto"/>
              <w:jc w:val="left"/>
            </w:pPr>
            <w:r>
              <w:rPr>
                <w:rFonts w:ascii="宋体" w:hAnsi="宋体" w:eastAsia="宋体" w:cs="宋体"/>
                <w:b w:val="0"/>
              </w:rPr>
              <w:t>开户费</w:t>
            </w:r>
          </w:p>
        </w:tc>
        <w:tc>
          <w:tcPr>
            <w:tcW w:w="0" w:type="dxa"/>
          </w:tcPr>
          <w:p w14:paraId="14EA88FB">
            <w:pPr>
              <w:spacing w:line="240" w:lineRule="auto"/>
              <w:jc w:val="right"/>
            </w:pPr>
            <w:r>
              <w:rPr>
                <w:rFonts w:ascii="宋体" w:hAnsi="宋体" w:eastAsia="宋体" w:cs="宋体"/>
                <w:b w:val="0"/>
              </w:rPr>
              <w:t>1,200.00</w:t>
            </w:r>
          </w:p>
        </w:tc>
      </w:tr>
      <w:tr w14:paraId="6B98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C3A8E1">
            <w:pPr>
              <w:spacing w:line="240" w:lineRule="auto"/>
              <w:jc w:val="left"/>
            </w:pPr>
            <w:r>
              <w:rPr>
                <w:rFonts w:ascii="宋体" w:hAnsi="宋体" w:eastAsia="宋体" w:cs="宋体"/>
                <w:b w:val="0"/>
              </w:rPr>
              <w:t>合计</w:t>
            </w:r>
          </w:p>
        </w:tc>
        <w:tc>
          <w:tcPr>
            <w:tcW w:w="0" w:type="dxa"/>
          </w:tcPr>
          <w:p w14:paraId="58F59DD0">
            <w:pPr>
              <w:spacing w:line="240" w:lineRule="auto"/>
              <w:jc w:val="right"/>
            </w:pPr>
            <w:r>
              <w:rPr>
                <w:rFonts w:ascii="宋体" w:hAnsi="宋体" w:eastAsia="宋体" w:cs="宋体"/>
                <w:b w:val="0"/>
              </w:rPr>
              <w:t>8,377.00</w:t>
            </w:r>
          </w:p>
        </w:tc>
      </w:tr>
    </w:tbl>
    <w:p w14:paraId="303B613C"/>
    <w:p w14:paraId="77295F58">
      <w:r>
        <w:rPr>
          <w:rFonts w:ascii="宋体" w:hAnsi="宋体" w:eastAsia="宋体" w:cs="宋体"/>
          <w:b/>
        </w:rPr>
        <w:t>6.4.8 或有事项、资产负债表日后事项的说明</w:t>
      </w:r>
    </w:p>
    <w:p w14:paraId="75F610FF">
      <w:r>
        <w:rPr>
          <w:rFonts w:ascii="宋体" w:hAnsi="宋体" w:eastAsia="宋体" w:cs="宋体"/>
          <w:b/>
        </w:rPr>
        <w:t>6.4.8.1 或有事项</w:t>
      </w:r>
    </w:p>
    <w:p w14:paraId="1E8D76A0">
      <w:pPr>
        <w:jc w:val="left"/>
      </w:pPr>
      <w:r>
        <w:rPr>
          <w:rFonts w:ascii="宋体" w:hAnsi="宋体" w:eastAsia="宋体" w:cs="宋体"/>
          <w:b w:val="0"/>
        </w:rPr>
        <w:t xml:space="preserve">    截至资产负债表日，本基金并无须作披露的或有事项。</w:t>
      </w:r>
    </w:p>
    <w:p w14:paraId="3FB809DC"/>
    <w:p w14:paraId="49B2017F">
      <w:r>
        <w:rPr>
          <w:rFonts w:ascii="宋体" w:hAnsi="宋体" w:eastAsia="宋体" w:cs="宋体"/>
          <w:b/>
        </w:rPr>
        <w:t>6.4.8.2 资产负债表日后事项</w:t>
      </w:r>
    </w:p>
    <w:p w14:paraId="087053C0">
      <w:pPr>
        <w:jc w:val="left"/>
      </w:pPr>
      <w:r>
        <w:rPr>
          <w:rFonts w:ascii="宋体" w:hAnsi="宋体" w:eastAsia="宋体" w:cs="宋体"/>
          <w:b w:val="0"/>
        </w:rPr>
        <w:t xml:space="preserve">    截至财务报表报出日，本基金并无须作披露的资产负债表日后事项。</w:t>
      </w:r>
    </w:p>
    <w:p w14:paraId="76BE7F4D"/>
    <w:p w14:paraId="66D9FD39">
      <w:r>
        <w:rPr>
          <w:rFonts w:ascii="宋体" w:hAnsi="宋体" w:eastAsia="宋体" w:cs="宋体"/>
          <w:b/>
        </w:rPr>
        <w:t>6.4.9 关联方关系</w:t>
      </w:r>
    </w:p>
    <w:p w14:paraId="7BB4670F">
      <w:r>
        <w:rPr>
          <w:rFonts w:ascii="宋体" w:hAnsi="宋体" w:eastAsia="宋体" w:cs="宋体"/>
          <w:b/>
        </w:rPr>
        <w:t>6.4.9.1 本报告期存在控制关系或其他重大利害关系的关联方发生变化的情况</w:t>
      </w:r>
    </w:p>
    <w:p w14:paraId="1BFB3415">
      <w:pPr>
        <w:jc w:val="left"/>
      </w:pPr>
      <w:r>
        <w:rPr>
          <w:rFonts w:ascii="宋体" w:hAnsi="宋体" w:eastAsia="宋体" w:cs="宋体"/>
          <w:b w:val="0"/>
        </w:rPr>
        <w:t xml:space="preserve">    本报告期内存在控制关系或其他重大利害关系的关联方未发生变化。</w:t>
      </w:r>
    </w:p>
    <w:p w14:paraId="0C75FC10"/>
    <w:p w14:paraId="6E675537">
      <w:r>
        <w:rPr>
          <w:rFonts w:ascii="宋体" w:hAnsi="宋体" w:eastAsia="宋体" w:cs="宋体"/>
          <w:b/>
        </w:rPr>
        <w:t>6.4.9.2 本报告期与基金发生关联交易的各关联方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572"/>
      </w:tblGrid>
      <w:tr w14:paraId="420B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tcPr>
          <w:p w14:paraId="526D80D6">
            <w:pPr>
              <w:spacing w:line="240" w:lineRule="auto"/>
              <w:jc w:val="center"/>
            </w:pPr>
            <w:r>
              <w:rPr>
                <w:rFonts w:ascii="宋体" w:hAnsi="宋体" w:eastAsia="宋体" w:cs="宋体"/>
                <w:b w:val="0"/>
              </w:rPr>
              <w:t>关联方名称</w:t>
            </w:r>
          </w:p>
        </w:tc>
        <w:tc>
          <w:tcPr>
            <w:tcW w:w="3000" w:type="pct"/>
            <w:shd w:val="clear" w:color="auto" w:fill="D9D9D9"/>
          </w:tcPr>
          <w:p w14:paraId="5543F611">
            <w:pPr>
              <w:spacing w:line="240" w:lineRule="auto"/>
              <w:jc w:val="center"/>
            </w:pPr>
            <w:r>
              <w:rPr>
                <w:rFonts w:ascii="宋体" w:hAnsi="宋体" w:eastAsia="宋体" w:cs="宋体"/>
                <w:b w:val="0"/>
              </w:rPr>
              <w:t>与本基金的关系</w:t>
            </w:r>
          </w:p>
        </w:tc>
      </w:tr>
      <w:tr w14:paraId="096F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E30E1B">
            <w:pPr>
              <w:spacing w:line="240" w:lineRule="auto"/>
              <w:jc w:val="left"/>
            </w:pPr>
            <w:r>
              <w:rPr>
                <w:rFonts w:ascii="宋体" w:hAnsi="宋体" w:eastAsia="宋体" w:cs="宋体"/>
                <w:b w:val="0"/>
              </w:rPr>
              <w:t>东方阿尔法基金管理有限公司(“东方阿尔法基金”)</w:t>
            </w:r>
          </w:p>
        </w:tc>
        <w:tc>
          <w:tcPr>
            <w:tcW w:w="0" w:type="dxa"/>
          </w:tcPr>
          <w:p w14:paraId="4133CA88">
            <w:pPr>
              <w:spacing w:line="240" w:lineRule="auto"/>
              <w:jc w:val="left"/>
            </w:pPr>
            <w:r>
              <w:rPr>
                <w:rFonts w:ascii="宋体" w:hAnsi="宋体" w:eastAsia="宋体" w:cs="宋体"/>
                <w:b w:val="0"/>
              </w:rPr>
              <w:t>基金管理人、基金销售机构</w:t>
            </w:r>
          </w:p>
        </w:tc>
      </w:tr>
      <w:tr w14:paraId="654B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38FCB1">
            <w:pPr>
              <w:spacing w:line="240" w:lineRule="auto"/>
              <w:jc w:val="left"/>
            </w:pPr>
            <w:r>
              <w:rPr>
                <w:rFonts w:ascii="宋体" w:hAnsi="宋体" w:eastAsia="宋体" w:cs="宋体"/>
                <w:b w:val="0"/>
              </w:rPr>
              <w:t>中信银行股份有限公司(“中信银行”)</w:t>
            </w:r>
          </w:p>
        </w:tc>
        <w:tc>
          <w:tcPr>
            <w:tcW w:w="0" w:type="dxa"/>
          </w:tcPr>
          <w:p w14:paraId="3A2B5796">
            <w:pPr>
              <w:spacing w:line="240" w:lineRule="auto"/>
              <w:jc w:val="left"/>
            </w:pPr>
            <w:r>
              <w:rPr>
                <w:rFonts w:ascii="宋体" w:hAnsi="宋体" w:eastAsia="宋体" w:cs="宋体"/>
                <w:b w:val="0"/>
              </w:rPr>
              <w:t>基金托管人</w:t>
            </w:r>
          </w:p>
        </w:tc>
      </w:tr>
      <w:tr w14:paraId="71F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FE9A3C">
            <w:pPr>
              <w:spacing w:line="240" w:lineRule="auto"/>
              <w:jc w:val="left"/>
            </w:pPr>
            <w:r>
              <w:rPr>
                <w:rFonts w:ascii="宋体" w:hAnsi="宋体" w:eastAsia="宋体" w:cs="宋体"/>
                <w:b w:val="0"/>
              </w:rPr>
              <w:t>珠海共同成长投资合伙企业(有限合伙)</w:t>
            </w:r>
          </w:p>
        </w:tc>
        <w:tc>
          <w:tcPr>
            <w:tcW w:w="0" w:type="dxa"/>
          </w:tcPr>
          <w:p w14:paraId="2DCE78A9">
            <w:pPr>
              <w:spacing w:line="240" w:lineRule="auto"/>
              <w:jc w:val="left"/>
            </w:pPr>
            <w:r>
              <w:rPr>
                <w:rFonts w:ascii="宋体" w:hAnsi="宋体" w:eastAsia="宋体" w:cs="宋体"/>
                <w:b w:val="0"/>
              </w:rPr>
              <w:t>基金管理人的股东</w:t>
            </w:r>
          </w:p>
        </w:tc>
      </w:tr>
      <w:tr w14:paraId="339D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DD73F3">
            <w:pPr>
              <w:spacing w:line="240" w:lineRule="auto"/>
              <w:jc w:val="left"/>
            </w:pPr>
            <w:r>
              <w:rPr>
                <w:rFonts w:ascii="宋体" w:hAnsi="宋体" w:eastAsia="宋体" w:cs="宋体"/>
                <w:b w:val="0"/>
              </w:rPr>
              <w:t>刘明</w:t>
            </w:r>
          </w:p>
        </w:tc>
        <w:tc>
          <w:tcPr>
            <w:tcW w:w="0" w:type="dxa"/>
          </w:tcPr>
          <w:p w14:paraId="2DD9AEBF">
            <w:pPr>
              <w:spacing w:line="240" w:lineRule="auto"/>
              <w:jc w:val="left"/>
            </w:pPr>
            <w:r>
              <w:rPr>
                <w:rFonts w:ascii="宋体" w:hAnsi="宋体" w:eastAsia="宋体" w:cs="宋体"/>
                <w:b w:val="0"/>
              </w:rPr>
              <w:t>基金管理人的股东</w:t>
            </w:r>
          </w:p>
        </w:tc>
      </w:tr>
      <w:tr w14:paraId="27AB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84C606">
            <w:pPr>
              <w:spacing w:line="240" w:lineRule="auto"/>
              <w:jc w:val="left"/>
            </w:pPr>
            <w:r>
              <w:rPr>
                <w:rFonts w:ascii="宋体" w:hAnsi="宋体" w:eastAsia="宋体" w:cs="宋体"/>
                <w:b w:val="0"/>
              </w:rPr>
              <w:t>肖冰</w:t>
            </w:r>
          </w:p>
        </w:tc>
        <w:tc>
          <w:tcPr>
            <w:tcW w:w="0" w:type="dxa"/>
          </w:tcPr>
          <w:p w14:paraId="77B779FA">
            <w:pPr>
              <w:spacing w:line="240" w:lineRule="auto"/>
              <w:jc w:val="left"/>
            </w:pPr>
            <w:r>
              <w:rPr>
                <w:rFonts w:ascii="宋体" w:hAnsi="宋体" w:eastAsia="宋体" w:cs="宋体"/>
                <w:b w:val="0"/>
              </w:rPr>
              <w:t>基金管理人的股东</w:t>
            </w:r>
          </w:p>
        </w:tc>
      </w:tr>
      <w:tr w14:paraId="02D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62A6B5">
            <w:pPr>
              <w:spacing w:line="240" w:lineRule="auto"/>
              <w:jc w:val="left"/>
            </w:pPr>
            <w:r>
              <w:rPr>
                <w:rFonts w:ascii="宋体" w:hAnsi="宋体" w:eastAsia="宋体" w:cs="宋体"/>
                <w:b w:val="0"/>
              </w:rPr>
              <w:t>曾健</w:t>
            </w:r>
          </w:p>
        </w:tc>
        <w:tc>
          <w:tcPr>
            <w:tcW w:w="0" w:type="dxa"/>
          </w:tcPr>
          <w:p w14:paraId="28B5D949">
            <w:pPr>
              <w:spacing w:line="240" w:lineRule="auto"/>
              <w:jc w:val="left"/>
            </w:pPr>
            <w:r>
              <w:rPr>
                <w:rFonts w:ascii="宋体" w:hAnsi="宋体" w:eastAsia="宋体" w:cs="宋体"/>
                <w:b w:val="0"/>
              </w:rPr>
              <w:t>基金管理人的股东</w:t>
            </w:r>
          </w:p>
        </w:tc>
      </w:tr>
    </w:tbl>
    <w:p w14:paraId="4C068CAE">
      <w:r>
        <w:rPr>
          <w:rFonts w:ascii="宋体" w:hAnsi="宋体" w:eastAsia="宋体" w:cs="宋体"/>
          <w:b w:val="0"/>
        </w:rPr>
        <w:t>注：下述关联交易均在正常业务范围内按一般商业条款订立。</w:t>
      </w:r>
    </w:p>
    <w:p w14:paraId="599B95A7"/>
    <w:p w14:paraId="489E2E2E">
      <w:r>
        <w:rPr>
          <w:rFonts w:ascii="宋体" w:hAnsi="宋体" w:eastAsia="宋体" w:cs="宋体"/>
          <w:b/>
        </w:rPr>
        <w:t>6.4.10 本报告期及上年度可比期间的关联方交易</w:t>
      </w:r>
    </w:p>
    <w:p w14:paraId="5A9CD6C1">
      <w:r>
        <w:rPr>
          <w:rFonts w:ascii="宋体" w:hAnsi="宋体" w:eastAsia="宋体" w:cs="宋体"/>
          <w:b/>
        </w:rPr>
        <w:t>6.4.10.1 通过关联方交易单元进行的交易</w:t>
      </w:r>
    </w:p>
    <w:p w14:paraId="4DEC30CF">
      <w:r>
        <w:rPr>
          <w:rFonts w:ascii="宋体" w:hAnsi="宋体" w:eastAsia="宋体" w:cs="宋体"/>
          <w:b/>
        </w:rPr>
        <w:t>6.4.10.1.1 股票交易</w:t>
      </w:r>
    </w:p>
    <w:p w14:paraId="5A617C78">
      <w:r>
        <w:rPr>
          <w:rFonts w:ascii="宋体" w:hAnsi="宋体" w:eastAsia="宋体" w:cs="宋体"/>
          <w:b w:val="0"/>
        </w:rPr>
        <w:t xml:space="preserve">    本基金本报告期内未通过关联方交易单元进行股票交易。</w:t>
      </w:r>
    </w:p>
    <w:p w14:paraId="5880521C"/>
    <w:p w14:paraId="0A93E054">
      <w:r>
        <w:rPr>
          <w:rFonts w:ascii="宋体" w:hAnsi="宋体" w:eastAsia="宋体" w:cs="宋体"/>
          <w:b/>
        </w:rPr>
        <w:t>6.4.10.1.2 权证交易</w:t>
      </w:r>
    </w:p>
    <w:p w14:paraId="7D890212">
      <w:r>
        <w:rPr>
          <w:rFonts w:ascii="宋体" w:hAnsi="宋体" w:eastAsia="宋体" w:cs="宋体"/>
          <w:b w:val="0"/>
        </w:rPr>
        <w:t xml:space="preserve">    本基金本报告期内未通过关联方交易单元进行权证交易。</w:t>
      </w:r>
    </w:p>
    <w:p w14:paraId="576E9F32"/>
    <w:p w14:paraId="2A76BD71">
      <w:r>
        <w:rPr>
          <w:rFonts w:ascii="宋体" w:hAnsi="宋体" w:eastAsia="宋体" w:cs="宋体"/>
          <w:b/>
        </w:rPr>
        <w:t>6.4.10.1.3 债券交易</w:t>
      </w:r>
    </w:p>
    <w:p w14:paraId="2AA409A5">
      <w:r>
        <w:rPr>
          <w:rFonts w:ascii="宋体" w:hAnsi="宋体" w:eastAsia="宋体" w:cs="宋体"/>
          <w:b w:val="0"/>
        </w:rPr>
        <w:t xml:space="preserve">    本基金本报告期内未通过关联方交易单元进行债券交易。</w:t>
      </w:r>
    </w:p>
    <w:p w14:paraId="74E4C572"/>
    <w:p w14:paraId="42D12E37">
      <w:r>
        <w:rPr>
          <w:rFonts w:ascii="宋体" w:hAnsi="宋体" w:eastAsia="宋体" w:cs="宋体"/>
          <w:b/>
        </w:rPr>
        <w:t>6.4.10.1.4 债券回购交易</w:t>
      </w:r>
    </w:p>
    <w:p w14:paraId="2400B9F6">
      <w:r>
        <w:rPr>
          <w:rFonts w:ascii="宋体" w:hAnsi="宋体" w:eastAsia="宋体" w:cs="宋体"/>
          <w:b w:val="0"/>
        </w:rPr>
        <w:t xml:space="preserve">    本基金本报告期内未通过关联方交易单元进行债券回购交易。</w:t>
      </w:r>
    </w:p>
    <w:p w14:paraId="664F0997"/>
    <w:p w14:paraId="47E17AA8">
      <w:r>
        <w:rPr>
          <w:rFonts w:ascii="宋体" w:hAnsi="宋体" w:eastAsia="宋体" w:cs="宋体"/>
          <w:b/>
        </w:rPr>
        <w:t>6.4.10.1.5 应支付关联方的佣金</w:t>
      </w:r>
    </w:p>
    <w:p w14:paraId="3DB96EAF">
      <w:r>
        <w:rPr>
          <w:rFonts w:ascii="宋体" w:hAnsi="宋体" w:eastAsia="宋体" w:cs="宋体"/>
          <w:b w:val="0"/>
        </w:rPr>
        <w:t xml:space="preserve">    本基金本报告期内无应支付关联方的佣金。</w:t>
      </w:r>
    </w:p>
    <w:p w14:paraId="3AEBCC19"/>
    <w:p w14:paraId="3418CE1C">
      <w:r>
        <w:rPr>
          <w:rFonts w:ascii="宋体" w:hAnsi="宋体" w:eastAsia="宋体" w:cs="宋体"/>
          <w:b/>
        </w:rPr>
        <w:t>6.4.10.2 关联方报酬</w:t>
      </w:r>
    </w:p>
    <w:p w14:paraId="666D24D7">
      <w:r>
        <w:rPr>
          <w:rFonts w:ascii="宋体" w:hAnsi="宋体" w:eastAsia="宋体" w:cs="宋体"/>
          <w:b/>
        </w:rPr>
        <w:t>6.4.10.2.1 基金管理费</w:t>
      </w:r>
    </w:p>
    <w:p w14:paraId="5D4D438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4589"/>
      </w:tblGrid>
      <w:tr w14:paraId="48D3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pct"/>
            <w:shd w:val="clear" w:color="auto" w:fill="D9D9D9"/>
            <w:vAlign w:val="center"/>
          </w:tcPr>
          <w:p w14:paraId="30F1D17D">
            <w:pPr>
              <w:spacing w:line="240" w:lineRule="auto"/>
              <w:jc w:val="center"/>
            </w:pPr>
            <w:r>
              <w:rPr>
                <w:rFonts w:ascii="宋体" w:hAnsi="宋体" w:eastAsia="宋体" w:cs="宋体"/>
                <w:b w:val="0"/>
              </w:rPr>
              <w:t>项目</w:t>
            </w:r>
          </w:p>
        </w:tc>
        <w:tc>
          <w:tcPr>
            <w:tcW w:w="2308" w:type="pct"/>
            <w:shd w:val="clear" w:color="auto" w:fill="D9D9D9"/>
            <w:vAlign w:val="center"/>
          </w:tcPr>
          <w:p w14:paraId="6017C274">
            <w:pPr>
              <w:spacing w:line="240" w:lineRule="auto"/>
              <w:jc w:val="center"/>
            </w:pPr>
            <w:r>
              <w:rPr>
                <w:rFonts w:ascii="宋体" w:hAnsi="宋体" w:eastAsia="宋体" w:cs="宋体"/>
                <w:b w:val="0"/>
              </w:rPr>
              <w:t>本期2025年06月06日（基金合同生效日）至2025年06月30日</w:t>
            </w:r>
          </w:p>
        </w:tc>
      </w:tr>
      <w:tr w14:paraId="1673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3587E7">
            <w:pPr>
              <w:spacing w:line="240" w:lineRule="auto"/>
              <w:jc w:val="left"/>
            </w:pPr>
            <w:r>
              <w:rPr>
                <w:rFonts w:ascii="宋体" w:hAnsi="宋体" w:eastAsia="宋体" w:cs="宋体"/>
                <w:b w:val="0"/>
              </w:rPr>
              <w:t>当期发生的基金应支付的管理费</w:t>
            </w:r>
          </w:p>
        </w:tc>
        <w:tc>
          <w:tcPr>
            <w:tcW w:w="0" w:type="dxa"/>
            <w:vAlign w:val="center"/>
          </w:tcPr>
          <w:p w14:paraId="67D63E4E">
            <w:pPr>
              <w:spacing w:line="240" w:lineRule="auto"/>
              <w:jc w:val="right"/>
            </w:pPr>
            <w:r>
              <w:rPr>
                <w:rFonts w:ascii="宋体" w:hAnsi="宋体" w:eastAsia="宋体" w:cs="宋体"/>
                <w:b w:val="0"/>
              </w:rPr>
              <w:t>9,173.94</w:t>
            </w:r>
          </w:p>
        </w:tc>
      </w:tr>
      <w:tr w14:paraId="16B1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F826B9">
            <w:pPr>
              <w:spacing w:line="240" w:lineRule="auto"/>
              <w:jc w:val="left"/>
            </w:pPr>
            <w:r>
              <w:rPr>
                <w:rFonts w:ascii="宋体" w:hAnsi="宋体" w:eastAsia="宋体" w:cs="宋体"/>
                <w:b w:val="0"/>
              </w:rPr>
              <w:t>其中：应支付销售机构的客户维护费</w:t>
            </w:r>
          </w:p>
        </w:tc>
        <w:tc>
          <w:tcPr>
            <w:tcW w:w="0" w:type="dxa"/>
            <w:vAlign w:val="center"/>
          </w:tcPr>
          <w:p w14:paraId="36862571">
            <w:pPr>
              <w:spacing w:line="240" w:lineRule="auto"/>
              <w:jc w:val="right"/>
            </w:pPr>
            <w:r>
              <w:rPr>
                <w:rFonts w:ascii="宋体" w:hAnsi="宋体" w:eastAsia="宋体" w:cs="宋体"/>
                <w:b w:val="0"/>
              </w:rPr>
              <w:t>8.40</w:t>
            </w:r>
          </w:p>
        </w:tc>
      </w:tr>
      <w:tr w14:paraId="3FDD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83725">
            <w:pPr>
              <w:spacing w:line="240" w:lineRule="auto"/>
              <w:jc w:val="left"/>
            </w:pPr>
            <w:r>
              <w:rPr>
                <w:rFonts w:ascii="宋体" w:hAnsi="宋体" w:eastAsia="宋体" w:cs="宋体"/>
                <w:b w:val="0"/>
              </w:rPr>
              <w:t xml:space="preserve">      应支付基金管理人的净管理费</w:t>
            </w:r>
          </w:p>
        </w:tc>
        <w:tc>
          <w:tcPr>
            <w:tcW w:w="0" w:type="dxa"/>
            <w:vAlign w:val="center"/>
          </w:tcPr>
          <w:p w14:paraId="514291B3">
            <w:pPr>
              <w:spacing w:line="240" w:lineRule="auto"/>
              <w:jc w:val="right"/>
            </w:pPr>
            <w:r>
              <w:rPr>
                <w:rFonts w:ascii="宋体" w:hAnsi="宋体" w:eastAsia="宋体" w:cs="宋体"/>
                <w:b w:val="0"/>
              </w:rPr>
              <w:t>9,165.54</w:t>
            </w:r>
          </w:p>
        </w:tc>
      </w:tr>
    </w:tbl>
    <w:p w14:paraId="3CFA6EC3">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r>
        <w:rPr>
          <w:rFonts w:ascii="宋体" w:hAnsi="宋体" w:eastAsia="宋体" w:cs="宋体"/>
          <w:b w:val="0"/>
        </w:rPr>
        <w:cr/>
      </w:r>
      <w:r>
        <w:rPr>
          <w:rFonts w:ascii="宋体" w:hAnsi="宋体" w:eastAsia="宋体" w:cs="宋体"/>
          <w:b w:val="0"/>
        </w:rPr>
        <w:t>2、本基金的基金合同于2025年06月06日生效，无上年度可比期间数据。</w:t>
      </w:r>
    </w:p>
    <w:p w14:paraId="17313DD0"/>
    <w:p w14:paraId="2908C967">
      <w:r>
        <w:rPr>
          <w:rFonts w:ascii="宋体" w:hAnsi="宋体" w:eastAsia="宋体" w:cs="宋体"/>
          <w:b/>
        </w:rPr>
        <w:t>6.4.10.2.2 基金托管费</w:t>
      </w:r>
    </w:p>
    <w:p w14:paraId="62CA876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CAB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9D96E31">
            <w:pPr>
              <w:spacing w:line="240" w:lineRule="auto"/>
              <w:jc w:val="center"/>
            </w:pPr>
            <w:r>
              <w:rPr>
                <w:rFonts w:ascii="宋体" w:hAnsi="宋体" w:eastAsia="宋体" w:cs="宋体"/>
                <w:b w:val="0"/>
              </w:rPr>
              <w:t>项目</w:t>
            </w:r>
          </w:p>
        </w:tc>
        <w:tc>
          <w:tcPr>
            <w:tcW w:w="2308" w:type="pct"/>
            <w:shd w:val="clear" w:color="auto" w:fill="D9D9D9"/>
            <w:vAlign w:val="center"/>
          </w:tcPr>
          <w:p w14:paraId="779088C5">
            <w:pPr>
              <w:spacing w:line="240" w:lineRule="auto"/>
              <w:jc w:val="center"/>
            </w:pPr>
            <w:r>
              <w:rPr>
                <w:rFonts w:ascii="宋体" w:hAnsi="宋体" w:eastAsia="宋体" w:cs="宋体"/>
                <w:b w:val="0"/>
              </w:rPr>
              <w:t>本期2025年06月06日（基金合同生效日）至2025年06月30日</w:t>
            </w:r>
          </w:p>
        </w:tc>
      </w:tr>
      <w:tr w14:paraId="3336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58A9B7">
            <w:pPr>
              <w:spacing w:line="240" w:lineRule="auto"/>
              <w:jc w:val="left"/>
            </w:pPr>
            <w:r>
              <w:rPr>
                <w:rFonts w:ascii="宋体" w:hAnsi="宋体" w:eastAsia="宋体" w:cs="宋体"/>
                <w:b w:val="0"/>
              </w:rPr>
              <w:t>当期发生的基金应支付的托管费</w:t>
            </w:r>
          </w:p>
        </w:tc>
        <w:tc>
          <w:tcPr>
            <w:tcW w:w="0" w:type="dxa"/>
            <w:vAlign w:val="center"/>
          </w:tcPr>
          <w:p w14:paraId="16B73363">
            <w:pPr>
              <w:spacing w:line="240" w:lineRule="auto"/>
              <w:jc w:val="right"/>
            </w:pPr>
            <w:r>
              <w:rPr>
                <w:rFonts w:ascii="宋体" w:hAnsi="宋体" w:eastAsia="宋体" w:cs="宋体"/>
                <w:b w:val="0"/>
              </w:rPr>
              <w:t>1,528.98</w:t>
            </w:r>
          </w:p>
        </w:tc>
      </w:tr>
    </w:tbl>
    <w:p w14:paraId="7082BE32">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r>
        <w:rPr>
          <w:rFonts w:ascii="宋体" w:hAnsi="宋体" w:eastAsia="宋体" w:cs="宋体"/>
          <w:b w:val="0"/>
        </w:rPr>
        <w:cr/>
      </w:r>
      <w:r>
        <w:rPr>
          <w:rFonts w:ascii="宋体" w:hAnsi="宋体" w:eastAsia="宋体" w:cs="宋体"/>
          <w:b w:val="0"/>
        </w:rPr>
        <w:t>2、本基金的基金合同于2025年06月06日生效，无上年度可比期间数据。</w:t>
      </w:r>
    </w:p>
    <w:p w14:paraId="6B044817"/>
    <w:p w14:paraId="1AEB4BB0">
      <w:r>
        <w:rPr>
          <w:rFonts w:ascii="宋体" w:hAnsi="宋体" w:eastAsia="宋体" w:cs="宋体"/>
          <w:b/>
        </w:rPr>
        <w:t>6.4.10.2.3 销售服务费</w:t>
      </w:r>
    </w:p>
    <w:p w14:paraId="1E291B5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367A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B287FDC">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tcPr>
          <w:p w14:paraId="6F849F73">
            <w:pPr>
              <w:spacing w:line="240" w:lineRule="auto"/>
              <w:jc w:val="center"/>
            </w:pPr>
            <w:r>
              <w:rPr>
                <w:rFonts w:ascii="宋体" w:hAnsi="宋体" w:eastAsia="宋体" w:cs="宋体"/>
                <w:b w:val="0"/>
              </w:rPr>
              <w:t>本期2025年06月06日（基金合同生效日）至2025年06月30日</w:t>
            </w:r>
          </w:p>
        </w:tc>
      </w:tr>
      <w:tr w14:paraId="6BC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643C1A"/>
        </w:tc>
        <w:tc>
          <w:tcPr>
            <w:tcW w:w="0" w:type="dxa"/>
            <w:gridSpan w:val="3"/>
            <w:shd w:val="clear" w:color="auto" w:fill="D9D9D9"/>
          </w:tcPr>
          <w:p w14:paraId="3603E7CB">
            <w:pPr>
              <w:spacing w:line="240" w:lineRule="auto"/>
              <w:jc w:val="center"/>
            </w:pPr>
            <w:r>
              <w:rPr>
                <w:rFonts w:ascii="宋体" w:hAnsi="宋体" w:eastAsia="宋体" w:cs="宋体"/>
                <w:b w:val="0"/>
              </w:rPr>
              <w:t>当期发生的基金应支付的销售服务费</w:t>
            </w:r>
          </w:p>
        </w:tc>
      </w:tr>
      <w:tr w14:paraId="3215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4A901D3"/>
        </w:tc>
        <w:tc>
          <w:tcPr>
            <w:tcW w:w="1346" w:type="pct"/>
            <w:shd w:val="clear" w:color="auto" w:fill="D9D9D9"/>
          </w:tcPr>
          <w:p w14:paraId="7DF49040">
            <w:pPr>
              <w:spacing w:line="240" w:lineRule="auto"/>
              <w:jc w:val="center"/>
            </w:pPr>
            <w:r>
              <w:rPr>
                <w:rFonts w:ascii="宋体" w:hAnsi="宋体" w:eastAsia="宋体" w:cs="宋体"/>
                <w:b w:val="0"/>
              </w:rPr>
              <w:t>东方阿尔法科技优选混合发起A</w:t>
            </w:r>
          </w:p>
        </w:tc>
        <w:tc>
          <w:tcPr>
            <w:tcW w:w="1346" w:type="pct"/>
            <w:shd w:val="clear" w:color="auto" w:fill="D9D9D9"/>
          </w:tcPr>
          <w:p w14:paraId="4597F2C7">
            <w:pPr>
              <w:spacing w:line="240" w:lineRule="auto"/>
              <w:jc w:val="center"/>
            </w:pPr>
            <w:r>
              <w:rPr>
                <w:rFonts w:ascii="宋体" w:hAnsi="宋体" w:eastAsia="宋体" w:cs="宋体"/>
                <w:b w:val="0"/>
              </w:rPr>
              <w:t>东方阿尔法科技优选混合发起C</w:t>
            </w:r>
          </w:p>
        </w:tc>
        <w:tc>
          <w:tcPr>
            <w:tcW w:w="769" w:type="pct"/>
            <w:shd w:val="clear" w:color="auto" w:fill="D9D9D9"/>
          </w:tcPr>
          <w:p w14:paraId="5F3FD22D">
            <w:pPr>
              <w:spacing w:line="240" w:lineRule="auto"/>
              <w:jc w:val="center"/>
            </w:pPr>
            <w:r>
              <w:rPr>
                <w:rFonts w:ascii="宋体" w:hAnsi="宋体" w:eastAsia="宋体" w:cs="宋体"/>
                <w:b w:val="0"/>
              </w:rPr>
              <w:t>合计</w:t>
            </w:r>
          </w:p>
        </w:tc>
      </w:tr>
      <w:tr w14:paraId="157F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F2C9F8">
            <w:pPr>
              <w:spacing w:line="240" w:lineRule="auto"/>
              <w:jc w:val="left"/>
            </w:pPr>
            <w:r>
              <w:rPr>
                <w:rFonts w:ascii="宋体" w:hAnsi="宋体" w:eastAsia="宋体" w:cs="宋体"/>
                <w:b w:val="0"/>
              </w:rPr>
              <w:t>中信银行</w:t>
            </w:r>
          </w:p>
        </w:tc>
        <w:tc>
          <w:tcPr>
            <w:tcW w:w="0" w:type="dxa"/>
          </w:tcPr>
          <w:p w14:paraId="0F1C7426">
            <w:pPr>
              <w:spacing w:line="240" w:lineRule="auto"/>
              <w:jc w:val="right"/>
            </w:pPr>
            <w:r>
              <w:rPr>
                <w:rFonts w:ascii="宋体" w:hAnsi="宋体" w:eastAsia="宋体" w:cs="宋体"/>
                <w:b w:val="0"/>
              </w:rPr>
              <w:t>-</w:t>
            </w:r>
          </w:p>
        </w:tc>
        <w:tc>
          <w:tcPr>
            <w:tcW w:w="0" w:type="dxa"/>
          </w:tcPr>
          <w:p w14:paraId="0AFDCAB4">
            <w:pPr>
              <w:spacing w:line="240" w:lineRule="auto"/>
              <w:jc w:val="right"/>
            </w:pPr>
            <w:r>
              <w:rPr>
                <w:rFonts w:ascii="宋体" w:hAnsi="宋体" w:eastAsia="宋体" w:cs="宋体"/>
                <w:b w:val="0"/>
              </w:rPr>
              <w:t>-</w:t>
            </w:r>
          </w:p>
        </w:tc>
        <w:tc>
          <w:tcPr>
            <w:tcW w:w="0" w:type="dxa"/>
          </w:tcPr>
          <w:p w14:paraId="5FDA3989">
            <w:pPr>
              <w:spacing w:line="240" w:lineRule="auto"/>
              <w:jc w:val="right"/>
            </w:pPr>
            <w:r>
              <w:rPr>
                <w:rFonts w:ascii="宋体" w:hAnsi="宋体" w:eastAsia="宋体" w:cs="宋体"/>
                <w:b w:val="0"/>
              </w:rPr>
              <w:t>-</w:t>
            </w:r>
          </w:p>
        </w:tc>
      </w:tr>
      <w:tr w14:paraId="7BFC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442B75">
            <w:pPr>
              <w:spacing w:line="240" w:lineRule="auto"/>
              <w:jc w:val="left"/>
            </w:pPr>
            <w:r>
              <w:rPr>
                <w:rFonts w:ascii="宋体" w:hAnsi="宋体" w:eastAsia="宋体" w:cs="宋体"/>
                <w:b w:val="0"/>
              </w:rPr>
              <w:t>东方阿尔法基金</w:t>
            </w:r>
          </w:p>
        </w:tc>
        <w:tc>
          <w:tcPr>
            <w:tcW w:w="0" w:type="dxa"/>
          </w:tcPr>
          <w:p w14:paraId="7186DAE0">
            <w:pPr>
              <w:spacing w:line="240" w:lineRule="auto"/>
              <w:jc w:val="right"/>
            </w:pPr>
            <w:r>
              <w:rPr>
                <w:rFonts w:ascii="宋体" w:hAnsi="宋体" w:eastAsia="宋体" w:cs="宋体"/>
                <w:b w:val="0"/>
              </w:rPr>
              <w:t>-</w:t>
            </w:r>
          </w:p>
        </w:tc>
        <w:tc>
          <w:tcPr>
            <w:tcW w:w="0" w:type="dxa"/>
          </w:tcPr>
          <w:p w14:paraId="70220A10">
            <w:pPr>
              <w:spacing w:line="240" w:lineRule="auto"/>
              <w:jc w:val="right"/>
            </w:pPr>
            <w:r>
              <w:rPr>
                <w:rFonts w:ascii="宋体" w:hAnsi="宋体" w:eastAsia="宋体" w:cs="宋体"/>
                <w:b w:val="0"/>
              </w:rPr>
              <w:t>1.20</w:t>
            </w:r>
          </w:p>
        </w:tc>
        <w:tc>
          <w:tcPr>
            <w:tcW w:w="0" w:type="dxa"/>
          </w:tcPr>
          <w:p w14:paraId="2613B474">
            <w:pPr>
              <w:spacing w:line="240" w:lineRule="auto"/>
              <w:jc w:val="right"/>
            </w:pPr>
            <w:r>
              <w:rPr>
                <w:rFonts w:ascii="宋体" w:hAnsi="宋体" w:eastAsia="宋体" w:cs="宋体"/>
                <w:b w:val="0"/>
              </w:rPr>
              <w:t>1.20</w:t>
            </w:r>
          </w:p>
        </w:tc>
      </w:tr>
      <w:tr w14:paraId="44CC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66A599">
            <w:pPr>
              <w:spacing w:line="240" w:lineRule="auto"/>
              <w:jc w:val="left"/>
            </w:pPr>
            <w:r>
              <w:rPr>
                <w:rFonts w:ascii="宋体" w:hAnsi="宋体" w:eastAsia="宋体" w:cs="宋体"/>
                <w:b w:val="0"/>
              </w:rPr>
              <w:t>合计</w:t>
            </w:r>
          </w:p>
        </w:tc>
        <w:tc>
          <w:tcPr>
            <w:tcW w:w="0" w:type="dxa"/>
          </w:tcPr>
          <w:p w14:paraId="2937A3D5">
            <w:pPr>
              <w:spacing w:line="240" w:lineRule="auto"/>
              <w:jc w:val="right"/>
            </w:pPr>
            <w:r>
              <w:rPr>
                <w:rFonts w:ascii="宋体" w:hAnsi="宋体" w:eastAsia="宋体" w:cs="宋体"/>
                <w:b w:val="0"/>
              </w:rPr>
              <w:t>-</w:t>
            </w:r>
          </w:p>
        </w:tc>
        <w:tc>
          <w:tcPr>
            <w:tcW w:w="0" w:type="dxa"/>
          </w:tcPr>
          <w:p w14:paraId="424B0A32">
            <w:pPr>
              <w:spacing w:line="240" w:lineRule="auto"/>
              <w:jc w:val="right"/>
            </w:pPr>
            <w:r>
              <w:rPr>
                <w:rFonts w:ascii="宋体" w:hAnsi="宋体" w:eastAsia="宋体" w:cs="宋体"/>
                <w:b w:val="0"/>
              </w:rPr>
              <w:t>1.20</w:t>
            </w:r>
          </w:p>
        </w:tc>
        <w:tc>
          <w:tcPr>
            <w:tcW w:w="0" w:type="dxa"/>
          </w:tcPr>
          <w:p w14:paraId="1971427E">
            <w:pPr>
              <w:spacing w:line="240" w:lineRule="auto"/>
              <w:jc w:val="right"/>
            </w:pPr>
            <w:r>
              <w:rPr>
                <w:rFonts w:ascii="宋体" w:hAnsi="宋体" w:eastAsia="宋体" w:cs="宋体"/>
                <w:b w:val="0"/>
              </w:rPr>
              <w:t>1.20</w:t>
            </w:r>
          </w:p>
        </w:tc>
      </w:tr>
    </w:tbl>
    <w:p w14:paraId="1B5F50B9">
      <w:r>
        <w:rPr>
          <w:rFonts w:ascii="宋体" w:hAnsi="宋体" w:eastAsia="宋体" w:cs="宋体"/>
          <w:b w:val="0"/>
        </w:rPr>
        <w:t>注：1、本基金A类基金份额不收取销售服务费，C类基金份额的销售服务费年费率为0.40%，逐日累计至每月月底，按月支付给登记机构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日销售服务费=前一日C类基金份额的基金资产净值×0.40%/ 当年天数。</w:t>
      </w:r>
      <w:r>
        <w:rPr>
          <w:rFonts w:ascii="宋体" w:hAnsi="宋体" w:eastAsia="宋体" w:cs="宋体"/>
          <w:b w:val="0"/>
        </w:rPr>
        <w:cr/>
      </w:r>
      <w:r>
        <w:rPr>
          <w:rFonts w:ascii="宋体" w:hAnsi="宋体" w:eastAsia="宋体" w:cs="宋体"/>
          <w:b w:val="0"/>
        </w:rPr>
        <w:t>3、本基金的基金合同于2025年06月06日生效，无上年度可比期间数据。</w:t>
      </w:r>
    </w:p>
    <w:p w14:paraId="0892DE75"/>
    <w:p w14:paraId="51DDF71D">
      <w:r>
        <w:rPr>
          <w:rFonts w:ascii="宋体" w:hAnsi="宋体" w:eastAsia="宋体" w:cs="宋体"/>
          <w:b/>
        </w:rPr>
        <w:t>6.4.10.3 与关联方进行银行间同业市场的债券(含回购)交易</w:t>
      </w:r>
    </w:p>
    <w:p w14:paraId="30CD7C7A">
      <w:r>
        <w:rPr>
          <w:rFonts w:ascii="宋体" w:hAnsi="宋体" w:eastAsia="宋体" w:cs="宋体"/>
          <w:b w:val="0"/>
        </w:rPr>
        <w:t xml:space="preserve">    本基金本报告期内未与关联方进行银行间同业市场的债券(含回购)交易。</w:t>
      </w:r>
    </w:p>
    <w:p w14:paraId="7F16EA0C"/>
    <w:p w14:paraId="51466B29">
      <w:r>
        <w:rPr>
          <w:rFonts w:ascii="宋体" w:hAnsi="宋体" w:eastAsia="宋体" w:cs="宋体"/>
          <w:b/>
        </w:rPr>
        <w:t>6.4.10.4 报告期内转融通证券出借业务发生重大关联交易事项的说明</w:t>
      </w:r>
    </w:p>
    <w:p w14:paraId="06832246">
      <w:r>
        <w:rPr>
          <w:rFonts w:ascii="宋体" w:hAnsi="宋体" w:eastAsia="宋体" w:cs="宋体"/>
          <w:b/>
        </w:rPr>
        <w:t>6.4.10.4.1 与关联方通过约定申报方式进行的适用固定期限费率的证券出借业务的情况</w:t>
      </w:r>
    </w:p>
    <w:p w14:paraId="189FBA31">
      <w:r>
        <w:rPr>
          <w:rFonts w:ascii="宋体" w:hAnsi="宋体" w:eastAsia="宋体" w:cs="宋体"/>
          <w:b w:val="0"/>
        </w:rPr>
        <w:t xml:space="preserve">    本基金本报告期未发生与关联方通过约定申报方式进行的适用固定期限费率的证券出借业务。</w:t>
      </w:r>
    </w:p>
    <w:p w14:paraId="0978265E"/>
    <w:p w14:paraId="7DF031D8">
      <w:r>
        <w:rPr>
          <w:rFonts w:ascii="宋体" w:hAnsi="宋体" w:eastAsia="宋体" w:cs="宋体"/>
          <w:b/>
        </w:rPr>
        <w:t>6.4.10.4.2 与关联方通过约定申报方式进行的适用市场化期限费率的证券出借业务的情况</w:t>
      </w:r>
    </w:p>
    <w:p w14:paraId="7948C9C2">
      <w:r>
        <w:rPr>
          <w:rFonts w:ascii="宋体" w:hAnsi="宋体" w:eastAsia="宋体" w:cs="宋体"/>
          <w:b w:val="0"/>
        </w:rPr>
        <w:t xml:space="preserve">    本基金本报告期未发生与关联方通过约定申报方式进行的适用市场化期限费率的证券出借业务。</w:t>
      </w:r>
    </w:p>
    <w:p w14:paraId="1430227C"/>
    <w:p w14:paraId="7A64E990">
      <w:r>
        <w:rPr>
          <w:rFonts w:ascii="宋体" w:hAnsi="宋体" w:eastAsia="宋体" w:cs="宋体"/>
          <w:b/>
        </w:rPr>
        <w:t>6.4.10.5 各关联方投资本基金的情况</w:t>
      </w:r>
    </w:p>
    <w:p w14:paraId="55B34A2A">
      <w:r>
        <w:rPr>
          <w:rFonts w:ascii="宋体" w:hAnsi="宋体" w:eastAsia="宋体" w:cs="宋体"/>
          <w:b/>
        </w:rPr>
        <w:t>6.4.10.5.1 报告期内基金管理人运用固有资金投资本基金的情况</w:t>
      </w:r>
    </w:p>
    <w:p w14:paraId="212DD24E">
      <w:r>
        <w:rPr>
          <w:rFonts w:ascii="宋体" w:hAnsi="宋体" w:eastAsia="宋体" w:cs="宋体"/>
          <w:b w:val="0"/>
        </w:rPr>
        <w:t xml:space="preserve">    本报告期内基金管理人未运用固有资金投资本基金。</w:t>
      </w:r>
    </w:p>
    <w:p w14:paraId="6675FE70"/>
    <w:p w14:paraId="12FB83D6">
      <w:r>
        <w:rPr>
          <w:rFonts w:ascii="宋体" w:hAnsi="宋体" w:eastAsia="宋体" w:cs="宋体"/>
          <w:b/>
        </w:rPr>
        <w:t>6.4.10.5.2 报告期末除基金管理人之外的其他关联方投资本基金的情况</w:t>
      </w:r>
    </w:p>
    <w:p w14:paraId="77618CE5">
      <w:pPr>
        <w:jc w:val="left"/>
      </w:pPr>
      <w:r>
        <w:rPr>
          <w:rFonts w:ascii="宋体" w:hAnsi="宋体" w:eastAsia="宋体" w:cs="宋体"/>
          <w:b/>
        </w:rPr>
        <w:t>东方阿尔法科技优选混合发起A</w:t>
      </w:r>
    </w:p>
    <w:p w14:paraId="2F2854A3">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03D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7A42FDE">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2EE871CD">
            <w:pPr>
              <w:spacing w:line="240" w:lineRule="auto"/>
              <w:jc w:val="center"/>
            </w:pPr>
            <w:r>
              <w:rPr>
                <w:rFonts w:ascii="宋体" w:hAnsi="宋体" w:eastAsia="宋体" w:cs="宋体"/>
                <w:b w:val="0"/>
              </w:rPr>
              <w:t>本期末2025年06月30日</w:t>
            </w:r>
          </w:p>
        </w:tc>
      </w:tr>
      <w:tr w14:paraId="0C8A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F9CC492"/>
        </w:tc>
        <w:tc>
          <w:tcPr>
            <w:tcW w:w="1538" w:type="pct"/>
            <w:shd w:val="clear" w:color="auto" w:fill="D9D9D9"/>
            <w:vAlign w:val="center"/>
          </w:tcPr>
          <w:p w14:paraId="3D1E0F79">
            <w:pPr>
              <w:spacing w:line="240" w:lineRule="auto"/>
              <w:jc w:val="center"/>
            </w:pPr>
            <w:r>
              <w:rPr>
                <w:rFonts w:ascii="宋体" w:hAnsi="宋体" w:eastAsia="宋体" w:cs="宋体"/>
                <w:b w:val="0"/>
              </w:rPr>
              <w:t>持有的基金份额</w:t>
            </w:r>
          </w:p>
        </w:tc>
        <w:tc>
          <w:tcPr>
            <w:tcW w:w="1538" w:type="pct"/>
            <w:shd w:val="clear" w:color="auto" w:fill="D9D9D9"/>
            <w:vAlign w:val="center"/>
          </w:tcPr>
          <w:p w14:paraId="6AD4270F">
            <w:pPr>
              <w:spacing w:line="240" w:lineRule="auto"/>
              <w:jc w:val="center"/>
            </w:pPr>
            <w:r>
              <w:rPr>
                <w:rFonts w:ascii="宋体" w:hAnsi="宋体" w:eastAsia="宋体" w:cs="宋体"/>
                <w:b w:val="0"/>
              </w:rPr>
              <w:t>持有的基金份额占基金总份额的比例</w:t>
            </w:r>
          </w:p>
        </w:tc>
      </w:tr>
      <w:tr w14:paraId="1218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958E34">
            <w:pPr>
              <w:spacing w:line="240" w:lineRule="auto"/>
              <w:jc w:val="left"/>
            </w:pPr>
            <w:r>
              <w:rPr>
                <w:rFonts w:ascii="宋体" w:hAnsi="宋体" w:eastAsia="宋体" w:cs="宋体"/>
                <w:b w:val="0"/>
              </w:rPr>
              <w:t>曾健</w:t>
            </w:r>
          </w:p>
        </w:tc>
        <w:tc>
          <w:tcPr>
            <w:tcW w:w="0" w:type="dxa"/>
          </w:tcPr>
          <w:p w14:paraId="7B1990F9">
            <w:pPr>
              <w:spacing w:line="240" w:lineRule="auto"/>
              <w:jc w:val="right"/>
            </w:pPr>
            <w:r>
              <w:rPr>
                <w:rFonts w:ascii="宋体" w:hAnsi="宋体" w:eastAsia="宋体" w:cs="宋体"/>
                <w:b w:val="0"/>
              </w:rPr>
              <w:t>200,756.91</w:t>
            </w:r>
          </w:p>
        </w:tc>
        <w:tc>
          <w:tcPr>
            <w:tcW w:w="0" w:type="dxa"/>
          </w:tcPr>
          <w:p w14:paraId="04C997F5">
            <w:pPr>
              <w:spacing w:line="240" w:lineRule="auto"/>
              <w:jc w:val="right"/>
            </w:pPr>
            <w:r>
              <w:rPr>
                <w:rFonts w:ascii="宋体" w:hAnsi="宋体" w:eastAsia="宋体" w:cs="宋体"/>
                <w:b w:val="0"/>
              </w:rPr>
              <w:t>1.69%</w:t>
            </w:r>
          </w:p>
        </w:tc>
      </w:tr>
      <w:tr w14:paraId="4DBC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5F0594">
            <w:pPr>
              <w:spacing w:line="240" w:lineRule="auto"/>
              <w:jc w:val="left"/>
            </w:pPr>
            <w:r>
              <w:rPr>
                <w:rFonts w:ascii="宋体" w:hAnsi="宋体" w:eastAsia="宋体" w:cs="宋体"/>
                <w:b w:val="0"/>
              </w:rPr>
              <w:t>肖冰</w:t>
            </w:r>
          </w:p>
        </w:tc>
        <w:tc>
          <w:tcPr>
            <w:tcW w:w="0" w:type="dxa"/>
          </w:tcPr>
          <w:p w14:paraId="0749A349">
            <w:pPr>
              <w:spacing w:line="240" w:lineRule="auto"/>
              <w:jc w:val="right"/>
            </w:pPr>
            <w:r>
              <w:rPr>
                <w:rFonts w:ascii="宋体" w:hAnsi="宋体" w:eastAsia="宋体" w:cs="宋体"/>
                <w:b w:val="0"/>
              </w:rPr>
              <w:t>999,239.52</w:t>
            </w:r>
          </w:p>
        </w:tc>
        <w:tc>
          <w:tcPr>
            <w:tcW w:w="0" w:type="dxa"/>
          </w:tcPr>
          <w:p w14:paraId="4E4DBE7E">
            <w:pPr>
              <w:spacing w:line="240" w:lineRule="auto"/>
              <w:jc w:val="right"/>
            </w:pPr>
            <w:r>
              <w:rPr>
                <w:rFonts w:ascii="宋体" w:hAnsi="宋体" w:eastAsia="宋体" w:cs="宋体"/>
                <w:b w:val="0"/>
              </w:rPr>
              <w:t>8.42%</w:t>
            </w:r>
          </w:p>
        </w:tc>
      </w:tr>
      <w:tr w14:paraId="01D5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3E39E9">
            <w:pPr>
              <w:spacing w:line="240" w:lineRule="auto"/>
              <w:jc w:val="left"/>
            </w:pPr>
            <w:r>
              <w:rPr>
                <w:rFonts w:ascii="宋体" w:hAnsi="宋体" w:eastAsia="宋体" w:cs="宋体"/>
                <w:b w:val="0"/>
              </w:rPr>
              <w:t>刘明</w:t>
            </w:r>
          </w:p>
        </w:tc>
        <w:tc>
          <w:tcPr>
            <w:tcW w:w="0" w:type="dxa"/>
          </w:tcPr>
          <w:p w14:paraId="2FA576F0">
            <w:pPr>
              <w:spacing w:line="240" w:lineRule="auto"/>
              <w:jc w:val="right"/>
            </w:pPr>
            <w:r>
              <w:rPr>
                <w:rFonts w:ascii="宋体" w:hAnsi="宋体" w:eastAsia="宋体" w:cs="宋体"/>
                <w:b w:val="0"/>
              </w:rPr>
              <w:t>10,000,388.92</w:t>
            </w:r>
          </w:p>
        </w:tc>
        <w:tc>
          <w:tcPr>
            <w:tcW w:w="0" w:type="dxa"/>
          </w:tcPr>
          <w:p w14:paraId="0CE619FB">
            <w:pPr>
              <w:spacing w:line="240" w:lineRule="auto"/>
              <w:jc w:val="right"/>
            </w:pPr>
            <w:r>
              <w:rPr>
                <w:rFonts w:ascii="宋体" w:hAnsi="宋体" w:eastAsia="宋体" w:cs="宋体"/>
                <w:b w:val="0"/>
              </w:rPr>
              <w:t>84.24%</w:t>
            </w:r>
          </w:p>
        </w:tc>
      </w:tr>
    </w:tbl>
    <w:p w14:paraId="0DB95D96">
      <w:r>
        <w:rPr>
          <w:rFonts w:ascii="宋体" w:hAnsi="宋体" w:eastAsia="宋体" w:cs="宋体"/>
          <w:b w:val="0"/>
        </w:rPr>
        <w:t>注:1.以上表中"持有的基金份额占基金总份额的比例"的计算中，对下属不同类别基金比例的分母采用各自级别的份额。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3.报告期末除基金管理人之外的其他关联方未投资"东方阿尔法科技优选混合型发起C"。</w:t>
      </w:r>
      <w:r>
        <w:rPr>
          <w:rFonts w:ascii="宋体" w:hAnsi="宋体" w:eastAsia="宋体" w:cs="宋体"/>
          <w:b w:val="0"/>
        </w:rPr>
        <w:cr/>
      </w:r>
      <w:r>
        <w:rPr>
          <w:rFonts w:ascii="宋体" w:hAnsi="宋体" w:eastAsia="宋体" w:cs="宋体"/>
          <w:b w:val="0"/>
        </w:rPr>
        <w:t>4. 本基金的基金合同于2025年6月6日生效，无上年度可比期间数据。</w:t>
      </w:r>
    </w:p>
    <w:p w14:paraId="37DC86B4"/>
    <w:p w14:paraId="3D9B3C8F">
      <w:r>
        <w:rPr>
          <w:rFonts w:ascii="宋体" w:hAnsi="宋体" w:eastAsia="宋体" w:cs="宋体"/>
          <w:b/>
        </w:rPr>
        <w:t>6.4.10.6 由关联方保管的银行存款余额及当期产生的利息收入</w:t>
      </w:r>
    </w:p>
    <w:p w14:paraId="5BF1F9D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E9D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72AEE4D">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0946F8E0">
            <w:pPr>
              <w:spacing w:line="240" w:lineRule="auto"/>
              <w:jc w:val="center"/>
            </w:pPr>
            <w:r>
              <w:rPr>
                <w:rFonts w:ascii="宋体" w:hAnsi="宋体" w:eastAsia="宋体" w:cs="宋体"/>
                <w:b w:val="0"/>
              </w:rPr>
              <w:t>本期2025年06月06日（基金合同生效日）至2025年06月30日</w:t>
            </w:r>
          </w:p>
        </w:tc>
      </w:tr>
      <w:tr w14:paraId="3A77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AF385B"/>
        </w:tc>
        <w:tc>
          <w:tcPr>
            <w:tcW w:w="1538" w:type="pct"/>
            <w:shd w:val="clear" w:color="auto" w:fill="D9D9D9"/>
            <w:vAlign w:val="center"/>
          </w:tcPr>
          <w:p w14:paraId="1E7D4EBA">
            <w:pPr>
              <w:spacing w:line="240" w:lineRule="auto"/>
              <w:jc w:val="center"/>
            </w:pPr>
            <w:r>
              <w:rPr>
                <w:rFonts w:ascii="宋体" w:hAnsi="宋体" w:eastAsia="宋体" w:cs="宋体"/>
                <w:b w:val="0"/>
              </w:rPr>
              <w:t>期末余额</w:t>
            </w:r>
          </w:p>
        </w:tc>
        <w:tc>
          <w:tcPr>
            <w:tcW w:w="1538" w:type="pct"/>
            <w:shd w:val="clear" w:color="auto" w:fill="D9D9D9"/>
            <w:vAlign w:val="center"/>
          </w:tcPr>
          <w:p w14:paraId="443A854A">
            <w:pPr>
              <w:spacing w:line="240" w:lineRule="auto"/>
              <w:jc w:val="center"/>
            </w:pPr>
            <w:r>
              <w:rPr>
                <w:rFonts w:ascii="宋体" w:hAnsi="宋体" w:eastAsia="宋体" w:cs="宋体"/>
                <w:b w:val="0"/>
              </w:rPr>
              <w:t>当期利息收入</w:t>
            </w:r>
          </w:p>
        </w:tc>
      </w:tr>
      <w:tr w14:paraId="784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403647">
            <w:pPr>
              <w:spacing w:line="240" w:lineRule="auto"/>
              <w:jc w:val="left"/>
            </w:pPr>
            <w:r>
              <w:rPr>
                <w:rFonts w:ascii="宋体" w:hAnsi="宋体" w:eastAsia="宋体" w:cs="宋体"/>
                <w:b w:val="0"/>
              </w:rPr>
              <w:t>中信银行</w:t>
            </w:r>
          </w:p>
        </w:tc>
        <w:tc>
          <w:tcPr>
            <w:tcW w:w="0" w:type="dxa"/>
            <w:vAlign w:val="center"/>
          </w:tcPr>
          <w:p w14:paraId="067CC56C">
            <w:pPr>
              <w:spacing w:line="240" w:lineRule="auto"/>
              <w:jc w:val="right"/>
            </w:pPr>
            <w:r>
              <w:rPr>
                <w:rFonts w:ascii="宋体" w:hAnsi="宋体" w:eastAsia="宋体" w:cs="宋体"/>
                <w:b w:val="0"/>
              </w:rPr>
              <w:t>43,457.84</w:t>
            </w:r>
          </w:p>
        </w:tc>
        <w:tc>
          <w:tcPr>
            <w:tcW w:w="0" w:type="dxa"/>
            <w:vAlign w:val="center"/>
          </w:tcPr>
          <w:p w14:paraId="639B766B">
            <w:pPr>
              <w:spacing w:line="240" w:lineRule="auto"/>
              <w:jc w:val="right"/>
            </w:pPr>
            <w:r>
              <w:rPr>
                <w:rFonts w:ascii="宋体" w:hAnsi="宋体" w:eastAsia="宋体" w:cs="宋体"/>
                <w:b w:val="0"/>
              </w:rPr>
              <w:t>67.09</w:t>
            </w:r>
          </w:p>
        </w:tc>
      </w:tr>
    </w:tbl>
    <w:p w14:paraId="44E40766">
      <w:r>
        <w:rPr>
          <w:rFonts w:ascii="宋体" w:hAnsi="宋体" w:eastAsia="宋体" w:cs="宋体"/>
          <w:b w:val="0"/>
        </w:rPr>
        <w:t>注:本基金的银行存款由基金托管人中信银行保管，按银行同业利率计息。本基金的基金合同于2025年6月6日生效，无上年度可比期间数据。</w:t>
      </w:r>
    </w:p>
    <w:p w14:paraId="5AB0A710"/>
    <w:p w14:paraId="14C96344">
      <w:r>
        <w:rPr>
          <w:rFonts w:ascii="宋体" w:hAnsi="宋体" w:eastAsia="宋体" w:cs="宋体"/>
          <w:b/>
        </w:rPr>
        <w:t>6.4.10.7 本基金在承销期内参与关联方承销证券的情况</w:t>
      </w:r>
    </w:p>
    <w:p w14:paraId="35B33120">
      <w:r>
        <w:rPr>
          <w:rFonts w:ascii="宋体" w:hAnsi="宋体" w:eastAsia="宋体" w:cs="宋体"/>
          <w:b w:val="0"/>
        </w:rPr>
        <w:t xml:space="preserve">    本基金本报告期内未在承销期内参与关联方承销的证券。</w:t>
      </w:r>
    </w:p>
    <w:p w14:paraId="7DD99388"/>
    <w:p w14:paraId="693266BD">
      <w:r>
        <w:rPr>
          <w:rFonts w:ascii="宋体" w:hAnsi="宋体" w:eastAsia="宋体" w:cs="宋体"/>
          <w:b/>
        </w:rPr>
        <w:t>6.4.10.8 其他关联交易事项的说明</w:t>
      </w:r>
    </w:p>
    <w:p w14:paraId="523785BF">
      <w:pPr>
        <w:jc w:val="left"/>
      </w:pPr>
      <w:r>
        <w:rPr>
          <w:rFonts w:ascii="宋体" w:hAnsi="宋体" w:eastAsia="宋体" w:cs="宋体"/>
          <w:b w:val="0"/>
        </w:rPr>
        <w:t xml:space="preserve">    本基金本报告期内无须作说明的其他关联交易事项。</w:t>
      </w:r>
    </w:p>
    <w:p w14:paraId="42070AA3"/>
    <w:p w14:paraId="1D135C7C">
      <w:r>
        <w:rPr>
          <w:rFonts w:ascii="宋体" w:hAnsi="宋体" w:eastAsia="宋体" w:cs="宋体"/>
          <w:b/>
        </w:rPr>
        <w:t>6.4.11 利润分配情况</w:t>
      </w:r>
    </w:p>
    <w:p w14:paraId="0BF5D184">
      <w:r>
        <w:rPr>
          <w:rFonts w:ascii="宋体" w:hAnsi="宋体" w:eastAsia="宋体" w:cs="宋体"/>
          <w:b w:val="0"/>
        </w:rPr>
        <w:t xml:space="preserve">    本基金本报告期内未进行利润分配。</w:t>
      </w:r>
    </w:p>
    <w:p w14:paraId="617C0520"/>
    <w:p w14:paraId="181FCE2A">
      <w:r>
        <w:rPr>
          <w:rFonts w:ascii="宋体" w:hAnsi="宋体" w:eastAsia="宋体" w:cs="宋体"/>
          <w:b/>
        </w:rPr>
        <w:t>6.4.12 期末（2025年06月30日）本基金持有的流通受限证券</w:t>
      </w:r>
    </w:p>
    <w:p w14:paraId="64C068EC">
      <w:r>
        <w:rPr>
          <w:rFonts w:ascii="宋体" w:hAnsi="宋体" w:eastAsia="宋体" w:cs="宋体"/>
          <w:b/>
        </w:rPr>
        <w:t>6.4.12.1 因认购新发/增发证券而于期末持有的流通受限证券</w:t>
      </w:r>
    </w:p>
    <w:p w14:paraId="560E5A50">
      <w:r>
        <w:rPr>
          <w:rFonts w:ascii="宋体" w:hAnsi="宋体" w:eastAsia="宋体" w:cs="宋体"/>
          <w:b w:val="0"/>
        </w:rPr>
        <w:t xml:space="preserve">    本基金本期末未持有因认购新发/增发等流通受限股票。</w:t>
      </w:r>
    </w:p>
    <w:p w14:paraId="193C9364"/>
    <w:p w14:paraId="307A6A6E">
      <w:r>
        <w:rPr>
          <w:rFonts w:ascii="宋体" w:hAnsi="宋体" w:eastAsia="宋体" w:cs="宋体"/>
          <w:b/>
        </w:rPr>
        <w:t>6.4.12.2 期末持有的暂时停牌等流通受限股票</w:t>
      </w:r>
    </w:p>
    <w:p w14:paraId="5351A506">
      <w:r>
        <w:rPr>
          <w:rFonts w:ascii="宋体" w:hAnsi="宋体" w:eastAsia="宋体" w:cs="宋体"/>
          <w:b w:val="0"/>
        </w:rPr>
        <w:t xml:space="preserve">    本基金本期末未持有暂时停牌等流通受限股票。</w:t>
      </w:r>
    </w:p>
    <w:p w14:paraId="6FEDC020"/>
    <w:p w14:paraId="0C075176">
      <w:r>
        <w:rPr>
          <w:rFonts w:ascii="宋体" w:hAnsi="宋体" w:eastAsia="宋体" w:cs="宋体"/>
          <w:b/>
        </w:rPr>
        <w:t>6.4.12.3 期末债券正回购交易中作为抵押的债券</w:t>
      </w:r>
    </w:p>
    <w:p w14:paraId="518E4897">
      <w:r>
        <w:rPr>
          <w:rFonts w:ascii="宋体" w:hAnsi="宋体" w:eastAsia="宋体" w:cs="宋体"/>
          <w:b/>
        </w:rPr>
        <w:t>6.4.12.3.1 银行间市场债券正回购</w:t>
      </w:r>
    </w:p>
    <w:p w14:paraId="0D98B16E">
      <w:r>
        <w:rPr>
          <w:rFonts w:ascii="宋体" w:hAnsi="宋体" w:eastAsia="宋体" w:cs="宋体"/>
          <w:b w:val="0"/>
        </w:rPr>
        <w:t xml:space="preserve">    本基金本报告期末无从事银行间债券正回购交易形成的卖出回购证券款余额。</w:t>
      </w:r>
    </w:p>
    <w:p w14:paraId="21CD81DD"/>
    <w:p w14:paraId="1CA7CBD7">
      <w:r>
        <w:rPr>
          <w:rFonts w:ascii="宋体" w:hAnsi="宋体" w:eastAsia="宋体" w:cs="宋体"/>
          <w:b/>
        </w:rPr>
        <w:t>6.4.12.3.2 交易所市场债券正回购</w:t>
      </w:r>
    </w:p>
    <w:p w14:paraId="4966BACA">
      <w:pPr>
        <w:jc w:val="left"/>
      </w:pPr>
      <w:r>
        <w:rPr>
          <w:rFonts w:ascii="宋体" w:hAnsi="宋体" w:eastAsia="宋体" w:cs="宋体"/>
          <w:b w:val="0"/>
        </w:rPr>
        <w:t xml:space="preserve">    本基金本报告期末无从事交易所债券正回购交易形成的卖出回购证券款余额。</w:t>
      </w:r>
    </w:p>
    <w:p w14:paraId="0C7523BC"/>
    <w:p w14:paraId="1D945202">
      <w:r>
        <w:rPr>
          <w:rFonts w:ascii="宋体" w:hAnsi="宋体" w:eastAsia="宋体" w:cs="宋体"/>
          <w:b/>
        </w:rPr>
        <w:t>6.4.12.4 期末参与转融通证券出借业务的证券</w:t>
      </w:r>
    </w:p>
    <w:p w14:paraId="420D98BE">
      <w:r>
        <w:rPr>
          <w:rFonts w:ascii="宋体" w:hAnsi="宋体" w:eastAsia="宋体" w:cs="宋体"/>
          <w:b w:val="0"/>
        </w:rPr>
        <w:t xml:space="preserve">    本基金本报告期末未持有因参与转融通证券出借业务的证券。</w:t>
      </w:r>
    </w:p>
    <w:p w14:paraId="438C5385"/>
    <w:p w14:paraId="4C1A0B84">
      <w:r>
        <w:rPr>
          <w:rFonts w:ascii="宋体" w:hAnsi="宋体" w:eastAsia="宋体" w:cs="宋体"/>
          <w:b/>
        </w:rPr>
        <w:t>6.4.13 金融工具风险及管理</w:t>
      </w:r>
    </w:p>
    <w:p w14:paraId="6750DA10">
      <w:r>
        <w:rPr>
          <w:rFonts w:ascii="宋体" w:hAnsi="宋体" w:eastAsia="宋体" w:cs="宋体"/>
          <w:b/>
        </w:rPr>
        <w:t>6.4.13.1 风险管理政策和组织架构</w:t>
      </w:r>
    </w:p>
    <w:p w14:paraId="295225A7">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     </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     </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75C59DCE"/>
    <w:p w14:paraId="3FC5B17E">
      <w:r>
        <w:rPr>
          <w:rFonts w:ascii="宋体" w:hAnsi="宋体" w:eastAsia="宋体" w:cs="宋体"/>
          <w:b/>
        </w:rPr>
        <w:t>6.4.13.2 信用风险</w:t>
      </w:r>
    </w:p>
    <w:p w14:paraId="5A7EB3E5">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于2025年06月30日，本基金未持有除国债、央行票据和政策性金融债以外的债券。</w:t>
      </w:r>
    </w:p>
    <w:p w14:paraId="4256AC3C"/>
    <w:p w14:paraId="3C12775F">
      <w:r>
        <w:rPr>
          <w:rFonts w:ascii="宋体" w:hAnsi="宋体" w:eastAsia="宋体" w:cs="宋体"/>
          <w:b/>
        </w:rPr>
        <w:t>6.4.13.3 流动性风险</w:t>
      </w:r>
    </w:p>
    <w:p w14:paraId="18FB531E">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于2025年06月30日，本基金所承担的全部金融负债的合约约定到期日均为一个月以内且不计息，可赎回基金份额净值(净资产)无固定到期日且不计息，因此账面余额即为未折现的合约到期现金流量。</w:t>
      </w:r>
    </w:p>
    <w:p w14:paraId="4E0A386A">
      <w:r>
        <w:rPr>
          <w:rFonts w:ascii="宋体" w:hAnsi="宋体" w:eastAsia="宋体" w:cs="宋体"/>
          <w:b/>
        </w:rPr>
        <w:t>6.4.13.3.1 报告期内本基金组合资产的流动性风险分析</w:t>
      </w:r>
    </w:p>
    <w:p w14:paraId="1E6D12FD">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 于2025年06月30日，本基金主动投资于流动性受限资产的市值合计未超过基金资产净值的 15%。</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06月30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43052616"/>
    <w:p w14:paraId="486895E5">
      <w:r>
        <w:rPr>
          <w:rFonts w:ascii="宋体" w:hAnsi="宋体" w:eastAsia="宋体" w:cs="宋体"/>
          <w:b/>
        </w:rPr>
        <w:t>6.4.13.4 市场风险</w:t>
      </w:r>
    </w:p>
    <w:p w14:paraId="1FDE9B85">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795ED9F9">
      <w:r>
        <w:rPr>
          <w:rFonts w:ascii="宋体" w:hAnsi="宋体" w:eastAsia="宋体" w:cs="宋体"/>
          <w:b/>
        </w:rPr>
        <w:t>6.4.13.4.1 利率风险</w:t>
      </w:r>
    </w:p>
    <w:p w14:paraId="58F5B6F4">
      <w:pPr>
        <w:jc w:val="left"/>
      </w:pPr>
      <w:r>
        <w:rPr>
          <w:rFonts w:ascii="宋体" w:hAnsi="宋体" w:eastAsia="宋体" w:cs="宋体"/>
          <w:b w:val="0"/>
        </w:rPr>
        <w:t xml:space="preserve">    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存出保证金和债券投资等。</w:t>
      </w:r>
    </w:p>
    <w:p w14:paraId="04FA91A8">
      <w:r>
        <w:rPr>
          <w:rFonts w:ascii="宋体" w:hAnsi="宋体" w:eastAsia="宋体" w:cs="宋体"/>
          <w:b/>
        </w:rPr>
        <w:t>6.4.13.4.1.1 利率风险敞口</w:t>
      </w:r>
    </w:p>
    <w:p w14:paraId="2C5E104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266"/>
        <w:gridCol w:w="774"/>
        <w:gridCol w:w="1266"/>
        <w:gridCol w:w="775"/>
        <w:gridCol w:w="735"/>
        <w:gridCol w:w="1582"/>
        <w:gridCol w:w="1582"/>
      </w:tblGrid>
      <w:tr w14:paraId="210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0DCF1652">
            <w:pPr>
              <w:spacing w:line="240" w:lineRule="auto"/>
              <w:jc w:val="center"/>
            </w:pPr>
            <w:r>
              <w:rPr>
                <w:rFonts w:ascii="宋体" w:hAnsi="宋体" w:eastAsia="宋体" w:cs="宋体"/>
                <w:b w:val="0"/>
              </w:rPr>
              <w:t>本期末2025年06月30日</w:t>
            </w:r>
          </w:p>
        </w:tc>
        <w:tc>
          <w:tcPr>
            <w:tcW w:w="769" w:type="pct"/>
            <w:shd w:val="clear" w:color="auto" w:fill="D9D9D9"/>
            <w:vAlign w:val="center"/>
          </w:tcPr>
          <w:p w14:paraId="7FC5B5E4">
            <w:pPr>
              <w:spacing w:line="240" w:lineRule="auto"/>
              <w:jc w:val="center"/>
            </w:pPr>
            <w:r>
              <w:rPr>
                <w:rFonts w:ascii="宋体" w:hAnsi="宋体" w:eastAsia="宋体" w:cs="宋体"/>
                <w:b w:val="0"/>
              </w:rPr>
              <w:t>1个月以内</w:t>
            </w:r>
          </w:p>
        </w:tc>
        <w:tc>
          <w:tcPr>
            <w:tcW w:w="769" w:type="pct"/>
            <w:shd w:val="clear" w:color="auto" w:fill="D9D9D9"/>
            <w:vAlign w:val="center"/>
          </w:tcPr>
          <w:p w14:paraId="647D942C">
            <w:pPr>
              <w:spacing w:line="240" w:lineRule="auto"/>
              <w:jc w:val="center"/>
            </w:pPr>
            <w:r>
              <w:rPr>
                <w:rFonts w:ascii="宋体" w:hAnsi="宋体" w:eastAsia="宋体" w:cs="宋体"/>
                <w:b w:val="0"/>
              </w:rPr>
              <w:t>1-3个月</w:t>
            </w:r>
          </w:p>
        </w:tc>
        <w:tc>
          <w:tcPr>
            <w:tcW w:w="769" w:type="pct"/>
            <w:shd w:val="clear" w:color="auto" w:fill="D9D9D9"/>
            <w:vAlign w:val="center"/>
          </w:tcPr>
          <w:p w14:paraId="0D00E3D9">
            <w:pPr>
              <w:spacing w:line="240" w:lineRule="auto"/>
              <w:jc w:val="center"/>
            </w:pPr>
            <w:r>
              <w:rPr>
                <w:rFonts w:ascii="宋体" w:hAnsi="宋体" w:eastAsia="宋体" w:cs="宋体"/>
                <w:b w:val="0"/>
              </w:rPr>
              <w:t>3个月-1年</w:t>
            </w:r>
          </w:p>
        </w:tc>
        <w:tc>
          <w:tcPr>
            <w:tcW w:w="769" w:type="pct"/>
            <w:shd w:val="clear" w:color="auto" w:fill="D9D9D9"/>
            <w:vAlign w:val="center"/>
          </w:tcPr>
          <w:p w14:paraId="27E6F4E1">
            <w:pPr>
              <w:spacing w:line="240" w:lineRule="auto"/>
              <w:jc w:val="center"/>
            </w:pPr>
            <w:r>
              <w:rPr>
                <w:rFonts w:ascii="宋体" w:hAnsi="宋体" w:eastAsia="宋体" w:cs="宋体"/>
                <w:b w:val="0"/>
              </w:rPr>
              <w:t>1-5年</w:t>
            </w:r>
          </w:p>
        </w:tc>
        <w:tc>
          <w:tcPr>
            <w:tcW w:w="615" w:type="pct"/>
            <w:shd w:val="clear" w:color="auto" w:fill="D9D9D9"/>
            <w:vAlign w:val="center"/>
          </w:tcPr>
          <w:p w14:paraId="60A526FD">
            <w:pPr>
              <w:spacing w:line="240" w:lineRule="auto"/>
              <w:jc w:val="center"/>
            </w:pPr>
            <w:r>
              <w:rPr>
                <w:rFonts w:ascii="宋体" w:hAnsi="宋体" w:eastAsia="宋体" w:cs="宋体"/>
                <w:b w:val="0"/>
              </w:rPr>
              <w:t>5年以上</w:t>
            </w:r>
          </w:p>
        </w:tc>
        <w:tc>
          <w:tcPr>
            <w:tcW w:w="615" w:type="pct"/>
            <w:shd w:val="clear" w:color="auto" w:fill="D9D9D9"/>
            <w:vAlign w:val="center"/>
          </w:tcPr>
          <w:p w14:paraId="01BC28F8">
            <w:pPr>
              <w:spacing w:line="240" w:lineRule="auto"/>
              <w:jc w:val="center"/>
            </w:pPr>
            <w:r>
              <w:rPr>
                <w:rFonts w:ascii="宋体" w:hAnsi="宋体" w:eastAsia="宋体" w:cs="宋体"/>
                <w:b w:val="0"/>
              </w:rPr>
              <w:t>不计息</w:t>
            </w:r>
          </w:p>
        </w:tc>
        <w:tc>
          <w:tcPr>
            <w:tcW w:w="615" w:type="pct"/>
            <w:shd w:val="clear" w:color="auto" w:fill="D9D9D9"/>
            <w:vAlign w:val="center"/>
          </w:tcPr>
          <w:p w14:paraId="34B8D294">
            <w:pPr>
              <w:spacing w:line="240" w:lineRule="auto"/>
              <w:jc w:val="center"/>
            </w:pPr>
            <w:r>
              <w:rPr>
                <w:rFonts w:ascii="宋体" w:hAnsi="宋体" w:eastAsia="宋体" w:cs="宋体"/>
                <w:b w:val="0"/>
              </w:rPr>
              <w:t>合计</w:t>
            </w:r>
          </w:p>
        </w:tc>
      </w:tr>
      <w:tr w14:paraId="398E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4E457C">
            <w:pPr>
              <w:spacing w:line="240" w:lineRule="auto"/>
              <w:jc w:val="center"/>
            </w:pPr>
            <w:r>
              <w:rPr>
                <w:rFonts w:ascii="宋体" w:hAnsi="宋体" w:eastAsia="宋体" w:cs="宋体"/>
                <w:b w:val="0"/>
              </w:rPr>
              <w:t>资产</w:t>
            </w:r>
          </w:p>
        </w:tc>
        <w:tc>
          <w:tcPr>
            <w:tcW w:w="0" w:type="dxa"/>
            <w:vAlign w:val="center"/>
          </w:tcPr>
          <w:p w14:paraId="40061095">
            <w:pPr>
              <w:spacing w:line="240" w:lineRule="auto"/>
              <w:jc w:val="right"/>
            </w:pPr>
          </w:p>
        </w:tc>
        <w:tc>
          <w:tcPr>
            <w:tcW w:w="0" w:type="dxa"/>
            <w:vAlign w:val="center"/>
          </w:tcPr>
          <w:p w14:paraId="7AC003C9">
            <w:pPr>
              <w:spacing w:line="240" w:lineRule="auto"/>
              <w:jc w:val="right"/>
            </w:pPr>
          </w:p>
        </w:tc>
        <w:tc>
          <w:tcPr>
            <w:tcW w:w="0" w:type="dxa"/>
            <w:vAlign w:val="center"/>
          </w:tcPr>
          <w:p w14:paraId="62B73C36">
            <w:pPr>
              <w:spacing w:line="240" w:lineRule="auto"/>
              <w:jc w:val="right"/>
            </w:pPr>
          </w:p>
        </w:tc>
        <w:tc>
          <w:tcPr>
            <w:tcW w:w="0" w:type="dxa"/>
            <w:vAlign w:val="center"/>
          </w:tcPr>
          <w:p w14:paraId="24D67916">
            <w:pPr>
              <w:spacing w:line="240" w:lineRule="auto"/>
              <w:jc w:val="right"/>
            </w:pPr>
          </w:p>
        </w:tc>
        <w:tc>
          <w:tcPr>
            <w:tcW w:w="0" w:type="dxa"/>
            <w:vAlign w:val="center"/>
          </w:tcPr>
          <w:p w14:paraId="709EDA7B">
            <w:pPr>
              <w:spacing w:line="240" w:lineRule="auto"/>
              <w:jc w:val="right"/>
            </w:pPr>
          </w:p>
        </w:tc>
        <w:tc>
          <w:tcPr>
            <w:tcW w:w="0" w:type="dxa"/>
            <w:vAlign w:val="center"/>
          </w:tcPr>
          <w:p w14:paraId="5B32387E">
            <w:pPr>
              <w:spacing w:line="240" w:lineRule="auto"/>
              <w:jc w:val="right"/>
            </w:pPr>
          </w:p>
        </w:tc>
        <w:tc>
          <w:tcPr>
            <w:tcW w:w="0" w:type="dxa"/>
            <w:vAlign w:val="center"/>
          </w:tcPr>
          <w:p w14:paraId="5CB0B1F0">
            <w:pPr>
              <w:spacing w:line="240" w:lineRule="auto"/>
              <w:jc w:val="right"/>
            </w:pPr>
          </w:p>
        </w:tc>
      </w:tr>
      <w:tr w14:paraId="70D9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AA0719">
            <w:pPr>
              <w:spacing w:line="240" w:lineRule="auto"/>
              <w:jc w:val="center"/>
            </w:pPr>
            <w:r>
              <w:rPr>
                <w:rFonts w:ascii="宋体" w:hAnsi="宋体" w:eastAsia="宋体" w:cs="宋体"/>
                <w:b w:val="0"/>
              </w:rPr>
              <w:t>货币资金</w:t>
            </w:r>
          </w:p>
        </w:tc>
        <w:tc>
          <w:tcPr>
            <w:tcW w:w="0" w:type="dxa"/>
            <w:vAlign w:val="center"/>
          </w:tcPr>
          <w:p w14:paraId="2AE5A89D">
            <w:pPr>
              <w:spacing w:line="240" w:lineRule="auto"/>
              <w:jc w:val="right"/>
            </w:pPr>
            <w:r>
              <w:rPr>
                <w:rFonts w:ascii="宋体" w:hAnsi="宋体" w:eastAsia="宋体" w:cs="宋体"/>
                <w:b w:val="0"/>
              </w:rPr>
              <w:t>329,314.21</w:t>
            </w:r>
          </w:p>
        </w:tc>
        <w:tc>
          <w:tcPr>
            <w:tcW w:w="0" w:type="dxa"/>
            <w:vAlign w:val="center"/>
          </w:tcPr>
          <w:p w14:paraId="6ECA9966">
            <w:pPr>
              <w:spacing w:line="240" w:lineRule="auto"/>
              <w:jc w:val="right"/>
            </w:pPr>
            <w:r>
              <w:rPr>
                <w:rFonts w:ascii="宋体" w:hAnsi="宋体" w:eastAsia="宋体" w:cs="宋体"/>
                <w:b w:val="0"/>
              </w:rPr>
              <w:t>-</w:t>
            </w:r>
          </w:p>
        </w:tc>
        <w:tc>
          <w:tcPr>
            <w:tcW w:w="0" w:type="dxa"/>
            <w:vAlign w:val="center"/>
          </w:tcPr>
          <w:p w14:paraId="36E355A8">
            <w:pPr>
              <w:spacing w:line="240" w:lineRule="auto"/>
              <w:jc w:val="right"/>
            </w:pPr>
            <w:r>
              <w:rPr>
                <w:rFonts w:ascii="宋体" w:hAnsi="宋体" w:eastAsia="宋体" w:cs="宋体"/>
                <w:b w:val="0"/>
              </w:rPr>
              <w:t>-</w:t>
            </w:r>
          </w:p>
        </w:tc>
        <w:tc>
          <w:tcPr>
            <w:tcW w:w="0" w:type="dxa"/>
            <w:vAlign w:val="center"/>
          </w:tcPr>
          <w:p w14:paraId="1628ADB0">
            <w:pPr>
              <w:spacing w:line="240" w:lineRule="auto"/>
              <w:jc w:val="right"/>
            </w:pPr>
            <w:r>
              <w:rPr>
                <w:rFonts w:ascii="宋体" w:hAnsi="宋体" w:eastAsia="宋体" w:cs="宋体"/>
                <w:b w:val="0"/>
              </w:rPr>
              <w:t>-</w:t>
            </w:r>
          </w:p>
        </w:tc>
        <w:tc>
          <w:tcPr>
            <w:tcW w:w="0" w:type="dxa"/>
            <w:vAlign w:val="center"/>
          </w:tcPr>
          <w:p w14:paraId="54572EE4">
            <w:pPr>
              <w:spacing w:line="240" w:lineRule="auto"/>
              <w:jc w:val="right"/>
            </w:pPr>
            <w:r>
              <w:rPr>
                <w:rFonts w:ascii="宋体" w:hAnsi="宋体" w:eastAsia="宋体" w:cs="宋体"/>
                <w:b w:val="0"/>
              </w:rPr>
              <w:t>-</w:t>
            </w:r>
          </w:p>
        </w:tc>
        <w:tc>
          <w:tcPr>
            <w:tcW w:w="0" w:type="dxa"/>
            <w:vAlign w:val="center"/>
          </w:tcPr>
          <w:p w14:paraId="3C16461F">
            <w:pPr>
              <w:spacing w:line="240" w:lineRule="auto"/>
              <w:jc w:val="right"/>
            </w:pPr>
            <w:r>
              <w:rPr>
                <w:rFonts w:ascii="宋体" w:hAnsi="宋体" w:eastAsia="宋体" w:cs="宋体"/>
                <w:b w:val="0"/>
              </w:rPr>
              <w:t>-</w:t>
            </w:r>
          </w:p>
        </w:tc>
        <w:tc>
          <w:tcPr>
            <w:tcW w:w="0" w:type="dxa"/>
            <w:vAlign w:val="center"/>
          </w:tcPr>
          <w:p w14:paraId="16CE5C02">
            <w:pPr>
              <w:spacing w:line="240" w:lineRule="auto"/>
              <w:jc w:val="right"/>
            </w:pPr>
            <w:r>
              <w:rPr>
                <w:rFonts w:ascii="宋体" w:hAnsi="宋体" w:eastAsia="宋体" w:cs="宋体"/>
                <w:b w:val="0"/>
              </w:rPr>
              <w:t>329,314.21</w:t>
            </w:r>
          </w:p>
        </w:tc>
      </w:tr>
      <w:tr w14:paraId="42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1A49B4">
            <w:pPr>
              <w:spacing w:line="240" w:lineRule="auto"/>
              <w:jc w:val="center"/>
            </w:pPr>
            <w:r>
              <w:rPr>
                <w:rFonts w:ascii="宋体" w:hAnsi="宋体" w:eastAsia="宋体" w:cs="宋体"/>
                <w:b w:val="0"/>
              </w:rPr>
              <w:t>交易性金融资产</w:t>
            </w:r>
          </w:p>
        </w:tc>
        <w:tc>
          <w:tcPr>
            <w:tcW w:w="0" w:type="dxa"/>
            <w:vAlign w:val="center"/>
          </w:tcPr>
          <w:p w14:paraId="4F3BFBF4">
            <w:pPr>
              <w:spacing w:line="240" w:lineRule="auto"/>
              <w:jc w:val="right"/>
            </w:pPr>
            <w:r>
              <w:rPr>
                <w:rFonts w:ascii="宋体" w:hAnsi="宋体" w:eastAsia="宋体" w:cs="宋体"/>
                <w:b w:val="0"/>
              </w:rPr>
              <w:t>-</w:t>
            </w:r>
          </w:p>
        </w:tc>
        <w:tc>
          <w:tcPr>
            <w:tcW w:w="0" w:type="dxa"/>
            <w:vAlign w:val="center"/>
          </w:tcPr>
          <w:p w14:paraId="23A99AD0">
            <w:pPr>
              <w:spacing w:line="240" w:lineRule="auto"/>
              <w:jc w:val="right"/>
            </w:pPr>
            <w:r>
              <w:rPr>
                <w:rFonts w:ascii="宋体" w:hAnsi="宋体" w:eastAsia="宋体" w:cs="宋体"/>
                <w:b w:val="0"/>
              </w:rPr>
              <w:t>-</w:t>
            </w:r>
          </w:p>
        </w:tc>
        <w:tc>
          <w:tcPr>
            <w:tcW w:w="0" w:type="dxa"/>
            <w:vAlign w:val="center"/>
          </w:tcPr>
          <w:p w14:paraId="5ABDA728">
            <w:pPr>
              <w:spacing w:line="240" w:lineRule="auto"/>
              <w:jc w:val="right"/>
            </w:pPr>
            <w:r>
              <w:rPr>
                <w:rFonts w:ascii="宋体" w:hAnsi="宋体" w:eastAsia="宋体" w:cs="宋体"/>
                <w:b w:val="0"/>
              </w:rPr>
              <w:t>602,644.44</w:t>
            </w:r>
          </w:p>
        </w:tc>
        <w:tc>
          <w:tcPr>
            <w:tcW w:w="0" w:type="dxa"/>
            <w:vAlign w:val="center"/>
          </w:tcPr>
          <w:p w14:paraId="3A737232">
            <w:pPr>
              <w:spacing w:line="240" w:lineRule="auto"/>
              <w:jc w:val="right"/>
            </w:pPr>
            <w:r>
              <w:rPr>
                <w:rFonts w:ascii="宋体" w:hAnsi="宋体" w:eastAsia="宋体" w:cs="宋体"/>
                <w:b w:val="0"/>
              </w:rPr>
              <w:t>-</w:t>
            </w:r>
          </w:p>
        </w:tc>
        <w:tc>
          <w:tcPr>
            <w:tcW w:w="0" w:type="dxa"/>
            <w:vAlign w:val="center"/>
          </w:tcPr>
          <w:p w14:paraId="51905EC6">
            <w:pPr>
              <w:spacing w:line="240" w:lineRule="auto"/>
              <w:jc w:val="right"/>
            </w:pPr>
            <w:r>
              <w:rPr>
                <w:rFonts w:ascii="宋体" w:hAnsi="宋体" w:eastAsia="宋体" w:cs="宋体"/>
                <w:b w:val="0"/>
              </w:rPr>
              <w:t>-</w:t>
            </w:r>
          </w:p>
        </w:tc>
        <w:tc>
          <w:tcPr>
            <w:tcW w:w="0" w:type="dxa"/>
            <w:vAlign w:val="center"/>
          </w:tcPr>
          <w:p w14:paraId="538E8121">
            <w:pPr>
              <w:spacing w:line="240" w:lineRule="auto"/>
              <w:jc w:val="right"/>
            </w:pPr>
            <w:r>
              <w:rPr>
                <w:rFonts w:ascii="宋体" w:hAnsi="宋体" w:eastAsia="宋体" w:cs="宋体"/>
                <w:b w:val="0"/>
              </w:rPr>
              <w:t>10,924,771.58</w:t>
            </w:r>
          </w:p>
        </w:tc>
        <w:tc>
          <w:tcPr>
            <w:tcW w:w="0" w:type="dxa"/>
            <w:vAlign w:val="center"/>
          </w:tcPr>
          <w:p w14:paraId="7C818599">
            <w:pPr>
              <w:spacing w:line="240" w:lineRule="auto"/>
              <w:jc w:val="right"/>
            </w:pPr>
            <w:r>
              <w:rPr>
                <w:rFonts w:ascii="宋体" w:hAnsi="宋体" w:eastAsia="宋体" w:cs="宋体"/>
                <w:b w:val="0"/>
              </w:rPr>
              <w:t>11,527,416.02</w:t>
            </w:r>
          </w:p>
        </w:tc>
      </w:tr>
      <w:tr w14:paraId="0070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1E6F3">
            <w:pPr>
              <w:spacing w:line="240" w:lineRule="auto"/>
              <w:jc w:val="center"/>
            </w:pPr>
            <w:r>
              <w:rPr>
                <w:rFonts w:ascii="宋体" w:hAnsi="宋体" w:eastAsia="宋体" w:cs="宋体"/>
                <w:b w:val="0"/>
              </w:rPr>
              <w:t>应收申购款</w:t>
            </w:r>
          </w:p>
        </w:tc>
        <w:tc>
          <w:tcPr>
            <w:tcW w:w="0" w:type="dxa"/>
            <w:vAlign w:val="center"/>
          </w:tcPr>
          <w:p w14:paraId="3ABD812B">
            <w:pPr>
              <w:spacing w:line="240" w:lineRule="auto"/>
              <w:jc w:val="right"/>
            </w:pPr>
            <w:r>
              <w:rPr>
                <w:rFonts w:ascii="宋体" w:hAnsi="宋体" w:eastAsia="宋体" w:cs="宋体"/>
                <w:b w:val="0"/>
              </w:rPr>
              <w:t>-</w:t>
            </w:r>
          </w:p>
        </w:tc>
        <w:tc>
          <w:tcPr>
            <w:tcW w:w="0" w:type="dxa"/>
            <w:vAlign w:val="center"/>
          </w:tcPr>
          <w:p w14:paraId="1E7255D2">
            <w:pPr>
              <w:spacing w:line="240" w:lineRule="auto"/>
              <w:jc w:val="right"/>
            </w:pPr>
            <w:r>
              <w:rPr>
                <w:rFonts w:ascii="宋体" w:hAnsi="宋体" w:eastAsia="宋体" w:cs="宋体"/>
                <w:b w:val="0"/>
              </w:rPr>
              <w:t>-</w:t>
            </w:r>
          </w:p>
        </w:tc>
        <w:tc>
          <w:tcPr>
            <w:tcW w:w="0" w:type="dxa"/>
            <w:vAlign w:val="center"/>
          </w:tcPr>
          <w:p w14:paraId="4829A05D">
            <w:pPr>
              <w:spacing w:line="240" w:lineRule="auto"/>
              <w:jc w:val="right"/>
            </w:pPr>
            <w:r>
              <w:rPr>
                <w:rFonts w:ascii="宋体" w:hAnsi="宋体" w:eastAsia="宋体" w:cs="宋体"/>
                <w:b w:val="0"/>
              </w:rPr>
              <w:t>-</w:t>
            </w:r>
          </w:p>
        </w:tc>
        <w:tc>
          <w:tcPr>
            <w:tcW w:w="0" w:type="dxa"/>
            <w:vAlign w:val="center"/>
          </w:tcPr>
          <w:p w14:paraId="6CA1B9FF">
            <w:pPr>
              <w:spacing w:line="240" w:lineRule="auto"/>
              <w:jc w:val="right"/>
            </w:pPr>
            <w:r>
              <w:rPr>
                <w:rFonts w:ascii="宋体" w:hAnsi="宋体" w:eastAsia="宋体" w:cs="宋体"/>
                <w:b w:val="0"/>
              </w:rPr>
              <w:t>-</w:t>
            </w:r>
          </w:p>
        </w:tc>
        <w:tc>
          <w:tcPr>
            <w:tcW w:w="0" w:type="dxa"/>
            <w:vAlign w:val="center"/>
          </w:tcPr>
          <w:p w14:paraId="0D8604CA">
            <w:pPr>
              <w:spacing w:line="240" w:lineRule="auto"/>
              <w:jc w:val="right"/>
            </w:pPr>
            <w:r>
              <w:rPr>
                <w:rFonts w:ascii="宋体" w:hAnsi="宋体" w:eastAsia="宋体" w:cs="宋体"/>
                <w:b w:val="0"/>
              </w:rPr>
              <w:t>-</w:t>
            </w:r>
          </w:p>
        </w:tc>
        <w:tc>
          <w:tcPr>
            <w:tcW w:w="0" w:type="dxa"/>
            <w:vAlign w:val="center"/>
          </w:tcPr>
          <w:p w14:paraId="2985A743">
            <w:pPr>
              <w:spacing w:line="240" w:lineRule="auto"/>
              <w:jc w:val="right"/>
            </w:pPr>
            <w:r>
              <w:rPr>
                <w:rFonts w:ascii="宋体" w:hAnsi="宋体" w:eastAsia="宋体" w:cs="宋体"/>
                <w:b w:val="0"/>
              </w:rPr>
              <w:t>2,295.41</w:t>
            </w:r>
          </w:p>
        </w:tc>
        <w:tc>
          <w:tcPr>
            <w:tcW w:w="0" w:type="dxa"/>
            <w:vAlign w:val="center"/>
          </w:tcPr>
          <w:p w14:paraId="65EDB6E5">
            <w:pPr>
              <w:spacing w:line="240" w:lineRule="auto"/>
              <w:jc w:val="right"/>
            </w:pPr>
            <w:r>
              <w:rPr>
                <w:rFonts w:ascii="宋体" w:hAnsi="宋体" w:eastAsia="宋体" w:cs="宋体"/>
                <w:b w:val="0"/>
              </w:rPr>
              <w:t>2,295.41</w:t>
            </w:r>
          </w:p>
        </w:tc>
      </w:tr>
      <w:tr w14:paraId="064D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93267">
            <w:pPr>
              <w:spacing w:line="240" w:lineRule="auto"/>
              <w:jc w:val="center"/>
            </w:pPr>
            <w:r>
              <w:rPr>
                <w:rFonts w:ascii="宋体" w:hAnsi="宋体" w:eastAsia="宋体" w:cs="宋体"/>
                <w:b w:val="0"/>
              </w:rPr>
              <w:t>资产总计</w:t>
            </w:r>
          </w:p>
        </w:tc>
        <w:tc>
          <w:tcPr>
            <w:tcW w:w="0" w:type="dxa"/>
            <w:vAlign w:val="center"/>
          </w:tcPr>
          <w:p w14:paraId="3802FBC4">
            <w:pPr>
              <w:spacing w:line="240" w:lineRule="auto"/>
              <w:jc w:val="right"/>
            </w:pPr>
            <w:r>
              <w:rPr>
                <w:rFonts w:ascii="宋体" w:hAnsi="宋体" w:eastAsia="宋体" w:cs="宋体"/>
                <w:b w:val="0"/>
              </w:rPr>
              <w:t>329,314.21</w:t>
            </w:r>
          </w:p>
        </w:tc>
        <w:tc>
          <w:tcPr>
            <w:tcW w:w="0" w:type="dxa"/>
            <w:vAlign w:val="center"/>
          </w:tcPr>
          <w:p w14:paraId="23F39188">
            <w:pPr>
              <w:spacing w:line="240" w:lineRule="auto"/>
              <w:jc w:val="right"/>
            </w:pPr>
            <w:r>
              <w:rPr>
                <w:rFonts w:ascii="宋体" w:hAnsi="宋体" w:eastAsia="宋体" w:cs="宋体"/>
                <w:b w:val="0"/>
              </w:rPr>
              <w:t>-</w:t>
            </w:r>
          </w:p>
        </w:tc>
        <w:tc>
          <w:tcPr>
            <w:tcW w:w="0" w:type="dxa"/>
            <w:vAlign w:val="center"/>
          </w:tcPr>
          <w:p w14:paraId="74AA7A37">
            <w:pPr>
              <w:spacing w:line="240" w:lineRule="auto"/>
              <w:jc w:val="right"/>
            </w:pPr>
            <w:r>
              <w:rPr>
                <w:rFonts w:ascii="宋体" w:hAnsi="宋体" w:eastAsia="宋体" w:cs="宋体"/>
                <w:b w:val="0"/>
              </w:rPr>
              <w:t>602,644.44</w:t>
            </w:r>
          </w:p>
        </w:tc>
        <w:tc>
          <w:tcPr>
            <w:tcW w:w="0" w:type="dxa"/>
            <w:vAlign w:val="center"/>
          </w:tcPr>
          <w:p w14:paraId="429530BC">
            <w:pPr>
              <w:spacing w:line="240" w:lineRule="auto"/>
              <w:jc w:val="right"/>
            </w:pPr>
            <w:r>
              <w:rPr>
                <w:rFonts w:ascii="宋体" w:hAnsi="宋体" w:eastAsia="宋体" w:cs="宋体"/>
                <w:b w:val="0"/>
              </w:rPr>
              <w:t>-</w:t>
            </w:r>
          </w:p>
        </w:tc>
        <w:tc>
          <w:tcPr>
            <w:tcW w:w="0" w:type="dxa"/>
            <w:vAlign w:val="center"/>
          </w:tcPr>
          <w:p w14:paraId="2A9F69CB">
            <w:pPr>
              <w:spacing w:line="240" w:lineRule="auto"/>
              <w:jc w:val="right"/>
            </w:pPr>
            <w:r>
              <w:rPr>
                <w:rFonts w:ascii="宋体" w:hAnsi="宋体" w:eastAsia="宋体" w:cs="宋体"/>
                <w:b w:val="0"/>
              </w:rPr>
              <w:t>-</w:t>
            </w:r>
          </w:p>
        </w:tc>
        <w:tc>
          <w:tcPr>
            <w:tcW w:w="0" w:type="dxa"/>
            <w:vAlign w:val="center"/>
          </w:tcPr>
          <w:p w14:paraId="23CF146C">
            <w:pPr>
              <w:spacing w:line="240" w:lineRule="auto"/>
              <w:jc w:val="right"/>
            </w:pPr>
            <w:r>
              <w:rPr>
                <w:rFonts w:ascii="宋体" w:hAnsi="宋体" w:eastAsia="宋体" w:cs="宋体"/>
                <w:b w:val="0"/>
              </w:rPr>
              <w:t>10,927,066.99</w:t>
            </w:r>
          </w:p>
        </w:tc>
        <w:tc>
          <w:tcPr>
            <w:tcW w:w="0" w:type="dxa"/>
            <w:vAlign w:val="center"/>
          </w:tcPr>
          <w:p w14:paraId="24B08335">
            <w:pPr>
              <w:spacing w:line="240" w:lineRule="auto"/>
              <w:jc w:val="right"/>
            </w:pPr>
            <w:r>
              <w:rPr>
                <w:rFonts w:ascii="宋体" w:hAnsi="宋体" w:eastAsia="宋体" w:cs="宋体"/>
                <w:b w:val="0"/>
              </w:rPr>
              <w:t>11,859,025.64</w:t>
            </w:r>
          </w:p>
        </w:tc>
      </w:tr>
      <w:tr w14:paraId="77F0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1DD7B8">
            <w:pPr>
              <w:spacing w:line="240" w:lineRule="auto"/>
              <w:jc w:val="center"/>
            </w:pPr>
            <w:r>
              <w:rPr>
                <w:rFonts w:ascii="宋体" w:hAnsi="宋体" w:eastAsia="宋体" w:cs="宋体"/>
                <w:b w:val="0"/>
              </w:rPr>
              <w:t>负债</w:t>
            </w:r>
          </w:p>
        </w:tc>
        <w:tc>
          <w:tcPr>
            <w:tcW w:w="0" w:type="dxa"/>
            <w:vAlign w:val="center"/>
          </w:tcPr>
          <w:p w14:paraId="10ECD6D3">
            <w:pPr>
              <w:spacing w:line="240" w:lineRule="auto"/>
              <w:jc w:val="right"/>
            </w:pPr>
          </w:p>
        </w:tc>
        <w:tc>
          <w:tcPr>
            <w:tcW w:w="0" w:type="dxa"/>
            <w:vAlign w:val="center"/>
          </w:tcPr>
          <w:p w14:paraId="65AFDB24">
            <w:pPr>
              <w:spacing w:line="240" w:lineRule="auto"/>
              <w:jc w:val="right"/>
            </w:pPr>
          </w:p>
        </w:tc>
        <w:tc>
          <w:tcPr>
            <w:tcW w:w="0" w:type="dxa"/>
            <w:vAlign w:val="center"/>
          </w:tcPr>
          <w:p w14:paraId="382CE804">
            <w:pPr>
              <w:spacing w:line="240" w:lineRule="auto"/>
              <w:jc w:val="right"/>
            </w:pPr>
          </w:p>
        </w:tc>
        <w:tc>
          <w:tcPr>
            <w:tcW w:w="0" w:type="dxa"/>
            <w:vAlign w:val="center"/>
          </w:tcPr>
          <w:p w14:paraId="01D52F42">
            <w:pPr>
              <w:spacing w:line="240" w:lineRule="auto"/>
              <w:jc w:val="right"/>
            </w:pPr>
          </w:p>
        </w:tc>
        <w:tc>
          <w:tcPr>
            <w:tcW w:w="0" w:type="dxa"/>
            <w:vAlign w:val="center"/>
          </w:tcPr>
          <w:p w14:paraId="2C2576C3">
            <w:pPr>
              <w:spacing w:line="240" w:lineRule="auto"/>
              <w:jc w:val="right"/>
            </w:pPr>
          </w:p>
        </w:tc>
        <w:tc>
          <w:tcPr>
            <w:tcW w:w="0" w:type="dxa"/>
            <w:vAlign w:val="center"/>
          </w:tcPr>
          <w:p w14:paraId="7E9B3376">
            <w:pPr>
              <w:spacing w:line="240" w:lineRule="auto"/>
              <w:jc w:val="right"/>
            </w:pPr>
          </w:p>
        </w:tc>
        <w:tc>
          <w:tcPr>
            <w:tcW w:w="0" w:type="dxa"/>
            <w:vAlign w:val="center"/>
          </w:tcPr>
          <w:p w14:paraId="423B6D39">
            <w:pPr>
              <w:spacing w:line="240" w:lineRule="auto"/>
              <w:jc w:val="right"/>
            </w:pPr>
          </w:p>
        </w:tc>
      </w:tr>
      <w:tr w14:paraId="28BA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A9FD0D">
            <w:pPr>
              <w:spacing w:line="240" w:lineRule="auto"/>
              <w:jc w:val="center"/>
            </w:pPr>
            <w:r>
              <w:rPr>
                <w:rFonts w:ascii="宋体" w:hAnsi="宋体" w:eastAsia="宋体" w:cs="宋体"/>
                <w:b w:val="0"/>
              </w:rPr>
              <w:t>应付赎回款</w:t>
            </w:r>
          </w:p>
        </w:tc>
        <w:tc>
          <w:tcPr>
            <w:tcW w:w="0" w:type="dxa"/>
            <w:vAlign w:val="center"/>
          </w:tcPr>
          <w:p w14:paraId="3932D3B3">
            <w:pPr>
              <w:spacing w:line="240" w:lineRule="auto"/>
              <w:jc w:val="right"/>
            </w:pPr>
            <w:r>
              <w:rPr>
                <w:rFonts w:ascii="宋体" w:hAnsi="宋体" w:eastAsia="宋体" w:cs="宋体"/>
                <w:b w:val="0"/>
              </w:rPr>
              <w:t>-</w:t>
            </w:r>
          </w:p>
        </w:tc>
        <w:tc>
          <w:tcPr>
            <w:tcW w:w="0" w:type="dxa"/>
            <w:vAlign w:val="center"/>
          </w:tcPr>
          <w:p w14:paraId="54C3BB88">
            <w:pPr>
              <w:spacing w:line="240" w:lineRule="auto"/>
              <w:jc w:val="right"/>
            </w:pPr>
            <w:r>
              <w:rPr>
                <w:rFonts w:ascii="宋体" w:hAnsi="宋体" w:eastAsia="宋体" w:cs="宋体"/>
                <w:b w:val="0"/>
              </w:rPr>
              <w:t>-</w:t>
            </w:r>
          </w:p>
        </w:tc>
        <w:tc>
          <w:tcPr>
            <w:tcW w:w="0" w:type="dxa"/>
            <w:vAlign w:val="center"/>
          </w:tcPr>
          <w:p w14:paraId="0345E4FE">
            <w:pPr>
              <w:spacing w:line="240" w:lineRule="auto"/>
              <w:jc w:val="right"/>
            </w:pPr>
            <w:r>
              <w:rPr>
                <w:rFonts w:ascii="宋体" w:hAnsi="宋体" w:eastAsia="宋体" w:cs="宋体"/>
                <w:b w:val="0"/>
              </w:rPr>
              <w:t>-</w:t>
            </w:r>
          </w:p>
        </w:tc>
        <w:tc>
          <w:tcPr>
            <w:tcW w:w="0" w:type="dxa"/>
            <w:vAlign w:val="center"/>
          </w:tcPr>
          <w:p w14:paraId="2F03AE94">
            <w:pPr>
              <w:spacing w:line="240" w:lineRule="auto"/>
              <w:jc w:val="right"/>
            </w:pPr>
            <w:r>
              <w:rPr>
                <w:rFonts w:ascii="宋体" w:hAnsi="宋体" w:eastAsia="宋体" w:cs="宋体"/>
                <w:b w:val="0"/>
              </w:rPr>
              <w:t>-</w:t>
            </w:r>
          </w:p>
        </w:tc>
        <w:tc>
          <w:tcPr>
            <w:tcW w:w="0" w:type="dxa"/>
            <w:vAlign w:val="center"/>
          </w:tcPr>
          <w:p w14:paraId="7F171F86">
            <w:pPr>
              <w:spacing w:line="240" w:lineRule="auto"/>
              <w:jc w:val="right"/>
            </w:pPr>
            <w:r>
              <w:rPr>
                <w:rFonts w:ascii="宋体" w:hAnsi="宋体" w:eastAsia="宋体" w:cs="宋体"/>
                <w:b w:val="0"/>
              </w:rPr>
              <w:t>-</w:t>
            </w:r>
          </w:p>
        </w:tc>
        <w:tc>
          <w:tcPr>
            <w:tcW w:w="0" w:type="dxa"/>
            <w:vAlign w:val="center"/>
          </w:tcPr>
          <w:p w14:paraId="61581691">
            <w:pPr>
              <w:spacing w:line="240" w:lineRule="auto"/>
              <w:jc w:val="right"/>
            </w:pPr>
            <w:r>
              <w:rPr>
                <w:rFonts w:ascii="宋体" w:hAnsi="宋体" w:eastAsia="宋体" w:cs="宋体"/>
                <w:b w:val="0"/>
              </w:rPr>
              <w:t>15.64</w:t>
            </w:r>
          </w:p>
        </w:tc>
        <w:tc>
          <w:tcPr>
            <w:tcW w:w="0" w:type="dxa"/>
            <w:vAlign w:val="center"/>
          </w:tcPr>
          <w:p w14:paraId="1656C924">
            <w:pPr>
              <w:spacing w:line="240" w:lineRule="auto"/>
              <w:jc w:val="right"/>
            </w:pPr>
            <w:r>
              <w:rPr>
                <w:rFonts w:ascii="宋体" w:hAnsi="宋体" w:eastAsia="宋体" w:cs="宋体"/>
                <w:b w:val="0"/>
              </w:rPr>
              <w:t>15.64</w:t>
            </w:r>
          </w:p>
        </w:tc>
      </w:tr>
      <w:tr w14:paraId="4CD8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5FC296">
            <w:pPr>
              <w:spacing w:line="240" w:lineRule="auto"/>
              <w:jc w:val="center"/>
            </w:pPr>
            <w:r>
              <w:rPr>
                <w:rFonts w:ascii="宋体" w:hAnsi="宋体" w:eastAsia="宋体" w:cs="宋体"/>
                <w:b w:val="0"/>
              </w:rPr>
              <w:t>应付管理人报酬</w:t>
            </w:r>
          </w:p>
        </w:tc>
        <w:tc>
          <w:tcPr>
            <w:tcW w:w="0" w:type="dxa"/>
            <w:vAlign w:val="center"/>
          </w:tcPr>
          <w:p w14:paraId="4E1F5367">
            <w:pPr>
              <w:spacing w:line="240" w:lineRule="auto"/>
              <w:jc w:val="right"/>
            </w:pPr>
            <w:r>
              <w:rPr>
                <w:rFonts w:ascii="宋体" w:hAnsi="宋体" w:eastAsia="宋体" w:cs="宋体"/>
                <w:b w:val="0"/>
              </w:rPr>
              <w:t>-</w:t>
            </w:r>
          </w:p>
        </w:tc>
        <w:tc>
          <w:tcPr>
            <w:tcW w:w="0" w:type="dxa"/>
            <w:vAlign w:val="center"/>
          </w:tcPr>
          <w:p w14:paraId="7FE01046">
            <w:pPr>
              <w:spacing w:line="240" w:lineRule="auto"/>
              <w:jc w:val="right"/>
            </w:pPr>
            <w:r>
              <w:rPr>
                <w:rFonts w:ascii="宋体" w:hAnsi="宋体" w:eastAsia="宋体" w:cs="宋体"/>
                <w:b w:val="0"/>
              </w:rPr>
              <w:t>-</w:t>
            </w:r>
          </w:p>
        </w:tc>
        <w:tc>
          <w:tcPr>
            <w:tcW w:w="0" w:type="dxa"/>
            <w:vAlign w:val="center"/>
          </w:tcPr>
          <w:p w14:paraId="512175DD">
            <w:pPr>
              <w:spacing w:line="240" w:lineRule="auto"/>
              <w:jc w:val="right"/>
            </w:pPr>
            <w:r>
              <w:rPr>
                <w:rFonts w:ascii="宋体" w:hAnsi="宋体" w:eastAsia="宋体" w:cs="宋体"/>
                <w:b w:val="0"/>
              </w:rPr>
              <w:t>-</w:t>
            </w:r>
          </w:p>
        </w:tc>
        <w:tc>
          <w:tcPr>
            <w:tcW w:w="0" w:type="dxa"/>
            <w:vAlign w:val="center"/>
          </w:tcPr>
          <w:p w14:paraId="68879A28">
            <w:pPr>
              <w:spacing w:line="240" w:lineRule="auto"/>
              <w:jc w:val="right"/>
            </w:pPr>
            <w:r>
              <w:rPr>
                <w:rFonts w:ascii="宋体" w:hAnsi="宋体" w:eastAsia="宋体" w:cs="宋体"/>
                <w:b w:val="0"/>
              </w:rPr>
              <w:t>-</w:t>
            </w:r>
          </w:p>
        </w:tc>
        <w:tc>
          <w:tcPr>
            <w:tcW w:w="0" w:type="dxa"/>
            <w:vAlign w:val="center"/>
          </w:tcPr>
          <w:p w14:paraId="3C6D4B84">
            <w:pPr>
              <w:spacing w:line="240" w:lineRule="auto"/>
              <w:jc w:val="right"/>
            </w:pPr>
            <w:r>
              <w:rPr>
                <w:rFonts w:ascii="宋体" w:hAnsi="宋体" w:eastAsia="宋体" w:cs="宋体"/>
                <w:b w:val="0"/>
              </w:rPr>
              <w:t>-</w:t>
            </w:r>
          </w:p>
        </w:tc>
        <w:tc>
          <w:tcPr>
            <w:tcW w:w="0" w:type="dxa"/>
            <w:vAlign w:val="center"/>
          </w:tcPr>
          <w:p w14:paraId="3D29F94A">
            <w:pPr>
              <w:spacing w:line="240" w:lineRule="auto"/>
              <w:jc w:val="right"/>
            </w:pPr>
            <w:r>
              <w:rPr>
                <w:rFonts w:ascii="宋体" w:hAnsi="宋体" w:eastAsia="宋体" w:cs="宋体"/>
                <w:b w:val="0"/>
              </w:rPr>
              <w:t>9,173.94</w:t>
            </w:r>
          </w:p>
        </w:tc>
        <w:tc>
          <w:tcPr>
            <w:tcW w:w="0" w:type="dxa"/>
            <w:vAlign w:val="center"/>
          </w:tcPr>
          <w:p w14:paraId="0A839F52">
            <w:pPr>
              <w:spacing w:line="240" w:lineRule="auto"/>
              <w:jc w:val="right"/>
            </w:pPr>
            <w:r>
              <w:rPr>
                <w:rFonts w:ascii="宋体" w:hAnsi="宋体" w:eastAsia="宋体" w:cs="宋体"/>
                <w:b w:val="0"/>
              </w:rPr>
              <w:t>9,173.94</w:t>
            </w:r>
          </w:p>
        </w:tc>
      </w:tr>
      <w:tr w14:paraId="381B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284964">
            <w:pPr>
              <w:spacing w:line="240" w:lineRule="auto"/>
              <w:jc w:val="center"/>
            </w:pPr>
            <w:r>
              <w:rPr>
                <w:rFonts w:ascii="宋体" w:hAnsi="宋体" w:eastAsia="宋体" w:cs="宋体"/>
                <w:b w:val="0"/>
              </w:rPr>
              <w:t>应付托管费</w:t>
            </w:r>
          </w:p>
        </w:tc>
        <w:tc>
          <w:tcPr>
            <w:tcW w:w="0" w:type="dxa"/>
            <w:vAlign w:val="center"/>
          </w:tcPr>
          <w:p w14:paraId="20D6CBF4">
            <w:pPr>
              <w:spacing w:line="240" w:lineRule="auto"/>
              <w:jc w:val="right"/>
            </w:pPr>
            <w:r>
              <w:rPr>
                <w:rFonts w:ascii="宋体" w:hAnsi="宋体" w:eastAsia="宋体" w:cs="宋体"/>
                <w:b w:val="0"/>
              </w:rPr>
              <w:t>-</w:t>
            </w:r>
          </w:p>
        </w:tc>
        <w:tc>
          <w:tcPr>
            <w:tcW w:w="0" w:type="dxa"/>
            <w:vAlign w:val="center"/>
          </w:tcPr>
          <w:p w14:paraId="242C61EE">
            <w:pPr>
              <w:spacing w:line="240" w:lineRule="auto"/>
              <w:jc w:val="right"/>
            </w:pPr>
            <w:r>
              <w:rPr>
                <w:rFonts w:ascii="宋体" w:hAnsi="宋体" w:eastAsia="宋体" w:cs="宋体"/>
                <w:b w:val="0"/>
              </w:rPr>
              <w:t>-</w:t>
            </w:r>
          </w:p>
        </w:tc>
        <w:tc>
          <w:tcPr>
            <w:tcW w:w="0" w:type="dxa"/>
            <w:vAlign w:val="center"/>
          </w:tcPr>
          <w:p w14:paraId="327056C3">
            <w:pPr>
              <w:spacing w:line="240" w:lineRule="auto"/>
              <w:jc w:val="right"/>
            </w:pPr>
            <w:r>
              <w:rPr>
                <w:rFonts w:ascii="宋体" w:hAnsi="宋体" w:eastAsia="宋体" w:cs="宋体"/>
                <w:b w:val="0"/>
              </w:rPr>
              <w:t>-</w:t>
            </w:r>
          </w:p>
        </w:tc>
        <w:tc>
          <w:tcPr>
            <w:tcW w:w="0" w:type="dxa"/>
            <w:vAlign w:val="center"/>
          </w:tcPr>
          <w:p w14:paraId="4B40A18D">
            <w:pPr>
              <w:spacing w:line="240" w:lineRule="auto"/>
              <w:jc w:val="right"/>
            </w:pPr>
            <w:r>
              <w:rPr>
                <w:rFonts w:ascii="宋体" w:hAnsi="宋体" w:eastAsia="宋体" w:cs="宋体"/>
                <w:b w:val="0"/>
              </w:rPr>
              <w:t>-</w:t>
            </w:r>
          </w:p>
        </w:tc>
        <w:tc>
          <w:tcPr>
            <w:tcW w:w="0" w:type="dxa"/>
            <w:vAlign w:val="center"/>
          </w:tcPr>
          <w:p w14:paraId="4281042F">
            <w:pPr>
              <w:spacing w:line="240" w:lineRule="auto"/>
              <w:jc w:val="right"/>
            </w:pPr>
            <w:r>
              <w:rPr>
                <w:rFonts w:ascii="宋体" w:hAnsi="宋体" w:eastAsia="宋体" w:cs="宋体"/>
                <w:b w:val="0"/>
              </w:rPr>
              <w:t>-</w:t>
            </w:r>
          </w:p>
        </w:tc>
        <w:tc>
          <w:tcPr>
            <w:tcW w:w="0" w:type="dxa"/>
            <w:vAlign w:val="center"/>
          </w:tcPr>
          <w:p w14:paraId="6CF9F1F4">
            <w:pPr>
              <w:spacing w:line="240" w:lineRule="auto"/>
              <w:jc w:val="right"/>
            </w:pPr>
            <w:r>
              <w:rPr>
                <w:rFonts w:ascii="宋体" w:hAnsi="宋体" w:eastAsia="宋体" w:cs="宋体"/>
                <w:b w:val="0"/>
              </w:rPr>
              <w:t>1,528.98</w:t>
            </w:r>
          </w:p>
        </w:tc>
        <w:tc>
          <w:tcPr>
            <w:tcW w:w="0" w:type="dxa"/>
            <w:vAlign w:val="center"/>
          </w:tcPr>
          <w:p w14:paraId="09123D79">
            <w:pPr>
              <w:spacing w:line="240" w:lineRule="auto"/>
              <w:jc w:val="right"/>
            </w:pPr>
            <w:r>
              <w:rPr>
                <w:rFonts w:ascii="宋体" w:hAnsi="宋体" w:eastAsia="宋体" w:cs="宋体"/>
                <w:b w:val="0"/>
              </w:rPr>
              <w:t>1,528.98</w:t>
            </w:r>
          </w:p>
        </w:tc>
      </w:tr>
      <w:tr w14:paraId="1897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5EAA2D">
            <w:pPr>
              <w:spacing w:line="240" w:lineRule="auto"/>
              <w:jc w:val="center"/>
            </w:pPr>
            <w:r>
              <w:rPr>
                <w:rFonts w:ascii="宋体" w:hAnsi="宋体" w:eastAsia="宋体" w:cs="宋体"/>
                <w:b w:val="0"/>
              </w:rPr>
              <w:t>应付销售服务费</w:t>
            </w:r>
          </w:p>
        </w:tc>
        <w:tc>
          <w:tcPr>
            <w:tcW w:w="0" w:type="dxa"/>
            <w:vAlign w:val="center"/>
          </w:tcPr>
          <w:p w14:paraId="18AB86E8">
            <w:pPr>
              <w:spacing w:line="240" w:lineRule="auto"/>
              <w:jc w:val="right"/>
            </w:pPr>
            <w:r>
              <w:rPr>
                <w:rFonts w:ascii="宋体" w:hAnsi="宋体" w:eastAsia="宋体" w:cs="宋体"/>
                <w:b w:val="0"/>
              </w:rPr>
              <w:t>-</w:t>
            </w:r>
          </w:p>
        </w:tc>
        <w:tc>
          <w:tcPr>
            <w:tcW w:w="0" w:type="dxa"/>
            <w:vAlign w:val="center"/>
          </w:tcPr>
          <w:p w14:paraId="25ADEDF4">
            <w:pPr>
              <w:spacing w:line="240" w:lineRule="auto"/>
              <w:jc w:val="right"/>
            </w:pPr>
            <w:r>
              <w:rPr>
                <w:rFonts w:ascii="宋体" w:hAnsi="宋体" w:eastAsia="宋体" w:cs="宋体"/>
                <w:b w:val="0"/>
              </w:rPr>
              <w:t>-</w:t>
            </w:r>
          </w:p>
        </w:tc>
        <w:tc>
          <w:tcPr>
            <w:tcW w:w="0" w:type="dxa"/>
            <w:vAlign w:val="center"/>
          </w:tcPr>
          <w:p w14:paraId="54B6772B">
            <w:pPr>
              <w:spacing w:line="240" w:lineRule="auto"/>
              <w:jc w:val="right"/>
            </w:pPr>
            <w:r>
              <w:rPr>
                <w:rFonts w:ascii="宋体" w:hAnsi="宋体" w:eastAsia="宋体" w:cs="宋体"/>
                <w:b w:val="0"/>
              </w:rPr>
              <w:t>-</w:t>
            </w:r>
          </w:p>
        </w:tc>
        <w:tc>
          <w:tcPr>
            <w:tcW w:w="0" w:type="dxa"/>
            <w:vAlign w:val="center"/>
          </w:tcPr>
          <w:p w14:paraId="434996D8">
            <w:pPr>
              <w:spacing w:line="240" w:lineRule="auto"/>
              <w:jc w:val="right"/>
            </w:pPr>
            <w:r>
              <w:rPr>
                <w:rFonts w:ascii="宋体" w:hAnsi="宋体" w:eastAsia="宋体" w:cs="宋体"/>
                <w:b w:val="0"/>
              </w:rPr>
              <w:t>-</w:t>
            </w:r>
          </w:p>
        </w:tc>
        <w:tc>
          <w:tcPr>
            <w:tcW w:w="0" w:type="dxa"/>
            <w:vAlign w:val="center"/>
          </w:tcPr>
          <w:p w14:paraId="7B859611">
            <w:pPr>
              <w:spacing w:line="240" w:lineRule="auto"/>
              <w:jc w:val="right"/>
            </w:pPr>
            <w:r>
              <w:rPr>
                <w:rFonts w:ascii="宋体" w:hAnsi="宋体" w:eastAsia="宋体" w:cs="宋体"/>
                <w:b w:val="0"/>
              </w:rPr>
              <w:t>-</w:t>
            </w:r>
          </w:p>
        </w:tc>
        <w:tc>
          <w:tcPr>
            <w:tcW w:w="0" w:type="dxa"/>
            <w:vAlign w:val="center"/>
          </w:tcPr>
          <w:p w14:paraId="1B67BF60">
            <w:pPr>
              <w:spacing w:line="240" w:lineRule="auto"/>
              <w:jc w:val="right"/>
            </w:pPr>
            <w:r>
              <w:rPr>
                <w:rFonts w:ascii="宋体" w:hAnsi="宋体" w:eastAsia="宋体" w:cs="宋体"/>
                <w:b w:val="0"/>
              </w:rPr>
              <w:t>4.03</w:t>
            </w:r>
          </w:p>
        </w:tc>
        <w:tc>
          <w:tcPr>
            <w:tcW w:w="0" w:type="dxa"/>
            <w:vAlign w:val="center"/>
          </w:tcPr>
          <w:p w14:paraId="26D183CB">
            <w:pPr>
              <w:spacing w:line="240" w:lineRule="auto"/>
              <w:jc w:val="right"/>
            </w:pPr>
            <w:r>
              <w:rPr>
                <w:rFonts w:ascii="宋体" w:hAnsi="宋体" w:eastAsia="宋体" w:cs="宋体"/>
                <w:b w:val="0"/>
              </w:rPr>
              <w:t>4.03</w:t>
            </w:r>
          </w:p>
        </w:tc>
      </w:tr>
      <w:tr w14:paraId="2B6E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D5B020">
            <w:pPr>
              <w:spacing w:line="240" w:lineRule="auto"/>
              <w:jc w:val="center"/>
            </w:pPr>
            <w:r>
              <w:rPr>
                <w:rFonts w:ascii="宋体" w:hAnsi="宋体" w:eastAsia="宋体" w:cs="宋体"/>
                <w:b w:val="0"/>
              </w:rPr>
              <w:t>其他负债</w:t>
            </w:r>
          </w:p>
        </w:tc>
        <w:tc>
          <w:tcPr>
            <w:tcW w:w="0" w:type="dxa"/>
            <w:vAlign w:val="center"/>
          </w:tcPr>
          <w:p w14:paraId="07359935">
            <w:pPr>
              <w:spacing w:line="240" w:lineRule="auto"/>
              <w:jc w:val="right"/>
            </w:pPr>
            <w:r>
              <w:rPr>
                <w:rFonts w:ascii="宋体" w:hAnsi="宋体" w:eastAsia="宋体" w:cs="宋体"/>
                <w:b w:val="0"/>
              </w:rPr>
              <w:t>-</w:t>
            </w:r>
          </w:p>
        </w:tc>
        <w:tc>
          <w:tcPr>
            <w:tcW w:w="0" w:type="dxa"/>
            <w:vAlign w:val="center"/>
          </w:tcPr>
          <w:p w14:paraId="314A2D01">
            <w:pPr>
              <w:spacing w:line="240" w:lineRule="auto"/>
              <w:jc w:val="right"/>
            </w:pPr>
            <w:r>
              <w:rPr>
                <w:rFonts w:ascii="宋体" w:hAnsi="宋体" w:eastAsia="宋体" w:cs="宋体"/>
                <w:b w:val="0"/>
              </w:rPr>
              <w:t>-</w:t>
            </w:r>
          </w:p>
        </w:tc>
        <w:tc>
          <w:tcPr>
            <w:tcW w:w="0" w:type="dxa"/>
            <w:vAlign w:val="center"/>
          </w:tcPr>
          <w:p w14:paraId="2F082BC1">
            <w:pPr>
              <w:spacing w:line="240" w:lineRule="auto"/>
              <w:jc w:val="right"/>
            </w:pPr>
            <w:r>
              <w:rPr>
                <w:rFonts w:ascii="宋体" w:hAnsi="宋体" w:eastAsia="宋体" w:cs="宋体"/>
                <w:b w:val="0"/>
              </w:rPr>
              <w:t>-</w:t>
            </w:r>
          </w:p>
        </w:tc>
        <w:tc>
          <w:tcPr>
            <w:tcW w:w="0" w:type="dxa"/>
            <w:vAlign w:val="center"/>
          </w:tcPr>
          <w:p w14:paraId="62A82E11">
            <w:pPr>
              <w:spacing w:line="240" w:lineRule="auto"/>
              <w:jc w:val="right"/>
            </w:pPr>
            <w:r>
              <w:rPr>
                <w:rFonts w:ascii="宋体" w:hAnsi="宋体" w:eastAsia="宋体" w:cs="宋体"/>
                <w:b w:val="0"/>
              </w:rPr>
              <w:t>-</w:t>
            </w:r>
          </w:p>
        </w:tc>
        <w:tc>
          <w:tcPr>
            <w:tcW w:w="0" w:type="dxa"/>
            <w:vAlign w:val="center"/>
          </w:tcPr>
          <w:p w14:paraId="2711E2AD">
            <w:pPr>
              <w:spacing w:line="240" w:lineRule="auto"/>
              <w:jc w:val="right"/>
            </w:pPr>
            <w:r>
              <w:rPr>
                <w:rFonts w:ascii="宋体" w:hAnsi="宋体" w:eastAsia="宋体" w:cs="宋体"/>
                <w:b w:val="0"/>
              </w:rPr>
              <w:t>-</w:t>
            </w:r>
          </w:p>
        </w:tc>
        <w:tc>
          <w:tcPr>
            <w:tcW w:w="0" w:type="dxa"/>
            <w:vAlign w:val="center"/>
          </w:tcPr>
          <w:p w14:paraId="38876148">
            <w:pPr>
              <w:spacing w:line="240" w:lineRule="auto"/>
              <w:jc w:val="right"/>
            </w:pPr>
            <w:r>
              <w:rPr>
                <w:rFonts w:ascii="宋体" w:hAnsi="宋体" w:eastAsia="宋体" w:cs="宋体"/>
                <w:b w:val="0"/>
              </w:rPr>
              <w:t>7,177.00</w:t>
            </w:r>
          </w:p>
        </w:tc>
        <w:tc>
          <w:tcPr>
            <w:tcW w:w="0" w:type="dxa"/>
            <w:vAlign w:val="center"/>
          </w:tcPr>
          <w:p w14:paraId="5A9A1CB9">
            <w:pPr>
              <w:spacing w:line="240" w:lineRule="auto"/>
              <w:jc w:val="right"/>
            </w:pPr>
            <w:r>
              <w:rPr>
                <w:rFonts w:ascii="宋体" w:hAnsi="宋体" w:eastAsia="宋体" w:cs="宋体"/>
                <w:b w:val="0"/>
              </w:rPr>
              <w:t>7,177.00</w:t>
            </w:r>
          </w:p>
        </w:tc>
      </w:tr>
      <w:tr w14:paraId="320A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E68CAA">
            <w:pPr>
              <w:spacing w:line="240" w:lineRule="auto"/>
              <w:jc w:val="center"/>
            </w:pPr>
            <w:r>
              <w:rPr>
                <w:rFonts w:ascii="宋体" w:hAnsi="宋体" w:eastAsia="宋体" w:cs="宋体"/>
                <w:b w:val="0"/>
              </w:rPr>
              <w:t>负债总计</w:t>
            </w:r>
          </w:p>
        </w:tc>
        <w:tc>
          <w:tcPr>
            <w:tcW w:w="0" w:type="dxa"/>
            <w:vAlign w:val="center"/>
          </w:tcPr>
          <w:p w14:paraId="422B1285">
            <w:pPr>
              <w:spacing w:line="240" w:lineRule="auto"/>
              <w:jc w:val="right"/>
            </w:pPr>
            <w:r>
              <w:rPr>
                <w:rFonts w:ascii="宋体" w:hAnsi="宋体" w:eastAsia="宋体" w:cs="宋体"/>
                <w:b w:val="0"/>
              </w:rPr>
              <w:t>-</w:t>
            </w:r>
          </w:p>
        </w:tc>
        <w:tc>
          <w:tcPr>
            <w:tcW w:w="0" w:type="dxa"/>
            <w:vAlign w:val="center"/>
          </w:tcPr>
          <w:p w14:paraId="2EC55763">
            <w:pPr>
              <w:spacing w:line="240" w:lineRule="auto"/>
              <w:jc w:val="right"/>
            </w:pPr>
            <w:r>
              <w:rPr>
                <w:rFonts w:ascii="宋体" w:hAnsi="宋体" w:eastAsia="宋体" w:cs="宋体"/>
                <w:b w:val="0"/>
              </w:rPr>
              <w:t>-</w:t>
            </w:r>
          </w:p>
        </w:tc>
        <w:tc>
          <w:tcPr>
            <w:tcW w:w="0" w:type="dxa"/>
            <w:vAlign w:val="center"/>
          </w:tcPr>
          <w:p w14:paraId="20E90CD2">
            <w:pPr>
              <w:spacing w:line="240" w:lineRule="auto"/>
              <w:jc w:val="right"/>
            </w:pPr>
            <w:r>
              <w:rPr>
                <w:rFonts w:ascii="宋体" w:hAnsi="宋体" w:eastAsia="宋体" w:cs="宋体"/>
                <w:b w:val="0"/>
              </w:rPr>
              <w:t>-</w:t>
            </w:r>
          </w:p>
        </w:tc>
        <w:tc>
          <w:tcPr>
            <w:tcW w:w="0" w:type="dxa"/>
            <w:vAlign w:val="center"/>
          </w:tcPr>
          <w:p w14:paraId="56099A96">
            <w:pPr>
              <w:spacing w:line="240" w:lineRule="auto"/>
              <w:jc w:val="right"/>
            </w:pPr>
            <w:r>
              <w:rPr>
                <w:rFonts w:ascii="宋体" w:hAnsi="宋体" w:eastAsia="宋体" w:cs="宋体"/>
                <w:b w:val="0"/>
              </w:rPr>
              <w:t>-</w:t>
            </w:r>
          </w:p>
        </w:tc>
        <w:tc>
          <w:tcPr>
            <w:tcW w:w="0" w:type="dxa"/>
            <w:vAlign w:val="center"/>
          </w:tcPr>
          <w:p w14:paraId="463EC5FF">
            <w:pPr>
              <w:spacing w:line="240" w:lineRule="auto"/>
              <w:jc w:val="right"/>
            </w:pPr>
            <w:r>
              <w:rPr>
                <w:rFonts w:ascii="宋体" w:hAnsi="宋体" w:eastAsia="宋体" w:cs="宋体"/>
                <w:b w:val="0"/>
              </w:rPr>
              <w:t>-</w:t>
            </w:r>
          </w:p>
        </w:tc>
        <w:tc>
          <w:tcPr>
            <w:tcW w:w="0" w:type="dxa"/>
            <w:vAlign w:val="center"/>
          </w:tcPr>
          <w:p w14:paraId="3CBDD885">
            <w:pPr>
              <w:spacing w:line="240" w:lineRule="auto"/>
              <w:jc w:val="right"/>
            </w:pPr>
            <w:r>
              <w:rPr>
                <w:rFonts w:ascii="宋体" w:hAnsi="宋体" w:eastAsia="宋体" w:cs="宋体"/>
                <w:b w:val="0"/>
              </w:rPr>
              <w:t>17,899.59</w:t>
            </w:r>
          </w:p>
        </w:tc>
        <w:tc>
          <w:tcPr>
            <w:tcW w:w="0" w:type="dxa"/>
            <w:vAlign w:val="center"/>
          </w:tcPr>
          <w:p w14:paraId="2455FCFE">
            <w:pPr>
              <w:spacing w:line="240" w:lineRule="auto"/>
              <w:jc w:val="right"/>
            </w:pPr>
            <w:r>
              <w:rPr>
                <w:rFonts w:ascii="宋体" w:hAnsi="宋体" w:eastAsia="宋体" w:cs="宋体"/>
                <w:b w:val="0"/>
              </w:rPr>
              <w:t>17,899.59</w:t>
            </w:r>
          </w:p>
        </w:tc>
      </w:tr>
      <w:tr w14:paraId="0BC6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FF866B">
            <w:pPr>
              <w:spacing w:line="240" w:lineRule="auto"/>
              <w:jc w:val="center"/>
            </w:pPr>
            <w:r>
              <w:rPr>
                <w:rFonts w:ascii="宋体" w:hAnsi="宋体" w:eastAsia="宋体" w:cs="宋体"/>
                <w:b w:val="0"/>
              </w:rPr>
              <w:t>利率敏感度缺口</w:t>
            </w:r>
          </w:p>
        </w:tc>
        <w:tc>
          <w:tcPr>
            <w:tcW w:w="0" w:type="dxa"/>
            <w:vAlign w:val="center"/>
          </w:tcPr>
          <w:p w14:paraId="775CD9F0">
            <w:pPr>
              <w:spacing w:line="240" w:lineRule="auto"/>
              <w:jc w:val="right"/>
            </w:pPr>
            <w:r>
              <w:rPr>
                <w:rFonts w:ascii="宋体" w:hAnsi="宋体" w:eastAsia="宋体" w:cs="宋体"/>
                <w:b w:val="0"/>
              </w:rPr>
              <w:t>329,314.21</w:t>
            </w:r>
          </w:p>
        </w:tc>
        <w:tc>
          <w:tcPr>
            <w:tcW w:w="0" w:type="dxa"/>
            <w:vAlign w:val="center"/>
          </w:tcPr>
          <w:p w14:paraId="399FBDFF">
            <w:pPr>
              <w:spacing w:line="240" w:lineRule="auto"/>
              <w:jc w:val="right"/>
            </w:pPr>
            <w:r>
              <w:rPr>
                <w:rFonts w:ascii="宋体" w:hAnsi="宋体" w:eastAsia="宋体" w:cs="宋体"/>
                <w:b w:val="0"/>
              </w:rPr>
              <w:t>-</w:t>
            </w:r>
          </w:p>
        </w:tc>
        <w:tc>
          <w:tcPr>
            <w:tcW w:w="0" w:type="dxa"/>
            <w:vAlign w:val="center"/>
          </w:tcPr>
          <w:p w14:paraId="4CA66ED6">
            <w:pPr>
              <w:spacing w:line="240" w:lineRule="auto"/>
              <w:jc w:val="right"/>
            </w:pPr>
            <w:r>
              <w:rPr>
                <w:rFonts w:ascii="宋体" w:hAnsi="宋体" w:eastAsia="宋体" w:cs="宋体"/>
                <w:b w:val="0"/>
              </w:rPr>
              <w:t>602,644.44</w:t>
            </w:r>
          </w:p>
        </w:tc>
        <w:tc>
          <w:tcPr>
            <w:tcW w:w="0" w:type="dxa"/>
            <w:vAlign w:val="center"/>
          </w:tcPr>
          <w:p w14:paraId="595044AB">
            <w:pPr>
              <w:spacing w:line="240" w:lineRule="auto"/>
              <w:jc w:val="right"/>
            </w:pPr>
            <w:r>
              <w:rPr>
                <w:rFonts w:ascii="宋体" w:hAnsi="宋体" w:eastAsia="宋体" w:cs="宋体"/>
                <w:b w:val="0"/>
              </w:rPr>
              <w:t>-</w:t>
            </w:r>
          </w:p>
        </w:tc>
        <w:tc>
          <w:tcPr>
            <w:tcW w:w="0" w:type="dxa"/>
            <w:vAlign w:val="center"/>
          </w:tcPr>
          <w:p w14:paraId="10A12690">
            <w:pPr>
              <w:spacing w:line="240" w:lineRule="auto"/>
              <w:jc w:val="right"/>
            </w:pPr>
            <w:r>
              <w:rPr>
                <w:rFonts w:ascii="宋体" w:hAnsi="宋体" w:eastAsia="宋体" w:cs="宋体"/>
                <w:b w:val="0"/>
              </w:rPr>
              <w:t>-</w:t>
            </w:r>
          </w:p>
        </w:tc>
        <w:tc>
          <w:tcPr>
            <w:tcW w:w="0" w:type="dxa"/>
            <w:vAlign w:val="center"/>
          </w:tcPr>
          <w:p w14:paraId="43F98946">
            <w:pPr>
              <w:spacing w:line="240" w:lineRule="auto"/>
              <w:jc w:val="right"/>
            </w:pPr>
            <w:r>
              <w:rPr>
                <w:rFonts w:ascii="宋体" w:hAnsi="宋体" w:eastAsia="宋体" w:cs="宋体"/>
                <w:b w:val="0"/>
              </w:rPr>
              <w:t>10,909,167.40</w:t>
            </w:r>
          </w:p>
        </w:tc>
        <w:tc>
          <w:tcPr>
            <w:tcW w:w="0" w:type="dxa"/>
            <w:vAlign w:val="center"/>
          </w:tcPr>
          <w:p w14:paraId="47FB65E7">
            <w:pPr>
              <w:spacing w:line="240" w:lineRule="auto"/>
              <w:jc w:val="right"/>
            </w:pPr>
            <w:r>
              <w:rPr>
                <w:rFonts w:ascii="宋体" w:hAnsi="宋体" w:eastAsia="宋体" w:cs="宋体"/>
                <w:b w:val="0"/>
              </w:rPr>
              <w:t>11,841,126.05</w:t>
            </w:r>
          </w:p>
        </w:tc>
      </w:tr>
    </w:tbl>
    <w:p w14:paraId="69704B6B">
      <w:r>
        <w:rPr>
          <w:rFonts w:ascii="宋体" w:hAnsi="宋体" w:eastAsia="宋体" w:cs="宋体"/>
          <w:b w:val="0"/>
        </w:rPr>
        <w:t>注：表中所示为本基金资产及负债的账面价值，并按照合约规定的利率重新定价日或到期日孰早者予以分类。</w:t>
      </w:r>
    </w:p>
    <w:p w14:paraId="64F7B8E7"/>
    <w:p w14:paraId="6F10D94D">
      <w:r>
        <w:rPr>
          <w:rFonts w:ascii="宋体" w:hAnsi="宋体" w:eastAsia="宋体" w:cs="宋体"/>
          <w:b/>
        </w:rPr>
        <w:t>6.4.13.4.1.2 利率风险的敏感性分析</w:t>
      </w:r>
    </w:p>
    <w:p w14:paraId="6FCEE9FB">
      <w:r>
        <w:rPr>
          <w:rFonts w:ascii="宋体" w:hAnsi="宋体" w:eastAsia="宋体" w:cs="宋体"/>
          <w:b w:val="0"/>
        </w:rPr>
        <w:t xml:space="preserve">    于2025年06月30日，本基金持有的交易性债券投资公允价值占基金资产净值的比例为5.09%，因此市场利率的变动对于本基金净资产无重大影响。</w:t>
      </w:r>
    </w:p>
    <w:p w14:paraId="69852518"/>
    <w:p w14:paraId="7B3CF223">
      <w:r>
        <w:rPr>
          <w:rFonts w:ascii="宋体" w:hAnsi="宋体" w:eastAsia="宋体" w:cs="宋体"/>
          <w:b/>
        </w:rPr>
        <w:t>6.4.13.4.2 外汇风险</w:t>
      </w:r>
    </w:p>
    <w:p w14:paraId="45235157">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14:paraId="61D8063E"/>
    <w:p w14:paraId="0EDB128B">
      <w:r>
        <w:rPr>
          <w:rFonts w:ascii="宋体" w:hAnsi="宋体" w:eastAsia="宋体" w:cs="宋体"/>
          <w:b/>
        </w:rPr>
        <w:t>6.4.13.4.3 其他价格风险</w:t>
      </w:r>
    </w:p>
    <w:p w14:paraId="6D100905">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    </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     </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43674413"/>
    <w:p w14:paraId="11F804FA">
      <w:r>
        <w:rPr>
          <w:rFonts w:ascii="宋体" w:hAnsi="宋体" w:eastAsia="宋体" w:cs="宋体"/>
          <w:b/>
        </w:rPr>
        <w:t>6.4.13.4.3.1 其他价格风险敞口</w:t>
      </w:r>
    </w:p>
    <w:p w14:paraId="30F162E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2322"/>
        <w:gridCol w:w="3095"/>
      </w:tblGrid>
      <w:tr w14:paraId="193D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vMerge w:val="restart"/>
            <w:shd w:val="clear" w:color="auto" w:fill="D9D9D9"/>
            <w:vAlign w:val="center"/>
          </w:tcPr>
          <w:p w14:paraId="61F416E8">
            <w:pPr>
              <w:spacing w:line="240" w:lineRule="auto"/>
              <w:jc w:val="center"/>
            </w:pPr>
            <w:r>
              <w:rPr>
                <w:rFonts w:ascii="宋体" w:hAnsi="宋体" w:eastAsia="宋体" w:cs="宋体"/>
                <w:b w:val="0"/>
              </w:rPr>
              <w:t>项目</w:t>
            </w:r>
          </w:p>
        </w:tc>
        <w:tc>
          <w:tcPr>
            <w:tcW w:w="2692" w:type="pct"/>
            <w:gridSpan w:val="2"/>
            <w:shd w:val="clear" w:color="auto" w:fill="D9D9D9"/>
          </w:tcPr>
          <w:p w14:paraId="5AB48E52">
            <w:pPr>
              <w:spacing w:line="240" w:lineRule="auto"/>
              <w:jc w:val="center"/>
            </w:pPr>
            <w:r>
              <w:rPr>
                <w:rFonts w:ascii="宋体" w:hAnsi="宋体" w:eastAsia="宋体" w:cs="宋体"/>
                <w:b w:val="0"/>
              </w:rPr>
              <w:t>本期末2025年06月30日</w:t>
            </w:r>
          </w:p>
        </w:tc>
      </w:tr>
      <w:tr w14:paraId="29A5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F1867A"/>
        </w:tc>
        <w:tc>
          <w:tcPr>
            <w:tcW w:w="1154" w:type="pct"/>
            <w:shd w:val="clear" w:color="auto" w:fill="D9D9D9"/>
          </w:tcPr>
          <w:p w14:paraId="581F9B51">
            <w:pPr>
              <w:spacing w:line="240" w:lineRule="auto"/>
              <w:jc w:val="center"/>
            </w:pPr>
            <w:r>
              <w:rPr>
                <w:rFonts w:ascii="宋体" w:hAnsi="宋体" w:eastAsia="宋体" w:cs="宋体"/>
                <w:b w:val="0"/>
              </w:rPr>
              <w:t>公允价值</w:t>
            </w:r>
          </w:p>
        </w:tc>
        <w:tc>
          <w:tcPr>
            <w:tcW w:w="1538" w:type="pct"/>
            <w:shd w:val="clear" w:color="auto" w:fill="D9D9D9"/>
          </w:tcPr>
          <w:p w14:paraId="5536871F">
            <w:pPr>
              <w:spacing w:line="240" w:lineRule="auto"/>
              <w:jc w:val="center"/>
            </w:pPr>
            <w:r>
              <w:rPr>
                <w:rFonts w:ascii="宋体" w:hAnsi="宋体" w:eastAsia="宋体" w:cs="宋体"/>
                <w:b w:val="0"/>
              </w:rPr>
              <w:t>占基金资产净值比例(%)</w:t>
            </w:r>
          </w:p>
        </w:tc>
      </w:tr>
      <w:tr w14:paraId="193D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124E47">
            <w:pPr>
              <w:spacing w:line="240" w:lineRule="auto"/>
              <w:jc w:val="left"/>
            </w:pPr>
            <w:r>
              <w:rPr>
                <w:rFonts w:ascii="宋体" w:hAnsi="宋体" w:eastAsia="宋体" w:cs="宋体"/>
                <w:b w:val="0"/>
              </w:rPr>
              <w:t>交易性金融资产－股票投资</w:t>
            </w:r>
          </w:p>
        </w:tc>
        <w:tc>
          <w:tcPr>
            <w:tcW w:w="0" w:type="dxa"/>
          </w:tcPr>
          <w:p w14:paraId="5B3911DF">
            <w:pPr>
              <w:spacing w:line="240" w:lineRule="auto"/>
              <w:jc w:val="right"/>
            </w:pPr>
            <w:r>
              <w:rPr>
                <w:rFonts w:ascii="宋体" w:hAnsi="宋体" w:eastAsia="宋体" w:cs="宋体"/>
                <w:b w:val="0"/>
              </w:rPr>
              <w:t>10,924,771.58</w:t>
            </w:r>
          </w:p>
        </w:tc>
        <w:tc>
          <w:tcPr>
            <w:tcW w:w="0" w:type="dxa"/>
          </w:tcPr>
          <w:p w14:paraId="29F8A235">
            <w:pPr>
              <w:spacing w:line="240" w:lineRule="auto"/>
              <w:jc w:val="right"/>
            </w:pPr>
            <w:r>
              <w:rPr>
                <w:rFonts w:ascii="宋体" w:hAnsi="宋体" w:eastAsia="宋体" w:cs="宋体"/>
                <w:b w:val="0"/>
              </w:rPr>
              <w:t>92.26</w:t>
            </w:r>
          </w:p>
        </w:tc>
      </w:tr>
      <w:tr w14:paraId="1719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98DB35">
            <w:pPr>
              <w:spacing w:line="240" w:lineRule="auto"/>
              <w:jc w:val="left"/>
            </w:pPr>
            <w:r>
              <w:rPr>
                <w:rFonts w:ascii="宋体" w:hAnsi="宋体" w:eastAsia="宋体" w:cs="宋体"/>
                <w:b w:val="0"/>
              </w:rPr>
              <w:t>交易性金融资产－基金投资</w:t>
            </w:r>
          </w:p>
        </w:tc>
        <w:tc>
          <w:tcPr>
            <w:tcW w:w="0" w:type="dxa"/>
          </w:tcPr>
          <w:p w14:paraId="6A06A8AD">
            <w:pPr>
              <w:spacing w:line="240" w:lineRule="auto"/>
              <w:jc w:val="right"/>
            </w:pPr>
            <w:r>
              <w:rPr>
                <w:rFonts w:ascii="宋体" w:hAnsi="宋体" w:eastAsia="宋体" w:cs="宋体"/>
                <w:b w:val="0"/>
              </w:rPr>
              <w:t>-</w:t>
            </w:r>
          </w:p>
        </w:tc>
        <w:tc>
          <w:tcPr>
            <w:tcW w:w="0" w:type="dxa"/>
          </w:tcPr>
          <w:p w14:paraId="33BF8A40">
            <w:pPr>
              <w:spacing w:line="240" w:lineRule="auto"/>
              <w:jc w:val="right"/>
            </w:pPr>
            <w:r>
              <w:rPr>
                <w:rFonts w:ascii="宋体" w:hAnsi="宋体" w:eastAsia="宋体" w:cs="宋体"/>
                <w:b w:val="0"/>
              </w:rPr>
              <w:t>-</w:t>
            </w:r>
          </w:p>
        </w:tc>
      </w:tr>
      <w:tr w14:paraId="5B46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3B3D5A">
            <w:pPr>
              <w:spacing w:line="240" w:lineRule="auto"/>
              <w:jc w:val="left"/>
            </w:pPr>
            <w:r>
              <w:rPr>
                <w:rFonts w:ascii="宋体" w:hAnsi="宋体" w:eastAsia="宋体" w:cs="宋体"/>
                <w:b w:val="0"/>
              </w:rPr>
              <w:t>交易性金融资产－债券投资</w:t>
            </w:r>
          </w:p>
        </w:tc>
        <w:tc>
          <w:tcPr>
            <w:tcW w:w="0" w:type="dxa"/>
          </w:tcPr>
          <w:p w14:paraId="7C031CDB">
            <w:pPr>
              <w:spacing w:line="240" w:lineRule="auto"/>
              <w:jc w:val="right"/>
            </w:pPr>
            <w:r>
              <w:rPr>
                <w:rFonts w:ascii="宋体" w:hAnsi="宋体" w:eastAsia="宋体" w:cs="宋体"/>
                <w:b w:val="0"/>
              </w:rPr>
              <w:t>602,644.44</w:t>
            </w:r>
          </w:p>
        </w:tc>
        <w:tc>
          <w:tcPr>
            <w:tcW w:w="0" w:type="dxa"/>
          </w:tcPr>
          <w:p w14:paraId="4905857F">
            <w:pPr>
              <w:spacing w:line="240" w:lineRule="auto"/>
              <w:jc w:val="right"/>
            </w:pPr>
            <w:r>
              <w:rPr>
                <w:rFonts w:ascii="宋体" w:hAnsi="宋体" w:eastAsia="宋体" w:cs="宋体"/>
                <w:b w:val="0"/>
              </w:rPr>
              <w:t>5.09</w:t>
            </w:r>
          </w:p>
        </w:tc>
      </w:tr>
      <w:tr w14:paraId="3F1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8C9B0F">
            <w:pPr>
              <w:spacing w:line="240" w:lineRule="auto"/>
              <w:jc w:val="left"/>
            </w:pPr>
            <w:r>
              <w:rPr>
                <w:rFonts w:ascii="宋体" w:hAnsi="宋体" w:eastAsia="宋体" w:cs="宋体"/>
                <w:b w:val="0"/>
              </w:rPr>
              <w:t>交易性金融资产－贵金属投资</w:t>
            </w:r>
          </w:p>
        </w:tc>
        <w:tc>
          <w:tcPr>
            <w:tcW w:w="0" w:type="dxa"/>
          </w:tcPr>
          <w:p w14:paraId="45F163F7">
            <w:pPr>
              <w:spacing w:line="240" w:lineRule="auto"/>
              <w:jc w:val="right"/>
            </w:pPr>
            <w:r>
              <w:rPr>
                <w:rFonts w:ascii="宋体" w:hAnsi="宋体" w:eastAsia="宋体" w:cs="宋体"/>
                <w:b w:val="0"/>
              </w:rPr>
              <w:t>-</w:t>
            </w:r>
          </w:p>
        </w:tc>
        <w:tc>
          <w:tcPr>
            <w:tcW w:w="0" w:type="dxa"/>
          </w:tcPr>
          <w:p w14:paraId="6EFF7960">
            <w:pPr>
              <w:spacing w:line="240" w:lineRule="auto"/>
              <w:jc w:val="right"/>
            </w:pPr>
            <w:r>
              <w:rPr>
                <w:rFonts w:ascii="宋体" w:hAnsi="宋体" w:eastAsia="宋体" w:cs="宋体"/>
                <w:b w:val="0"/>
              </w:rPr>
              <w:t>-</w:t>
            </w:r>
          </w:p>
        </w:tc>
      </w:tr>
      <w:tr w14:paraId="430D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C14A41">
            <w:pPr>
              <w:spacing w:line="240" w:lineRule="auto"/>
              <w:jc w:val="left"/>
            </w:pPr>
            <w:r>
              <w:rPr>
                <w:rFonts w:ascii="宋体" w:hAnsi="宋体" w:eastAsia="宋体" w:cs="宋体"/>
                <w:b w:val="0"/>
              </w:rPr>
              <w:t>衍生金融资产－权证投资</w:t>
            </w:r>
          </w:p>
        </w:tc>
        <w:tc>
          <w:tcPr>
            <w:tcW w:w="0" w:type="dxa"/>
          </w:tcPr>
          <w:p w14:paraId="5E55092B">
            <w:pPr>
              <w:spacing w:line="240" w:lineRule="auto"/>
              <w:jc w:val="right"/>
            </w:pPr>
            <w:r>
              <w:rPr>
                <w:rFonts w:ascii="宋体" w:hAnsi="宋体" w:eastAsia="宋体" w:cs="宋体"/>
                <w:b w:val="0"/>
              </w:rPr>
              <w:t>-</w:t>
            </w:r>
          </w:p>
        </w:tc>
        <w:tc>
          <w:tcPr>
            <w:tcW w:w="0" w:type="dxa"/>
          </w:tcPr>
          <w:p w14:paraId="4CF4354C">
            <w:pPr>
              <w:spacing w:line="240" w:lineRule="auto"/>
              <w:jc w:val="right"/>
            </w:pPr>
            <w:r>
              <w:rPr>
                <w:rFonts w:ascii="宋体" w:hAnsi="宋体" w:eastAsia="宋体" w:cs="宋体"/>
                <w:b w:val="0"/>
              </w:rPr>
              <w:t>-</w:t>
            </w:r>
          </w:p>
        </w:tc>
      </w:tr>
      <w:tr w14:paraId="5BFE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9C1AE9">
            <w:pPr>
              <w:spacing w:line="240" w:lineRule="auto"/>
              <w:jc w:val="left"/>
            </w:pPr>
            <w:r>
              <w:rPr>
                <w:rFonts w:ascii="宋体" w:hAnsi="宋体" w:eastAsia="宋体" w:cs="宋体"/>
                <w:b w:val="0"/>
              </w:rPr>
              <w:t>其他</w:t>
            </w:r>
          </w:p>
        </w:tc>
        <w:tc>
          <w:tcPr>
            <w:tcW w:w="0" w:type="dxa"/>
          </w:tcPr>
          <w:p w14:paraId="0BEE9AE9">
            <w:pPr>
              <w:spacing w:line="240" w:lineRule="auto"/>
              <w:jc w:val="right"/>
            </w:pPr>
            <w:r>
              <w:rPr>
                <w:rFonts w:ascii="宋体" w:hAnsi="宋体" w:eastAsia="宋体" w:cs="宋体"/>
                <w:b w:val="0"/>
              </w:rPr>
              <w:t>-</w:t>
            </w:r>
          </w:p>
        </w:tc>
        <w:tc>
          <w:tcPr>
            <w:tcW w:w="0" w:type="dxa"/>
          </w:tcPr>
          <w:p w14:paraId="69409FA3">
            <w:pPr>
              <w:spacing w:line="240" w:lineRule="auto"/>
              <w:jc w:val="right"/>
            </w:pPr>
            <w:r>
              <w:rPr>
                <w:rFonts w:ascii="宋体" w:hAnsi="宋体" w:eastAsia="宋体" w:cs="宋体"/>
                <w:b w:val="0"/>
              </w:rPr>
              <w:t>-</w:t>
            </w:r>
          </w:p>
        </w:tc>
      </w:tr>
      <w:tr w14:paraId="5386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52D74B">
            <w:pPr>
              <w:spacing w:line="240" w:lineRule="auto"/>
              <w:jc w:val="center"/>
            </w:pPr>
            <w:r>
              <w:rPr>
                <w:rFonts w:ascii="宋体" w:hAnsi="宋体" w:eastAsia="宋体" w:cs="宋体"/>
                <w:b w:val="0"/>
              </w:rPr>
              <w:t>合计</w:t>
            </w:r>
          </w:p>
        </w:tc>
        <w:tc>
          <w:tcPr>
            <w:tcW w:w="0" w:type="dxa"/>
          </w:tcPr>
          <w:p w14:paraId="605B5920">
            <w:pPr>
              <w:spacing w:line="240" w:lineRule="auto"/>
              <w:jc w:val="right"/>
            </w:pPr>
            <w:r>
              <w:rPr>
                <w:rFonts w:ascii="宋体" w:hAnsi="宋体" w:eastAsia="宋体" w:cs="宋体"/>
                <w:b w:val="0"/>
              </w:rPr>
              <w:t>11,527,416.02</w:t>
            </w:r>
          </w:p>
        </w:tc>
        <w:tc>
          <w:tcPr>
            <w:tcW w:w="0" w:type="dxa"/>
          </w:tcPr>
          <w:p w14:paraId="74A72B70">
            <w:pPr>
              <w:spacing w:line="240" w:lineRule="auto"/>
              <w:jc w:val="right"/>
            </w:pPr>
            <w:r>
              <w:rPr>
                <w:rFonts w:ascii="宋体" w:hAnsi="宋体" w:eastAsia="宋体" w:cs="宋体"/>
                <w:b w:val="0"/>
              </w:rPr>
              <w:t>97.35</w:t>
            </w:r>
          </w:p>
        </w:tc>
      </w:tr>
    </w:tbl>
    <w:p w14:paraId="6D674482"/>
    <w:p w14:paraId="36EC4453">
      <w:r>
        <w:rPr>
          <w:rFonts w:ascii="宋体" w:hAnsi="宋体" w:eastAsia="宋体" w:cs="宋体"/>
          <w:b/>
        </w:rPr>
        <w:t>6.4.13.4.3.2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9B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0325CB1F">
            <w:pPr>
              <w:spacing w:line="240" w:lineRule="auto"/>
              <w:jc w:val="center"/>
            </w:pPr>
            <w:r>
              <w:rPr>
                <w:rFonts w:ascii="宋体" w:hAnsi="宋体" w:eastAsia="宋体" w:cs="宋体"/>
                <w:b w:val="0"/>
              </w:rPr>
              <w:t>假设</w:t>
            </w:r>
          </w:p>
        </w:tc>
        <w:tc>
          <w:tcPr>
            <w:tcW w:w="3077" w:type="pct"/>
            <w:gridSpan w:val="2"/>
          </w:tcPr>
          <w:p w14:paraId="7367717E">
            <w:pPr>
              <w:spacing w:line="240" w:lineRule="auto"/>
              <w:jc w:val="left"/>
            </w:pPr>
            <w:r>
              <w:rPr>
                <w:rFonts w:ascii="宋体" w:hAnsi="宋体" w:eastAsia="宋体" w:cs="宋体"/>
                <w:b w:val="0"/>
              </w:rPr>
              <w:t>除沪深300指数以外的其他市场变量保持不变</w:t>
            </w:r>
          </w:p>
        </w:tc>
      </w:tr>
      <w:tr w14:paraId="2041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0766E39">
            <w:pPr>
              <w:spacing w:line="240" w:lineRule="auto"/>
              <w:jc w:val="center"/>
            </w:pPr>
            <w:r>
              <w:rPr>
                <w:rFonts w:ascii="宋体" w:hAnsi="宋体" w:eastAsia="宋体" w:cs="宋体"/>
                <w:b w:val="0"/>
              </w:rPr>
              <w:t>分析</w:t>
            </w:r>
          </w:p>
        </w:tc>
        <w:tc>
          <w:tcPr>
            <w:tcW w:w="1538" w:type="pct"/>
            <w:vMerge w:val="restart"/>
            <w:vAlign w:val="center"/>
          </w:tcPr>
          <w:p w14:paraId="26B49E5C">
            <w:pPr>
              <w:spacing w:line="240" w:lineRule="auto"/>
              <w:jc w:val="center"/>
            </w:pPr>
            <w:r>
              <w:rPr>
                <w:rFonts w:ascii="宋体" w:hAnsi="宋体" w:eastAsia="宋体" w:cs="宋体"/>
                <w:b w:val="0"/>
              </w:rPr>
              <w:t>相关风险变量的变动</w:t>
            </w:r>
          </w:p>
        </w:tc>
        <w:tc>
          <w:tcPr>
            <w:tcW w:w="1538" w:type="pct"/>
            <w:vAlign w:val="center"/>
          </w:tcPr>
          <w:p w14:paraId="5F4620C4">
            <w:pPr>
              <w:spacing w:line="240" w:lineRule="auto"/>
              <w:jc w:val="center"/>
            </w:pPr>
            <w:r>
              <w:rPr>
                <w:rFonts w:ascii="宋体" w:hAnsi="宋体" w:eastAsia="宋体" w:cs="宋体"/>
                <w:b w:val="0"/>
              </w:rPr>
              <w:t>对资产负债表日基金资产净值的影响金额（单位：人民币元）</w:t>
            </w:r>
          </w:p>
        </w:tc>
      </w:tr>
      <w:tr w14:paraId="0605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1A73AF2"/>
        </w:tc>
        <w:tc>
          <w:tcPr>
            <w:vMerge w:val="continue"/>
          </w:tcPr>
          <w:p w14:paraId="2485F88B"/>
        </w:tc>
        <w:tc>
          <w:tcPr>
            <w:tcW w:w="0" w:type="dxa"/>
            <w:vAlign w:val="center"/>
          </w:tcPr>
          <w:p w14:paraId="785F8B5B">
            <w:pPr>
              <w:spacing w:line="240" w:lineRule="auto"/>
              <w:jc w:val="center"/>
            </w:pPr>
            <w:r>
              <w:rPr>
                <w:rFonts w:ascii="宋体" w:hAnsi="宋体" w:eastAsia="宋体" w:cs="宋体"/>
                <w:b w:val="0"/>
              </w:rPr>
              <w:t>本期末2025年06月30日</w:t>
            </w:r>
          </w:p>
        </w:tc>
      </w:tr>
      <w:tr w14:paraId="1397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36D8E5F"/>
        </w:tc>
        <w:tc>
          <w:tcPr>
            <w:tcW w:w="0" w:type="dxa"/>
          </w:tcPr>
          <w:p w14:paraId="013DC63D">
            <w:pPr>
              <w:spacing w:line="240" w:lineRule="auto"/>
              <w:jc w:val="left"/>
            </w:pPr>
            <w:r>
              <w:rPr>
                <w:rFonts w:ascii="宋体" w:hAnsi="宋体" w:eastAsia="宋体" w:cs="宋体"/>
                <w:b w:val="0"/>
              </w:rPr>
              <w:t>1.沪深300指数上升5%</w:t>
            </w:r>
          </w:p>
        </w:tc>
        <w:tc>
          <w:tcPr>
            <w:tcW w:w="0" w:type="dxa"/>
          </w:tcPr>
          <w:p w14:paraId="27F74EDB">
            <w:pPr>
              <w:spacing w:line="240" w:lineRule="auto"/>
              <w:jc w:val="left"/>
            </w:pPr>
            <w:r>
              <w:rPr>
                <w:rFonts w:ascii="宋体" w:hAnsi="宋体" w:eastAsia="宋体" w:cs="宋体"/>
                <w:b w:val="0"/>
              </w:rPr>
              <w:t>1,277,084.05</w:t>
            </w:r>
          </w:p>
        </w:tc>
      </w:tr>
      <w:tr w14:paraId="7396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5521AC"/>
        </w:tc>
        <w:tc>
          <w:tcPr>
            <w:tcW w:w="0" w:type="dxa"/>
          </w:tcPr>
          <w:p w14:paraId="7BA2A41E">
            <w:pPr>
              <w:spacing w:line="240" w:lineRule="auto"/>
              <w:jc w:val="left"/>
            </w:pPr>
            <w:r>
              <w:rPr>
                <w:rFonts w:ascii="宋体" w:hAnsi="宋体" w:eastAsia="宋体" w:cs="宋体"/>
                <w:b w:val="0"/>
              </w:rPr>
              <w:t>2.沪深300指数下降5%</w:t>
            </w:r>
          </w:p>
        </w:tc>
        <w:tc>
          <w:tcPr>
            <w:tcW w:w="0" w:type="dxa"/>
          </w:tcPr>
          <w:p w14:paraId="07EAF2A7">
            <w:pPr>
              <w:spacing w:line="240" w:lineRule="auto"/>
              <w:jc w:val="left"/>
            </w:pPr>
            <w:r>
              <w:rPr>
                <w:rFonts w:ascii="宋体" w:hAnsi="宋体" w:eastAsia="宋体" w:cs="宋体"/>
                <w:b w:val="0"/>
              </w:rPr>
              <w:t>-1,277,084.05</w:t>
            </w:r>
          </w:p>
        </w:tc>
      </w:tr>
    </w:tbl>
    <w:p w14:paraId="4E7A9292"/>
    <w:p w14:paraId="3D6295B0">
      <w:r>
        <w:rPr>
          <w:rFonts w:ascii="宋体" w:hAnsi="宋体" w:eastAsia="宋体" w:cs="宋体"/>
          <w:b/>
        </w:rPr>
        <w:t>6.4.14 公允价值</w:t>
      </w:r>
    </w:p>
    <w:p w14:paraId="2F6FDE48">
      <w:r>
        <w:rPr>
          <w:rFonts w:ascii="宋体" w:hAnsi="宋体" w:eastAsia="宋体" w:cs="宋体"/>
          <w:b/>
        </w:rPr>
        <w:t>6.4.14.1 金融工具公允价值计量的方法</w:t>
      </w:r>
    </w:p>
    <w:p w14:paraId="298F7C03">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68203386"/>
    <w:p w14:paraId="57EF5A4F">
      <w:r>
        <w:rPr>
          <w:rFonts w:ascii="宋体" w:hAnsi="宋体" w:eastAsia="宋体" w:cs="宋体"/>
          <w:b/>
        </w:rPr>
        <w:t>6.4.14.2 持续的以公允价值计量的金融工具</w:t>
      </w:r>
    </w:p>
    <w:p w14:paraId="21E26943">
      <w:r>
        <w:rPr>
          <w:rFonts w:ascii="宋体" w:hAnsi="宋体" w:eastAsia="宋体" w:cs="宋体"/>
          <w:b/>
        </w:rPr>
        <w:t>6.4.14.2.1 各层次金融工具的公允价值</w:t>
      </w:r>
    </w:p>
    <w:p w14:paraId="44CF18E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14:paraId="3D22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14:paraId="60A90FBF">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14:paraId="44FB04FA">
            <w:pPr>
              <w:spacing w:line="240" w:lineRule="auto"/>
              <w:jc w:val="center"/>
            </w:pPr>
            <w:r>
              <w:rPr>
                <w:rFonts w:ascii="宋体" w:hAnsi="宋体" w:eastAsia="宋体" w:cs="宋体"/>
                <w:b w:val="0"/>
              </w:rPr>
              <w:t>本期末2025年06月30日</w:t>
            </w:r>
          </w:p>
        </w:tc>
      </w:tr>
      <w:tr w14:paraId="629A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0B7AB874">
            <w:pPr>
              <w:spacing w:line="240" w:lineRule="auto"/>
              <w:jc w:val="left"/>
            </w:pPr>
            <w:r>
              <w:rPr>
                <w:rFonts w:ascii="宋体" w:hAnsi="宋体" w:eastAsia="宋体" w:cs="宋体"/>
                <w:b w:val="0"/>
              </w:rPr>
              <w:t>第一层次</w:t>
            </w:r>
          </w:p>
        </w:tc>
        <w:tc>
          <w:tcPr>
            <w:tcW w:w="2462" w:type="pct"/>
            <w:vAlign w:val="center"/>
          </w:tcPr>
          <w:p w14:paraId="61301DD7">
            <w:pPr>
              <w:spacing w:line="240" w:lineRule="auto"/>
              <w:jc w:val="right"/>
            </w:pPr>
            <w:r>
              <w:rPr>
                <w:rFonts w:ascii="宋体" w:hAnsi="宋体" w:eastAsia="宋体" w:cs="宋体"/>
                <w:b w:val="0"/>
              </w:rPr>
              <w:t>10,924,771.58</w:t>
            </w:r>
          </w:p>
        </w:tc>
      </w:tr>
      <w:tr w14:paraId="1D8E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66050917">
            <w:pPr>
              <w:spacing w:line="240" w:lineRule="auto"/>
              <w:jc w:val="left"/>
            </w:pPr>
            <w:r>
              <w:rPr>
                <w:rFonts w:ascii="宋体" w:hAnsi="宋体" w:eastAsia="宋体" w:cs="宋体"/>
                <w:b w:val="0"/>
              </w:rPr>
              <w:t>第二层次</w:t>
            </w:r>
          </w:p>
        </w:tc>
        <w:tc>
          <w:tcPr>
            <w:tcW w:w="2462" w:type="pct"/>
            <w:vAlign w:val="center"/>
          </w:tcPr>
          <w:p w14:paraId="1ADA15DF">
            <w:pPr>
              <w:spacing w:line="240" w:lineRule="auto"/>
              <w:jc w:val="right"/>
            </w:pPr>
            <w:r>
              <w:rPr>
                <w:rFonts w:ascii="宋体" w:hAnsi="宋体" w:eastAsia="宋体" w:cs="宋体"/>
                <w:b w:val="0"/>
              </w:rPr>
              <w:t>602,644.44</w:t>
            </w:r>
          </w:p>
        </w:tc>
      </w:tr>
      <w:tr w14:paraId="57F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250F9AD8">
            <w:pPr>
              <w:spacing w:line="240" w:lineRule="auto"/>
              <w:jc w:val="left"/>
            </w:pPr>
            <w:r>
              <w:rPr>
                <w:rFonts w:ascii="宋体" w:hAnsi="宋体" w:eastAsia="宋体" w:cs="宋体"/>
                <w:b w:val="0"/>
              </w:rPr>
              <w:t>第三层次</w:t>
            </w:r>
          </w:p>
        </w:tc>
        <w:tc>
          <w:tcPr>
            <w:tcW w:w="2462" w:type="pct"/>
            <w:vAlign w:val="center"/>
          </w:tcPr>
          <w:p w14:paraId="075E2353">
            <w:pPr>
              <w:spacing w:line="240" w:lineRule="auto"/>
              <w:jc w:val="right"/>
            </w:pPr>
            <w:r>
              <w:rPr>
                <w:rFonts w:ascii="宋体" w:hAnsi="宋体" w:eastAsia="宋体" w:cs="宋体"/>
                <w:b w:val="0"/>
              </w:rPr>
              <w:t>-</w:t>
            </w:r>
          </w:p>
        </w:tc>
      </w:tr>
      <w:tr w14:paraId="5DB7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72C0C226">
            <w:pPr>
              <w:spacing w:line="240" w:lineRule="auto"/>
              <w:jc w:val="center"/>
            </w:pPr>
            <w:r>
              <w:rPr>
                <w:rFonts w:ascii="宋体" w:hAnsi="宋体" w:eastAsia="宋体" w:cs="宋体"/>
                <w:b w:val="0"/>
              </w:rPr>
              <w:t>合计</w:t>
            </w:r>
          </w:p>
        </w:tc>
        <w:tc>
          <w:tcPr>
            <w:tcW w:w="2462" w:type="pct"/>
            <w:vAlign w:val="center"/>
          </w:tcPr>
          <w:p w14:paraId="34E3C91A">
            <w:pPr>
              <w:spacing w:line="240" w:lineRule="auto"/>
              <w:jc w:val="right"/>
            </w:pPr>
            <w:r>
              <w:rPr>
                <w:rFonts w:ascii="宋体" w:hAnsi="宋体" w:eastAsia="宋体" w:cs="宋体"/>
                <w:b w:val="0"/>
              </w:rPr>
              <w:t>11,527,416.02</w:t>
            </w:r>
          </w:p>
        </w:tc>
      </w:tr>
    </w:tbl>
    <w:p w14:paraId="7C9AD164"/>
    <w:p w14:paraId="21CFAE41">
      <w:r>
        <w:rPr>
          <w:rFonts w:ascii="宋体" w:hAnsi="宋体" w:eastAsia="宋体" w:cs="宋体"/>
          <w:b/>
        </w:rPr>
        <w:t>6.4.14.2.2 公允价值所属层次间的重大变动</w:t>
      </w:r>
    </w:p>
    <w:p w14:paraId="36CB78B1">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3B84FCAC"/>
    <w:p w14:paraId="78C79A4D">
      <w:r>
        <w:rPr>
          <w:rFonts w:ascii="宋体" w:hAnsi="宋体" w:eastAsia="宋体" w:cs="宋体"/>
          <w:b/>
        </w:rPr>
        <w:t>6.4.14.3 非持续的以公允价值计量的金融工具的说明</w:t>
      </w:r>
    </w:p>
    <w:p w14:paraId="3476A5B6">
      <w:r>
        <w:rPr>
          <w:rFonts w:ascii="宋体" w:hAnsi="宋体" w:eastAsia="宋体" w:cs="宋体"/>
          <w:b w:val="0"/>
        </w:rPr>
        <w:t xml:space="preserve">    于2025年06月30日，本基金未持有非持续的以公允价值计量的金融资产。</w:t>
      </w:r>
    </w:p>
    <w:p w14:paraId="74D095E1"/>
    <w:p w14:paraId="6E0D6BCA">
      <w:r>
        <w:rPr>
          <w:rFonts w:ascii="宋体" w:hAnsi="宋体" w:eastAsia="宋体" w:cs="宋体"/>
          <w:b/>
        </w:rPr>
        <w:t>6.4.14.4 不以公允价值计量的金融工具的相关说明</w:t>
      </w:r>
    </w:p>
    <w:p w14:paraId="6F939AA0">
      <w:r>
        <w:rPr>
          <w:rFonts w:ascii="宋体" w:hAnsi="宋体" w:eastAsia="宋体" w:cs="宋体"/>
          <w:b w:val="0"/>
        </w:rPr>
        <w:t xml:space="preserve">    不以公允价值计量的金融资产和负债主要包括应收款项和其他金融负债，其账面价值与公允价值相差很小。</w:t>
      </w:r>
    </w:p>
    <w:p w14:paraId="5BDF5B64"/>
    <w:p w14:paraId="15D51BF2">
      <w:r>
        <w:rPr>
          <w:rFonts w:ascii="宋体" w:hAnsi="宋体" w:eastAsia="宋体" w:cs="宋体"/>
          <w:b/>
        </w:rPr>
        <w:t>6.4.15 有助于理解和分析会计报表需要说明的其他事项</w:t>
      </w:r>
    </w:p>
    <w:p w14:paraId="622CA38D">
      <w:pPr>
        <w:jc w:val="left"/>
      </w:pPr>
      <w:r>
        <w:rPr>
          <w:rFonts w:ascii="宋体" w:hAnsi="宋体" w:eastAsia="宋体" w:cs="宋体"/>
          <w:b w:val="0"/>
        </w:rPr>
        <w:t xml:space="preserve">    无。</w:t>
      </w:r>
    </w:p>
    <w:p w14:paraId="5C6F8804">
      <w:pPr>
        <w:pStyle w:val="2"/>
        <w:jc w:val="center"/>
      </w:pPr>
      <w:bookmarkStart w:id="32" w:name="_Toc8982"/>
      <w:r>
        <w:rPr>
          <w:rFonts w:ascii="宋体" w:hAnsi="宋体" w:eastAsia="宋体" w:cs="宋体"/>
        </w:rPr>
        <w:t>§7 投资组合报告</w:t>
      </w:r>
      <w:bookmarkEnd w:id="32"/>
    </w:p>
    <w:p w14:paraId="174B76D3">
      <w:pPr>
        <w:pStyle w:val="3"/>
        <w:jc w:val="left"/>
      </w:pPr>
      <w:bookmarkStart w:id="33" w:name="_Toc25655"/>
      <w:r>
        <w:rPr>
          <w:rFonts w:ascii="宋体" w:hAnsi="宋体" w:eastAsia="宋体" w:cs="宋体"/>
        </w:rPr>
        <w:t>7.1 期末基金资产组合情况</w:t>
      </w:r>
      <w:bookmarkEnd w:id="33"/>
    </w:p>
    <w:p w14:paraId="6EF06C8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11E2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tcPr>
          <w:p w14:paraId="1B7E97AD">
            <w:pPr>
              <w:spacing w:line="240" w:lineRule="auto"/>
              <w:jc w:val="center"/>
            </w:pPr>
            <w:r>
              <w:rPr>
                <w:rFonts w:ascii="宋体" w:hAnsi="宋体" w:eastAsia="宋体" w:cs="宋体"/>
                <w:b w:val="0"/>
              </w:rPr>
              <w:t>序号</w:t>
            </w:r>
          </w:p>
        </w:tc>
        <w:tc>
          <w:tcPr>
            <w:tcW w:w="1538" w:type="pct"/>
            <w:shd w:val="clear" w:color="auto" w:fill="D9D9D9"/>
          </w:tcPr>
          <w:p w14:paraId="1FF5E469">
            <w:pPr>
              <w:spacing w:line="240" w:lineRule="auto"/>
              <w:jc w:val="center"/>
            </w:pPr>
            <w:r>
              <w:rPr>
                <w:rFonts w:ascii="宋体" w:hAnsi="宋体" w:eastAsia="宋体" w:cs="宋体"/>
                <w:b w:val="0"/>
              </w:rPr>
              <w:t>项目</w:t>
            </w:r>
          </w:p>
        </w:tc>
        <w:tc>
          <w:tcPr>
            <w:tcW w:w="769" w:type="pct"/>
            <w:shd w:val="clear" w:color="auto" w:fill="D9D9D9"/>
          </w:tcPr>
          <w:p w14:paraId="17F620CF">
            <w:pPr>
              <w:spacing w:line="240" w:lineRule="auto"/>
              <w:jc w:val="center"/>
            </w:pPr>
            <w:r>
              <w:rPr>
                <w:rFonts w:ascii="宋体" w:hAnsi="宋体" w:eastAsia="宋体" w:cs="宋体"/>
                <w:b w:val="0"/>
              </w:rPr>
              <w:t>金额</w:t>
            </w:r>
          </w:p>
        </w:tc>
        <w:tc>
          <w:tcPr>
            <w:tcW w:w="1538" w:type="pct"/>
            <w:shd w:val="clear" w:color="auto" w:fill="D9D9D9"/>
          </w:tcPr>
          <w:p w14:paraId="3E9CCFAF">
            <w:pPr>
              <w:spacing w:line="240" w:lineRule="auto"/>
              <w:jc w:val="center"/>
            </w:pPr>
            <w:r>
              <w:rPr>
                <w:rFonts w:ascii="宋体" w:hAnsi="宋体" w:eastAsia="宋体" w:cs="宋体"/>
                <w:b w:val="0"/>
              </w:rPr>
              <w:t>占基金总资产的比例(%)</w:t>
            </w:r>
          </w:p>
        </w:tc>
      </w:tr>
      <w:tr w14:paraId="5E68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838153">
            <w:pPr>
              <w:spacing w:line="240" w:lineRule="auto"/>
              <w:jc w:val="center"/>
            </w:pPr>
            <w:r>
              <w:rPr>
                <w:rFonts w:ascii="宋体" w:hAnsi="宋体" w:eastAsia="宋体" w:cs="宋体"/>
                <w:b w:val="0"/>
              </w:rPr>
              <w:t>1</w:t>
            </w:r>
          </w:p>
        </w:tc>
        <w:tc>
          <w:tcPr>
            <w:tcW w:w="0" w:type="dxa"/>
          </w:tcPr>
          <w:p w14:paraId="5F18E4B2">
            <w:pPr>
              <w:spacing w:line="240" w:lineRule="auto"/>
              <w:jc w:val="left"/>
            </w:pPr>
            <w:r>
              <w:rPr>
                <w:rFonts w:ascii="宋体" w:hAnsi="宋体" w:eastAsia="宋体" w:cs="宋体"/>
                <w:b w:val="0"/>
              </w:rPr>
              <w:t>权益投资</w:t>
            </w:r>
          </w:p>
        </w:tc>
        <w:tc>
          <w:tcPr>
            <w:tcW w:w="0" w:type="dxa"/>
          </w:tcPr>
          <w:p w14:paraId="135DB120">
            <w:pPr>
              <w:spacing w:line="240" w:lineRule="auto"/>
              <w:jc w:val="right"/>
            </w:pPr>
            <w:r>
              <w:rPr>
                <w:rFonts w:ascii="宋体" w:hAnsi="宋体" w:eastAsia="宋体" w:cs="宋体"/>
                <w:b w:val="0"/>
              </w:rPr>
              <w:t>10,924,771.58</w:t>
            </w:r>
          </w:p>
        </w:tc>
        <w:tc>
          <w:tcPr>
            <w:tcW w:w="0" w:type="dxa"/>
          </w:tcPr>
          <w:p w14:paraId="1875C815">
            <w:pPr>
              <w:spacing w:line="240" w:lineRule="auto"/>
              <w:jc w:val="right"/>
            </w:pPr>
            <w:r>
              <w:rPr>
                <w:rFonts w:ascii="宋体" w:hAnsi="宋体" w:eastAsia="宋体" w:cs="宋体"/>
                <w:b w:val="0"/>
              </w:rPr>
              <w:t>92.12</w:t>
            </w:r>
          </w:p>
        </w:tc>
      </w:tr>
      <w:tr w14:paraId="3A11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1FF7AF">
            <w:pPr>
              <w:spacing w:line="240" w:lineRule="auto"/>
              <w:jc w:val="center"/>
            </w:pPr>
          </w:p>
        </w:tc>
        <w:tc>
          <w:tcPr>
            <w:tcW w:w="0" w:type="dxa"/>
          </w:tcPr>
          <w:p w14:paraId="47AE1F49">
            <w:pPr>
              <w:spacing w:line="240" w:lineRule="auto"/>
              <w:jc w:val="left"/>
            </w:pPr>
            <w:r>
              <w:rPr>
                <w:rFonts w:ascii="宋体" w:hAnsi="宋体" w:eastAsia="宋体" w:cs="宋体"/>
                <w:b w:val="0"/>
              </w:rPr>
              <w:t>其中：股票</w:t>
            </w:r>
          </w:p>
        </w:tc>
        <w:tc>
          <w:tcPr>
            <w:tcW w:w="0" w:type="dxa"/>
          </w:tcPr>
          <w:p w14:paraId="6FA221DB">
            <w:pPr>
              <w:spacing w:line="240" w:lineRule="auto"/>
              <w:jc w:val="right"/>
            </w:pPr>
            <w:r>
              <w:rPr>
                <w:rFonts w:ascii="宋体" w:hAnsi="宋体" w:eastAsia="宋体" w:cs="宋体"/>
                <w:b w:val="0"/>
              </w:rPr>
              <w:t>10,924,771.58</w:t>
            </w:r>
          </w:p>
        </w:tc>
        <w:tc>
          <w:tcPr>
            <w:tcW w:w="0" w:type="dxa"/>
          </w:tcPr>
          <w:p w14:paraId="5C8A6F77">
            <w:pPr>
              <w:spacing w:line="240" w:lineRule="auto"/>
              <w:jc w:val="right"/>
            </w:pPr>
            <w:r>
              <w:rPr>
                <w:rFonts w:ascii="宋体" w:hAnsi="宋体" w:eastAsia="宋体" w:cs="宋体"/>
                <w:b w:val="0"/>
              </w:rPr>
              <w:t>92.12</w:t>
            </w:r>
          </w:p>
        </w:tc>
      </w:tr>
      <w:tr w14:paraId="2863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FF4862">
            <w:pPr>
              <w:spacing w:line="240" w:lineRule="auto"/>
              <w:jc w:val="center"/>
            </w:pPr>
            <w:r>
              <w:rPr>
                <w:rFonts w:ascii="宋体" w:hAnsi="宋体" w:eastAsia="宋体" w:cs="宋体"/>
                <w:b w:val="0"/>
              </w:rPr>
              <w:t>2</w:t>
            </w:r>
          </w:p>
        </w:tc>
        <w:tc>
          <w:tcPr>
            <w:tcW w:w="0" w:type="dxa"/>
          </w:tcPr>
          <w:p w14:paraId="260A5367">
            <w:pPr>
              <w:spacing w:line="240" w:lineRule="auto"/>
              <w:jc w:val="left"/>
            </w:pPr>
            <w:r>
              <w:rPr>
                <w:rFonts w:ascii="宋体" w:hAnsi="宋体" w:eastAsia="宋体" w:cs="宋体"/>
                <w:b w:val="0"/>
              </w:rPr>
              <w:t>基金投资</w:t>
            </w:r>
          </w:p>
        </w:tc>
        <w:tc>
          <w:tcPr>
            <w:tcW w:w="0" w:type="dxa"/>
          </w:tcPr>
          <w:p w14:paraId="34CA8FB6">
            <w:pPr>
              <w:spacing w:line="240" w:lineRule="auto"/>
              <w:jc w:val="right"/>
            </w:pPr>
            <w:r>
              <w:rPr>
                <w:rFonts w:ascii="宋体" w:hAnsi="宋体" w:eastAsia="宋体" w:cs="宋体"/>
                <w:b w:val="0"/>
              </w:rPr>
              <w:t>-</w:t>
            </w:r>
          </w:p>
        </w:tc>
        <w:tc>
          <w:tcPr>
            <w:tcW w:w="0" w:type="dxa"/>
          </w:tcPr>
          <w:p w14:paraId="64EB208E">
            <w:pPr>
              <w:spacing w:line="240" w:lineRule="auto"/>
              <w:jc w:val="right"/>
            </w:pPr>
            <w:r>
              <w:rPr>
                <w:rFonts w:ascii="宋体" w:hAnsi="宋体" w:eastAsia="宋体" w:cs="宋体"/>
                <w:b w:val="0"/>
              </w:rPr>
              <w:t>-</w:t>
            </w:r>
          </w:p>
        </w:tc>
      </w:tr>
      <w:tr w14:paraId="29D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F7F070">
            <w:pPr>
              <w:spacing w:line="240" w:lineRule="auto"/>
              <w:jc w:val="center"/>
            </w:pPr>
            <w:r>
              <w:rPr>
                <w:rFonts w:ascii="宋体" w:hAnsi="宋体" w:eastAsia="宋体" w:cs="宋体"/>
                <w:b w:val="0"/>
              </w:rPr>
              <w:t>3</w:t>
            </w:r>
          </w:p>
        </w:tc>
        <w:tc>
          <w:tcPr>
            <w:tcW w:w="0" w:type="dxa"/>
          </w:tcPr>
          <w:p w14:paraId="539C2882">
            <w:pPr>
              <w:spacing w:line="240" w:lineRule="auto"/>
              <w:jc w:val="left"/>
            </w:pPr>
            <w:r>
              <w:rPr>
                <w:rFonts w:ascii="宋体" w:hAnsi="宋体" w:eastAsia="宋体" w:cs="宋体"/>
                <w:b w:val="0"/>
              </w:rPr>
              <w:t>固定收益投资</w:t>
            </w:r>
          </w:p>
        </w:tc>
        <w:tc>
          <w:tcPr>
            <w:tcW w:w="0" w:type="dxa"/>
          </w:tcPr>
          <w:p w14:paraId="4FAC9F97">
            <w:pPr>
              <w:spacing w:line="240" w:lineRule="auto"/>
              <w:jc w:val="right"/>
            </w:pPr>
            <w:r>
              <w:rPr>
                <w:rFonts w:ascii="宋体" w:hAnsi="宋体" w:eastAsia="宋体" w:cs="宋体"/>
                <w:b w:val="0"/>
              </w:rPr>
              <w:t>602,644.44</w:t>
            </w:r>
          </w:p>
        </w:tc>
        <w:tc>
          <w:tcPr>
            <w:tcW w:w="0" w:type="dxa"/>
          </w:tcPr>
          <w:p w14:paraId="368070C6">
            <w:pPr>
              <w:spacing w:line="240" w:lineRule="auto"/>
              <w:jc w:val="right"/>
            </w:pPr>
            <w:r>
              <w:rPr>
                <w:rFonts w:ascii="宋体" w:hAnsi="宋体" w:eastAsia="宋体" w:cs="宋体"/>
                <w:b w:val="0"/>
              </w:rPr>
              <w:t>5.08</w:t>
            </w:r>
          </w:p>
        </w:tc>
      </w:tr>
      <w:tr w14:paraId="27F2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8DDAB5">
            <w:pPr>
              <w:spacing w:line="240" w:lineRule="auto"/>
              <w:jc w:val="center"/>
            </w:pPr>
          </w:p>
        </w:tc>
        <w:tc>
          <w:tcPr>
            <w:tcW w:w="0" w:type="dxa"/>
          </w:tcPr>
          <w:p w14:paraId="72768451">
            <w:pPr>
              <w:spacing w:line="240" w:lineRule="auto"/>
              <w:jc w:val="left"/>
            </w:pPr>
            <w:r>
              <w:rPr>
                <w:rFonts w:ascii="宋体" w:hAnsi="宋体" w:eastAsia="宋体" w:cs="宋体"/>
                <w:b w:val="0"/>
              </w:rPr>
              <w:t>其中：债券</w:t>
            </w:r>
          </w:p>
        </w:tc>
        <w:tc>
          <w:tcPr>
            <w:tcW w:w="0" w:type="dxa"/>
          </w:tcPr>
          <w:p w14:paraId="70A970F1">
            <w:pPr>
              <w:spacing w:line="240" w:lineRule="auto"/>
              <w:jc w:val="right"/>
            </w:pPr>
            <w:r>
              <w:rPr>
                <w:rFonts w:ascii="宋体" w:hAnsi="宋体" w:eastAsia="宋体" w:cs="宋体"/>
                <w:b w:val="0"/>
              </w:rPr>
              <w:t>602,644.44</w:t>
            </w:r>
          </w:p>
        </w:tc>
        <w:tc>
          <w:tcPr>
            <w:tcW w:w="0" w:type="dxa"/>
          </w:tcPr>
          <w:p w14:paraId="48DB471E">
            <w:pPr>
              <w:spacing w:line="240" w:lineRule="auto"/>
              <w:jc w:val="right"/>
            </w:pPr>
            <w:r>
              <w:rPr>
                <w:rFonts w:ascii="宋体" w:hAnsi="宋体" w:eastAsia="宋体" w:cs="宋体"/>
                <w:b w:val="0"/>
              </w:rPr>
              <w:t>5.08</w:t>
            </w:r>
          </w:p>
        </w:tc>
      </w:tr>
      <w:tr w14:paraId="70F5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389839">
            <w:pPr>
              <w:spacing w:line="240" w:lineRule="auto"/>
              <w:jc w:val="center"/>
            </w:pPr>
          </w:p>
        </w:tc>
        <w:tc>
          <w:tcPr>
            <w:tcW w:w="0" w:type="dxa"/>
          </w:tcPr>
          <w:p w14:paraId="6880204C">
            <w:pPr>
              <w:spacing w:line="240" w:lineRule="auto"/>
              <w:jc w:val="left"/>
            </w:pPr>
            <w:r>
              <w:rPr>
                <w:rFonts w:ascii="宋体" w:hAnsi="宋体" w:eastAsia="宋体" w:cs="宋体"/>
                <w:b w:val="0"/>
              </w:rPr>
              <w:t xml:space="preserve">      资产支持证券</w:t>
            </w:r>
          </w:p>
        </w:tc>
        <w:tc>
          <w:tcPr>
            <w:tcW w:w="0" w:type="dxa"/>
          </w:tcPr>
          <w:p w14:paraId="0C6A0B50">
            <w:pPr>
              <w:spacing w:line="240" w:lineRule="auto"/>
              <w:jc w:val="right"/>
            </w:pPr>
            <w:r>
              <w:rPr>
                <w:rFonts w:ascii="宋体" w:hAnsi="宋体" w:eastAsia="宋体" w:cs="宋体"/>
                <w:b w:val="0"/>
              </w:rPr>
              <w:t>-</w:t>
            </w:r>
          </w:p>
        </w:tc>
        <w:tc>
          <w:tcPr>
            <w:tcW w:w="0" w:type="dxa"/>
          </w:tcPr>
          <w:p w14:paraId="055E5B0C">
            <w:pPr>
              <w:spacing w:line="240" w:lineRule="auto"/>
              <w:jc w:val="right"/>
            </w:pPr>
            <w:r>
              <w:rPr>
                <w:rFonts w:ascii="宋体" w:hAnsi="宋体" w:eastAsia="宋体" w:cs="宋体"/>
                <w:b w:val="0"/>
              </w:rPr>
              <w:t>-</w:t>
            </w:r>
          </w:p>
        </w:tc>
      </w:tr>
      <w:tr w14:paraId="52FB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4C20AF">
            <w:pPr>
              <w:spacing w:line="240" w:lineRule="auto"/>
              <w:jc w:val="center"/>
            </w:pPr>
            <w:r>
              <w:rPr>
                <w:rFonts w:ascii="宋体" w:hAnsi="宋体" w:eastAsia="宋体" w:cs="宋体"/>
                <w:b w:val="0"/>
              </w:rPr>
              <w:t>4</w:t>
            </w:r>
          </w:p>
        </w:tc>
        <w:tc>
          <w:tcPr>
            <w:tcW w:w="0" w:type="dxa"/>
          </w:tcPr>
          <w:p w14:paraId="66EBFA71">
            <w:pPr>
              <w:spacing w:line="240" w:lineRule="auto"/>
              <w:jc w:val="left"/>
            </w:pPr>
            <w:r>
              <w:rPr>
                <w:rFonts w:ascii="宋体" w:hAnsi="宋体" w:eastAsia="宋体" w:cs="宋体"/>
                <w:b w:val="0"/>
              </w:rPr>
              <w:t>贵金属投资</w:t>
            </w:r>
          </w:p>
        </w:tc>
        <w:tc>
          <w:tcPr>
            <w:tcW w:w="0" w:type="dxa"/>
          </w:tcPr>
          <w:p w14:paraId="68B2C080">
            <w:pPr>
              <w:spacing w:line="240" w:lineRule="auto"/>
              <w:jc w:val="right"/>
            </w:pPr>
            <w:r>
              <w:rPr>
                <w:rFonts w:ascii="宋体" w:hAnsi="宋体" w:eastAsia="宋体" w:cs="宋体"/>
                <w:b w:val="0"/>
              </w:rPr>
              <w:t>-</w:t>
            </w:r>
          </w:p>
        </w:tc>
        <w:tc>
          <w:tcPr>
            <w:tcW w:w="0" w:type="dxa"/>
          </w:tcPr>
          <w:p w14:paraId="6279F88C">
            <w:pPr>
              <w:spacing w:line="240" w:lineRule="auto"/>
              <w:jc w:val="right"/>
            </w:pPr>
            <w:r>
              <w:rPr>
                <w:rFonts w:ascii="宋体" w:hAnsi="宋体" w:eastAsia="宋体" w:cs="宋体"/>
                <w:b w:val="0"/>
              </w:rPr>
              <w:t>-</w:t>
            </w:r>
          </w:p>
        </w:tc>
      </w:tr>
      <w:tr w14:paraId="2485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E566B1">
            <w:pPr>
              <w:spacing w:line="240" w:lineRule="auto"/>
              <w:jc w:val="center"/>
            </w:pPr>
            <w:r>
              <w:rPr>
                <w:rFonts w:ascii="宋体" w:hAnsi="宋体" w:eastAsia="宋体" w:cs="宋体"/>
                <w:b w:val="0"/>
              </w:rPr>
              <w:t>5</w:t>
            </w:r>
          </w:p>
        </w:tc>
        <w:tc>
          <w:tcPr>
            <w:tcW w:w="0" w:type="dxa"/>
          </w:tcPr>
          <w:p w14:paraId="1FF07E3B">
            <w:pPr>
              <w:spacing w:line="240" w:lineRule="auto"/>
              <w:jc w:val="left"/>
            </w:pPr>
            <w:r>
              <w:rPr>
                <w:rFonts w:ascii="宋体" w:hAnsi="宋体" w:eastAsia="宋体" w:cs="宋体"/>
                <w:b w:val="0"/>
              </w:rPr>
              <w:t>金融衍生品投资</w:t>
            </w:r>
          </w:p>
        </w:tc>
        <w:tc>
          <w:tcPr>
            <w:tcW w:w="0" w:type="dxa"/>
          </w:tcPr>
          <w:p w14:paraId="62965CB2">
            <w:pPr>
              <w:spacing w:line="240" w:lineRule="auto"/>
              <w:jc w:val="right"/>
            </w:pPr>
            <w:r>
              <w:rPr>
                <w:rFonts w:ascii="宋体" w:hAnsi="宋体" w:eastAsia="宋体" w:cs="宋体"/>
                <w:b w:val="0"/>
              </w:rPr>
              <w:t>-</w:t>
            </w:r>
          </w:p>
        </w:tc>
        <w:tc>
          <w:tcPr>
            <w:tcW w:w="0" w:type="dxa"/>
          </w:tcPr>
          <w:p w14:paraId="0B91B000">
            <w:pPr>
              <w:spacing w:line="240" w:lineRule="auto"/>
              <w:jc w:val="right"/>
            </w:pPr>
            <w:r>
              <w:rPr>
                <w:rFonts w:ascii="宋体" w:hAnsi="宋体" w:eastAsia="宋体" w:cs="宋体"/>
                <w:b w:val="0"/>
              </w:rPr>
              <w:t>-</w:t>
            </w:r>
          </w:p>
        </w:tc>
      </w:tr>
      <w:tr w14:paraId="1C85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80C65B">
            <w:pPr>
              <w:spacing w:line="240" w:lineRule="auto"/>
              <w:jc w:val="center"/>
            </w:pPr>
            <w:r>
              <w:rPr>
                <w:rFonts w:ascii="宋体" w:hAnsi="宋体" w:eastAsia="宋体" w:cs="宋体"/>
                <w:b w:val="0"/>
              </w:rPr>
              <w:t>6</w:t>
            </w:r>
          </w:p>
        </w:tc>
        <w:tc>
          <w:tcPr>
            <w:tcW w:w="0" w:type="dxa"/>
          </w:tcPr>
          <w:p w14:paraId="72BEB95F">
            <w:pPr>
              <w:spacing w:line="240" w:lineRule="auto"/>
              <w:jc w:val="left"/>
            </w:pPr>
            <w:r>
              <w:rPr>
                <w:rFonts w:ascii="宋体" w:hAnsi="宋体" w:eastAsia="宋体" w:cs="宋体"/>
                <w:b w:val="0"/>
              </w:rPr>
              <w:t>买入返售金融资产</w:t>
            </w:r>
          </w:p>
        </w:tc>
        <w:tc>
          <w:tcPr>
            <w:tcW w:w="0" w:type="dxa"/>
          </w:tcPr>
          <w:p w14:paraId="16B8ECD3">
            <w:pPr>
              <w:spacing w:line="240" w:lineRule="auto"/>
              <w:jc w:val="right"/>
            </w:pPr>
            <w:r>
              <w:rPr>
                <w:rFonts w:ascii="宋体" w:hAnsi="宋体" w:eastAsia="宋体" w:cs="宋体"/>
                <w:b w:val="0"/>
              </w:rPr>
              <w:t>-</w:t>
            </w:r>
          </w:p>
        </w:tc>
        <w:tc>
          <w:tcPr>
            <w:tcW w:w="0" w:type="dxa"/>
          </w:tcPr>
          <w:p w14:paraId="0496FD70">
            <w:pPr>
              <w:spacing w:line="240" w:lineRule="auto"/>
              <w:jc w:val="right"/>
            </w:pPr>
            <w:r>
              <w:rPr>
                <w:rFonts w:ascii="宋体" w:hAnsi="宋体" w:eastAsia="宋体" w:cs="宋体"/>
                <w:b w:val="0"/>
              </w:rPr>
              <w:t>-</w:t>
            </w:r>
          </w:p>
        </w:tc>
      </w:tr>
      <w:tr w14:paraId="7413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29EE98">
            <w:pPr>
              <w:spacing w:line="240" w:lineRule="auto"/>
              <w:jc w:val="center"/>
            </w:pPr>
          </w:p>
        </w:tc>
        <w:tc>
          <w:tcPr>
            <w:tcW w:w="0" w:type="dxa"/>
          </w:tcPr>
          <w:p w14:paraId="003A6125">
            <w:pPr>
              <w:spacing w:line="240" w:lineRule="auto"/>
              <w:jc w:val="left"/>
            </w:pPr>
            <w:r>
              <w:rPr>
                <w:rFonts w:ascii="宋体" w:hAnsi="宋体" w:eastAsia="宋体" w:cs="宋体"/>
                <w:b w:val="0"/>
              </w:rPr>
              <w:t>其中：买断式回购的买入返售金融资产</w:t>
            </w:r>
          </w:p>
        </w:tc>
        <w:tc>
          <w:tcPr>
            <w:tcW w:w="0" w:type="dxa"/>
          </w:tcPr>
          <w:p w14:paraId="188AE08E">
            <w:pPr>
              <w:spacing w:line="240" w:lineRule="auto"/>
              <w:jc w:val="right"/>
            </w:pPr>
            <w:r>
              <w:rPr>
                <w:rFonts w:ascii="宋体" w:hAnsi="宋体" w:eastAsia="宋体" w:cs="宋体"/>
                <w:b w:val="0"/>
              </w:rPr>
              <w:t>-</w:t>
            </w:r>
          </w:p>
        </w:tc>
        <w:tc>
          <w:tcPr>
            <w:tcW w:w="0" w:type="dxa"/>
          </w:tcPr>
          <w:p w14:paraId="734DE44C">
            <w:pPr>
              <w:spacing w:line="240" w:lineRule="auto"/>
              <w:jc w:val="right"/>
            </w:pPr>
            <w:r>
              <w:rPr>
                <w:rFonts w:ascii="宋体" w:hAnsi="宋体" w:eastAsia="宋体" w:cs="宋体"/>
                <w:b w:val="0"/>
              </w:rPr>
              <w:t>-</w:t>
            </w:r>
          </w:p>
        </w:tc>
      </w:tr>
      <w:tr w14:paraId="53C9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B27165">
            <w:pPr>
              <w:spacing w:line="240" w:lineRule="auto"/>
              <w:jc w:val="center"/>
            </w:pPr>
            <w:r>
              <w:rPr>
                <w:rFonts w:ascii="宋体" w:hAnsi="宋体" w:eastAsia="宋体" w:cs="宋体"/>
                <w:b w:val="0"/>
              </w:rPr>
              <w:t>7</w:t>
            </w:r>
          </w:p>
        </w:tc>
        <w:tc>
          <w:tcPr>
            <w:tcW w:w="0" w:type="dxa"/>
          </w:tcPr>
          <w:p w14:paraId="44171123">
            <w:pPr>
              <w:spacing w:line="240" w:lineRule="auto"/>
              <w:jc w:val="left"/>
            </w:pPr>
            <w:r>
              <w:rPr>
                <w:rFonts w:ascii="宋体" w:hAnsi="宋体" w:eastAsia="宋体" w:cs="宋体"/>
                <w:b w:val="0"/>
              </w:rPr>
              <w:t>银行存款和结算备付金合计</w:t>
            </w:r>
          </w:p>
        </w:tc>
        <w:tc>
          <w:tcPr>
            <w:tcW w:w="0" w:type="dxa"/>
          </w:tcPr>
          <w:p w14:paraId="45A982F9">
            <w:pPr>
              <w:spacing w:line="240" w:lineRule="auto"/>
              <w:jc w:val="right"/>
            </w:pPr>
            <w:r>
              <w:rPr>
                <w:rFonts w:ascii="宋体" w:hAnsi="宋体" w:eastAsia="宋体" w:cs="宋体"/>
                <w:b w:val="0"/>
              </w:rPr>
              <w:t>329,314.21</w:t>
            </w:r>
          </w:p>
        </w:tc>
        <w:tc>
          <w:tcPr>
            <w:tcW w:w="0" w:type="dxa"/>
          </w:tcPr>
          <w:p w14:paraId="32A117A5">
            <w:pPr>
              <w:spacing w:line="240" w:lineRule="auto"/>
              <w:jc w:val="right"/>
            </w:pPr>
            <w:r>
              <w:rPr>
                <w:rFonts w:ascii="宋体" w:hAnsi="宋体" w:eastAsia="宋体" w:cs="宋体"/>
                <w:b w:val="0"/>
              </w:rPr>
              <w:t>2.78</w:t>
            </w:r>
          </w:p>
        </w:tc>
      </w:tr>
      <w:tr w14:paraId="4A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D6BD8E">
            <w:pPr>
              <w:spacing w:line="240" w:lineRule="auto"/>
              <w:jc w:val="center"/>
            </w:pPr>
            <w:r>
              <w:rPr>
                <w:rFonts w:ascii="宋体" w:hAnsi="宋体" w:eastAsia="宋体" w:cs="宋体"/>
                <w:b w:val="0"/>
              </w:rPr>
              <w:t>8</w:t>
            </w:r>
          </w:p>
        </w:tc>
        <w:tc>
          <w:tcPr>
            <w:tcW w:w="0" w:type="dxa"/>
          </w:tcPr>
          <w:p w14:paraId="04FCBCB8">
            <w:pPr>
              <w:spacing w:line="240" w:lineRule="auto"/>
              <w:jc w:val="left"/>
            </w:pPr>
            <w:r>
              <w:rPr>
                <w:rFonts w:ascii="宋体" w:hAnsi="宋体" w:eastAsia="宋体" w:cs="宋体"/>
                <w:b w:val="0"/>
              </w:rPr>
              <w:t>其他各项资产</w:t>
            </w:r>
          </w:p>
        </w:tc>
        <w:tc>
          <w:tcPr>
            <w:tcW w:w="0" w:type="dxa"/>
          </w:tcPr>
          <w:p w14:paraId="6DEC2907">
            <w:pPr>
              <w:spacing w:line="240" w:lineRule="auto"/>
              <w:jc w:val="right"/>
            </w:pPr>
            <w:r>
              <w:rPr>
                <w:rFonts w:ascii="宋体" w:hAnsi="宋体" w:eastAsia="宋体" w:cs="宋体"/>
                <w:b w:val="0"/>
              </w:rPr>
              <w:t>2,295.41</w:t>
            </w:r>
          </w:p>
        </w:tc>
        <w:tc>
          <w:tcPr>
            <w:tcW w:w="0" w:type="dxa"/>
          </w:tcPr>
          <w:p w14:paraId="7FC7D8D6">
            <w:pPr>
              <w:spacing w:line="240" w:lineRule="auto"/>
              <w:jc w:val="right"/>
            </w:pPr>
            <w:r>
              <w:rPr>
                <w:rFonts w:ascii="宋体" w:hAnsi="宋体" w:eastAsia="宋体" w:cs="宋体"/>
                <w:b w:val="0"/>
              </w:rPr>
              <w:t>0.02</w:t>
            </w:r>
          </w:p>
        </w:tc>
      </w:tr>
      <w:tr w14:paraId="133E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3AED59">
            <w:pPr>
              <w:spacing w:line="240" w:lineRule="auto"/>
              <w:jc w:val="center"/>
            </w:pPr>
            <w:r>
              <w:rPr>
                <w:rFonts w:ascii="宋体" w:hAnsi="宋体" w:eastAsia="宋体" w:cs="宋体"/>
                <w:b w:val="0"/>
              </w:rPr>
              <w:t>9</w:t>
            </w:r>
          </w:p>
        </w:tc>
        <w:tc>
          <w:tcPr>
            <w:tcW w:w="0" w:type="dxa"/>
          </w:tcPr>
          <w:p w14:paraId="01717C16">
            <w:pPr>
              <w:spacing w:line="240" w:lineRule="auto"/>
              <w:jc w:val="left"/>
            </w:pPr>
            <w:r>
              <w:rPr>
                <w:rFonts w:ascii="宋体" w:hAnsi="宋体" w:eastAsia="宋体" w:cs="宋体"/>
                <w:b w:val="0"/>
              </w:rPr>
              <w:t>合计</w:t>
            </w:r>
          </w:p>
        </w:tc>
        <w:tc>
          <w:tcPr>
            <w:tcW w:w="0" w:type="dxa"/>
          </w:tcPr>
          <w:p w14:paraId="6328E244">
            <w:pPr>
              <w:spacing w:line="240" w:lineRule="auto"/>
              <w:jc w:val="right"/>
            </w:pPr>
            <w:r>
              <w:rPr>
                <w:rFonts w:ascii="宋体" w:hAnsi="宋体" w:eastAsia="宋体" w:cs="宋体"/>
                <w:b w:val="0"/>
              </w:rPr>
              <w:t>11,859,025.64</w:t>
            </w:r>
          </w:p>
        </w:tc>
        <w:tc>
          <w:tcPr>
            <w:tcW w:w="0" w:type="dxa"/>
          </w:tcPr>
          <w:p w14:paraId="7AAD8205">
            <w:pPr>
              <w:spacing w:line="240" w:lineRule="auto"/>
              <w:jc w:val="right"/>
            </w:pPr>
            <w:r>
              <w:rPr>
                <w:rFonts w:ascii="宋体" w:hAnsi="宋体" w:eastAsia="宋体" w:cs="宋体"/>
                <w:b w:val="0"/>
              </w:rPr>
              <w:t>100.00</w:t>
            </w:r>
          </w:p>
        </w:tc>
      </w:tr>
    </w:tbl>
    <w:p w14:paraId="389EC866"/>
    <w:p w14:paraId="1FC3CDD7">
      <w:pPr>
        <w:pStyle w:val="3"/>
        <w:jc w:val="left"/>
      </w:pPr>
      <w:bookmarkStart w:id="34" w:name="_Toc8986"/>
      <w:r>
        <w:rPr>
          <w:rFonts w:ascii="宋体" w:hAnsi="宋体" w:eastAsia="宋体" w:cs="宋体"/>
        </w:rPr>
        <w:t>7.2 报告期末按行业分类的股票投资组合</w:t>
      </w:r>
      <w:bookmarkEnd w:id="34"/>
    </w:p>
    <w:p w14:paraId="0BEEF17C">
      <w:r>
        <w:rPr>
          <w:rFonts w:ascii="宋体" w:hAnsi="宋体" w:eastAsia="宋体" w:cs="宋体"/>
          <w:b/>
        </w:rPr>
        <w:t>7.2.1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714"/>
        <w:gridCol w:w="2856"/>
        <w:gridCol w:w="1858"/>
      </w:tblGrid>
      <w:tr w14:paraId="7803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08002863">
            <w:pPr>
              <w:spacing w:line="240" w:lineRule="auto"/>
              <w:jc w:val="center"/>
            </w:pPr>
            <w:r>
              <w:rPr>
                <w:rFonts w:ascii="宋体" w:hAnsi="宋体" w:eastAsia="宋体" w:cs="宋体"/>
                <w:b w:val="0"/>
              </w:rPr>
              <w:t>代码</w:t>
            </w:r>
          </w:p>
        </w:tc>
        <w:tc>
          <w:tcPr>
            <w:tcW w:w="2000" w:type="pct"/>
            <w:shd w:val="clear" w:color="auto" w:fill="D9D9D9"/>
            <w:vAlign w:val="center"/>
          </w:tcPr>
          <w:p w14:paraId="2C3CE2F3">
            <w:pPr>
              <w:spacing w:line="240" w:lineRule="auto"/>
              <w:jc w:val="center"/>
            </w:pPr>
            <w:r>
              <w:rPr>
                <w:rFonts w:ascii="宋体" w:hAnsi="宋体" w:eastAsia="宋体" w:cs="宋体"/>
                <w:b w:val="0"/>
              </w:rPr>
              <w:t>行业类别</w:t>
            </w:r>
          </w:p>
        </w:tc>
        <w:tc>
          <w:tcPr>
            <w:tcW w:w="1538" w:type="pct"/>
            <w:shd w:val="clear" w:color="auto" w:fill="D9D9D9"/>
            <w:vAlign w:val="center"/>
          </w:tcPr>
          <w:p w14:paraId="7535714D">
            <w:pPr>
              <w:spacing w:line="240" w:lineRule="auto"/>
              <w:jc w:val="center"/>
            </w:pPr>
            <w:r>
              <w:rPr>
                <w:rFonts w:ascii="宋体" w:hAnsi="宋体" w:eastAsia="宋体" w:cs="宋体"/>
                <w:b w:val="0"/>
              </w:rPr>
              <w:t>公允价值（元）</w:t>
            </w:r>
          </w:p>
        </w:tc>
        <w:tc>
          <w:tcPr>
            <w:tcW w:w="1385" w:type="pct"/>
            <w:shd w:val="clear" w:color="auto" w:fill="D9D9D9"/>
            <w:vAlign w:val="center"/>
          </w:tcPr>
          <w:p w14:paraId="6118C7BC">
            <w:pPr>
              <w:spacing w:line="240" w:lineRule="auto"/>
              <w:jc w:val="center"/>
            </w:pPr>
            <w:r>
              <w:rPr>
                <w:rFonts w:ascii="宋体" w:hAnsi="宋体" w:eastAsia="宋体" w:cs="宋体"/>
                <w:b w:val="0"/>
              </w:rPr>
              <w:t>占基金资产净值比例(%)</w:t>
            </w:r>
          </w:p>
        </w:tc>
      </w:tr>
      <w:tr w14:paraId="2BAD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EFB602">
            <w:pPr>
              <w:spacing w:line="240" w:lineRule="auto"/>
              <w:jc w:val="center"/>
            </w:pPr>
            <w:r>
              <w:rPr>
                <w:rFonts w:ascii="宋体" w:hAnsi="宋体" w:eastAsia="宋体" w:cs="宋体"/>
                <w:b w:val="0"/>
              </w:rPr>
              <w:t>A</w:t>
            </w:r>
          </w:p>
        </w:tc>
        <w:tc>
          <w:tcPr>
            <w:tcW w:w="0" w:type="dxa"/>
          </w:tcPr>
          <w:p w14:paraId="61EFC983">
            <w:pPr>
              <w:spacing w:line="240" w:lineRule="auto"/>
              <w:jc w:val="left"/>
            </w:pPr>
            <w:r>
              <w:rPr>
                <w:rFonts w:ascii="宋体" w:hAnsi="宋体" w:eastAsia="宋体" w:cs="宋体"/>
                <w:b w:val="0"/>
              </w:rPr>
              <w:t>农、林、牧、渔业</w:t>
            </w:r>
          </w:p>
        </w:tc>
        <w:tc>
          <w:tcPr>
            <w:tcW w:w="0" w:type="dxa"/>
          </w:tcPr>
          <w:p w14:paraId="44318AC6">
            <w:pPr>
              <w:spacing w:line="240" w:lineRule="auto"/>
              <w:jc w:val="right"/>
            </w:pPr>
            <w:r>
              <w:rPr>
                <w:rFonts w:ascii="宋体" w:hAnsi="宋体" w:eastAsia="宋体" w:cs="宋体"/>
                <w:b w:val="0"/>
              </w:rPr>
              <w:t>-</w:t>
            </w:r>
          </w:p>
        </w:tc>
        <w:tc>
          <w:tcPr>
            <w:tcW w:w="0" w:type="dxa"/>
          </w:tcPr>
          <w:p w14:paraId="3E5A9F98">
            <w:pPr>
              <w:spacing w:line="240" w:lineRule="auto"/>
              <w:jc w:val="right"/>
            </w:pPr>
            <w:r>
              <w:rPr>
                <w:rFonts w:ascii="宋体" w:hAnsi="宋体" w:eastAsia="宋体" w:cs="宋体"/>
                <w:b w:val="0"/>
              </w:rPr>
              <w:t>-</w:t>
            </w:r>
          </w:p>
        </w:tc>
      </w:tr>
      <w:tr w14:paraId="40A9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EEA49F">
            <w:pPr>
              <w:spacing w:line="240" w:lineRule="auto"/>
              <w:jc w:val="center"/>
            </w:pPr>
            <w:r>
              <w:rPr>
                <w:rFonts w:ascii="宋体" w:hAnsi="宋体" w:eastAsia="宋体" w:cs="宋体"/>
                <w:b w:val="0"/>
              </w:rPr>
              <w:t>B</w:t>
            </w:r>
          </w:p>
        </w:tc>
        <w:tc>
          <w:tcPr>
            <w:tcW w:w="0" w:type="dxa"/>
          </w:tcPr>
          <w:p w14:paraId="2F2D985D">
            <w:pPr>
              <w:spacing w:line="240" w:lineRule="auto"/>
              <w:jc w:val="left"/>
            </w:pPr>
            <w:r>
              <w:rPr>
                <w:rFonts w:ascii="宋体" w:hAnsi="宋体" w:eastAsia="宋体" w:cs="宋体"/>
                <w:b w:val="0"/>
              </w:rPr>
              <w:t>采矿业</w:t>
            </w:r>
          </w:p>
        </w:tc>
        <w:tc>
          <w:tcPr>
            <w:tcW w:w="0" w:type="dxa"/>
          </w:tcPr>
          <w:p w14:paraId="17849D0C">
            <w:pPr>
              <w:spacing w:line="240" w:lineRule="auto"/>
              <w:jc w:val="right"/>
            </w:pPr>
            <w:r>
              <w:rPr>
                <w:rFonts w:ascii="宋体" w:hAnsi="宋体" w:eastAsia="宋体" w:cs="宋体"/>
                <w:b w:val="0"/>
              </w:rPr>
              <w:t>-</w:t>
            </w:r>
          </w:p>
        </w:tc>
        <w:tc>
          <w:tcPr>
            <w:tcW w:w="0" w:type="dxa"/>
          </w:tcPr>
          <w:p w14:paraId="2E3A26E5">
            <w:pPr>
              <w:spacing w:line="240" w:lineRule="auto"/>
              <w:jc w:val="right"/>
            </w:pPr>
            <w:r>
              <w:rPr>
                <w:rFonts w:ascii="宋体" w:hAnsi="宋体" w:eastAsia="宋体" w:cs="宋体"/>
                <w:b w:val="0"/>
              </w:rPr>
              <w:t>-</w:t>
            </w:r>
          </w:p>
        </w:tc>
      </w:tr>
      <w:tr w14:paraId="79DF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C6819E">
            <w:pPr>
              <w:spacing w:line="240" w:lineRule="auto"/>
              <w:jc w:val="center"/>
            </w:pPr>
            <w:r>
              <w:rPr>
                <w:rFonts w:ascii="宋体" w:hAnsi="宋体" w:eastAsia="宋体" w:cs="宋体"/>
                <w:b w:val="0"/>
              </w:rPr>
              <w:t>C</w:t>
            </w:r>
          </w:p>
        </w:tc>
        <w:tc>
          <w:tcPr>
            <w:tcW w:w="0" w:type="dxa"/>
          </w:tcPr>
          <w:p w14:paraId="289A7A0D">
            <w:pPr>
              <w:spacing w:line="240" w:lineRule="auto"/>
              <w:jc w:val="left"/>
            </w:pPr>
            <w:r>
              <w:rPr>
                <w:rFonts w:ascii="宋体" w:hAnsi="宋体" w:eastAsia="宋体" w:cs="宋体"/>
                <w:b w:val="0"/>
              </w:rPr>
              <w:t>制造业</w:t>
            </w:r>
          </w:p>
        </w:tc>
        <w:tc>
          <w:tcPr>
            <w:tcW w:w="0" w:type="dxa"/>
          </w:tcPr>
          <w:p w14:paraId="4429757B">
            <w:pPr>
              <w:spacing w:line="240" w:lineRule="auto"/>
              <w:jc w:val="right"/>
            </w:pPr>
            <w:r>
              <w:rPr>
                <w:rFonts w:ascii="宋体" w:hAnsi="宋体" w:eastAsia="宋体" w:cs="宋体"/>
                <w:b w:val="0"/>
              </w:rPr>
              <w:t>10,732,501.98</w:t>
            </w:r>
          </w:p>
        </w:tc>
        <w:tc>
          <w:tcPr>
            <w:tcW w:w="0" w:type="dxa"/>
          </w:tcPr>
          <w:p w14:paraId="7E0E472D">
            <w:pPr>
              <w:spacing w:line="240" w:lineRule="auto"/>
              <w:jc w:val="right"/>
            </w:pPr>
            <w:r>
              <w:rPr>
                <w:rFonts w:ascii="宋体" w:hAnsi="宋体" w:eastAsia="宋体" w:cs="宋体"/>
                <w:b w:val="0"/>
              </w:rPr>
              <w:t>90.64</w:t>
            </w:r>
          </w:p>
        </w:tc>
      </w:tr>
      <w:tr w14:paraId="1E58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0E05A0">
            <w:pPr>
              <w:spacing w:line="240" w:lineRule="auto"/>
              <w:jc w:val="center"/>
            </w:pPr>
            <w:r>
              <w:rPr>
                <w:rFonts w:ascii="宋体" w:hAnsi="宋体" w:eastAsia="宋体" w:cs="宋体"/>
                <w:b w:val="0"/>
              </w:rPr>
              <w:t>D</w:t>
            </w:r>
          </w:p>
        </w:tc>
        <w:tc>
          <w:tcPr>
            <w:tcW w:w="0" w:type="dxa"/>
          </w:tcPr>
          <w:p w14:paraId="5BA8BABF">
            <w:pPr>
              <w:spacing w:line="240" w:lineRule="auto"/>
              <w:jc w:val="left"/>
            </w:pPr>
            <w:r>
              <w:rPr>
                <w:rFonts w:ascii="宋体" w:hAnsi="宋体" w:eastAsia="宋体" w:cs="宋体"/>
                <w:b w:val="0"/>
              </w:rPr>
              <w:t>电力、热力、燃气及水生产和供应业</w:t>
            </w:r>
          </w:p>
        </w:tc>
        <w:tc>
          <w:tcPr>
            <w:tcW w:w="0" w:type="dxa"/>
          </w:tcPr>
          <w:p w14:paraId="78E2E8C1">
            <w:pPr>
              <w:spacing w:line="240" w:lineRule="auto"/>
              <w:jc w:val="right"/>
            </w:pPr>
            <w:r>
              <w:rPr>
                <w:rFonts w:ascii="宋体" w:hAnsi="宋体" w:eastAsia="宋体" w:cs="宋体"/>
                <w:b w:val="0"/>
              </w:rPr>
              <w:t>-</w:t>
            </w:r>
          </w:p>
        </w:tc>
        <w:tc>
          <w:tcPr>
            <w:tcW w:w="0" w:type="dxa"/>
          </w:tcPr>
          <w:p w14:paraId="7339F7F9">
            <w:pPr>
              <w:spacing w:line="240" w:lineRule="auto"/>
              <w:jc w:val="right"/>
            </w:pPr>
            <w:r>
              <w:rPr>
                <w:rFonts w:ascii="宋体" w:hAnsi="宋体" w:eastAsia="宋体" w:cs="宋体"/>
                <w:b w:val="0"/>
              </w:rPr>
              <w:t>-</w:t>
            </w:r>
          </w:p>
        </w:tc>
      </w:tr>
      <w:tr w14:paraId="6A6B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05E902">
            <w:pPr>
              <w:spacing w:line="240" w:lineRule="auto"/>
              <w:jc w:val="center"/>
            </w:pPr>
            <w:r>
              <w:rPr>
                <w:rFonts w:ascii="宋体" w:hAnsi="宋体" w:eastAsia="宋体" w:cs="宋体"/>
                <w:b w:val="0"/>
              </w:rPr>
              <w:t>E</w:t>
            </w:r>
          </w:p>
        </w:tc>
        <w:tc>
          <w:tcPr>
            <w:tcW w:w="0" w:type="dxa"/>
          </w:tcPr>
          <w:p w14:paraId="6E1CAD6D">
            <w:pPr>
              <w:spacing w:line="240" w:lineRule="auto"/>
              <w:jc w:val="left"/>
            </w:pPr>
            <w:r>
              <w:rPr>
                <w:rFonts w:ascii="宋体" w:hAnsi="宋体" w:eastAsia="宋体" w:cs="宋体"/>
                <w:b w:val="0"/>
              </w:rPr>
              <w:t>建筑业</w:t>
            </w:r>
          </w:p>
        </w:tc>
        <w:tc>
          <w:tcPr>
            <w:tcW w:w="0" w:type="dxa"/>
          </w:tcPr>
          <w:p w14:paraId="1775AD4A">
            <w:pPr>
              <w:spacing w:line="240" w:lineRule="auto"/>
              <w:jc w:val="right"/>
            </w:pPr>
            <w:r>
              <w:rPr>
                <w:rFonts w:ascii="宋体" w:hAnsi="宋体" w:eastAsia="宋体" w:cs="宋体"/>
                <w:b w:val="0"/>
              </w:rPr>
              <w:t>-</w:t>
            </w:r>
          </w:p>
        </w:tc>
        <w:tc>
          <w:tcPr>
            <w:tcW w:w="0" w:type="dxa"/>
          </w:tcPr>
          <w:p w14:paraId="7D8F0D57">
            <w:pPr>
              <w:spacing w:line="240" w:lineRule="auto"/>
              <w:jc w:val="right"/>
            </w:pPr>
            <w:r>
              <w:rPr>
                <w:rFonts w:ascii="宋体" w:hAnsi="宋体" w:eastAsia="宋体" w:cs="宋体"/>
                <w:b w:val="0"/>
              </w:rPr>
              <w:t>-</w:t>
            </w:r>
          </w:p>
        </w:tc>
      </w:tr>
      <w:tr w14:paraId="1845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F796D9">
            <w:pPr>
              <w:spacing w:line="240" w:lineRule="auto"/>
              <w:jc w:val="center"/>
            </w:pPr>
            <w:r>
              <w:rPr>
                <w:rFonts w:ascii="宋体" w:hAnsi="宋体" w:eastAsia="宋体" w:cs="宋体"/>
                <w:b w:val="0"/>
              </w:rPr>
              <w:t>F</w:t>
            </w:r>
          </w:p>
        </w:tc>
        <w:tc>
          <w:tcPr>
            <w:tcW w:w="0" w:type="dxa"/>
          </w:tcPr>
          <w:p w14:paraId="4609FD9F">
            <w:pPr>
              <w:spacing w:line="240" w:lineRule="auto"/>
              <w:jc w:val="left"/>
            </w:pPr>
            <w:r>
              <w:rPr>
                <w:rFonts w:ascii="宋体" w:hAnsi="宋体" w:eastAsia="宋体" w:cs="宋体"/>
                <w:b w:val="0"/>
              </w:rPr>
              <w:t>批发和零售业</w:t>
            </w:r>
          </w:p>
        </w:tc>
        <w:tc>
          <w:tcPr>
            <w:tcW w:w="0" w:type="dxa"/>
          </w:tcPr>
          <w:p w14:paraId="5BD0CDF3">
            <w:pPr>
              <w:spacing w:line="240" w:lineRule="auto"/>
              <w:jc w:val="right"/>
            </w:pPr>
            <w:r>
              <w:rPr>
                <w:rFonts w:ascii="宋体" w:hAnsi="宋体" w:eastAsia="宋体" w:cs="宋体"/>
                <w:b w:val="0"/>
              </w:rPr>
              <w:t>192,269.60</w:t>
            </w:r>
          </w:p>
        </w:tc>
        <w:tc>
          <w:tcPr>
            <w:tcW w:w="0" w:type="dxa"/>
          </w:tcPr>
          <w:p w14:paraId="5C8E9CF3">
            <w:pPr>
              <w:spacing w:line="240" w:lineRule="auto"/>
              <w:jc w:val="right"/>
            </w:pPr>
            <w:r>
              <w:rPr>
                <w:rFonts w:ascii="宋体" w:hAnsi="宋体" w:eastAsia="宋体" w:cs="宋体"/>
                <w:b w:val="0"/>
              </w:rPr>
              <w:t>1.62</w:t>
            </w:r>
          </w:p>
        </w:tc>
      </w:tr>
      <w:tr w14:paraId="40CF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5E3579">
            <w:pPr>
              <w:spacing w:line="240" w:lineRule="auto"/>
              <w:jc w:val="center"/>
            </w:pPr>
            <w:r>
              <w:rPr>
                <w:rFonts w:ascii="宋体" w:hAnsi="宋体" w:eastAsia="宋体" w:cs="宋体"/>
                <w:b w:val="0"/>
              </w:rPr>
              <w:t>G</w:t>
            </w:r>
          </w:p>
        </w:tc>
        <w:tc>
          <w:tcPr>
            <w:tcW w:w="0" w:type="dxa"/>
          </w:tcPr>
          <w:p w14:paraId="2E035D97">
            <w:pPr>
              <w:spacing w:line="240" w:lineRule="auto"/>
              <w:jc w:val="left"/>
            </w:pPr>
            <w:r>
              <w:rPr>
                <w:rFonts w:ascii="宋体" w:hAnsi="宋体" w:eastAsia="宋体" w:cs="宋体"/>
                <w:b w:val="0"/>
              </w:rPr>
              <w:t>交通运输、仓储和邮政业</w:t>
            </w:r>
          </w:p>
        </w:tc>
        <w:tc>
          <w:tcPr>
            <w:tcW w:w="0" w:type="dxa"/>
          </w:tcPr>
          <w:p w14:paraId="1BFF0EC9">
            <w:pPr>
              <w:spacing w:line="240" w:lineRule="auto"/>
              <w:jc w:val="right"/>
            </w:pPr>
            <w:r>
              <w:rPr>
                <w:rFonts w:ascii="宋体" w:hAnsi="宋体" w:eastAsia="宋体" w:cs="宋体"/>
                <w:b w:val="0"/>
              </w:rPr>
              <w:t>-</w:t>
            </w:r>
          </w:p>
        </w:tc>
        <w:tc>
          <w:tcPr>
            <w:tcW w:w="0" w:type="dxa"/>
          </w:tcPr>
          <w:p w14:paraId="273B5BAB">
            <w:pPr>
              <w:spacing w:line="240" w:lineRule="auto"/>
              <w:jc w:val="right"/>
            </w:pPr>
            <w:r>
              <w:rPr>
                <w:rFonts w:ascii="宋体" w:hAnsi="宋体" w:eastAsia="宋体" w:cs="宋体"/>
                <w:b w:val="0"/>
              </w:rPr>
              <w:t>-</w:t>
            </w:r>
          </w:p>
        </w:tc>
      </w:tr>
      <w:tr w14:paraId="0497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A75F12">
            <w:pPr>
              <w:spacing w:line="240" w:lineRule="auto"/>
              <w:jc w:val="center"/>
            </w:pPr>
            <w:r>
              <w:rPr>
                <w:rFonts w:ascii="宋体" w:hAnsi="宋体" w:eastAsia="宋体" w:cs="宋体"/>
                <w:b w:val="0"/>
              </w:rPr>
              <w:t>H</w:t>
            </w:r>
          </w:p>
        </w:tc>
        <w:tc>
          <w:tcPr>
            <w:tcW w:w="0" w:type="dxa"/>
          </w:tcPr>
          <w:p w14:paraId="7B25BFDE">
            <w:pPr>
              <w:spacing w:line="240" w:lineRule="auto"/>
              <w:jc w:val="left"/>
            </w:pPr>
            <w:r>
              <w:rPr>
                <w:rFonts w:ascii="宋体" w:hAnsi="宋体" w:eastAsia="宋体" w:cs="宋体"/>
                <w:b w:val="0"/>
              </w:rPr>
              <w:t>住宿和餐饮业</w:t>
            </w:r>
          </w:p>
        </w:tc>
        <w:tc>
          <w:tcPr>
            <w:tcW w:w="0" w:type="dxa"/>
          </w:tcPr>
          <w:p w14:paraId="7FCFE977">
            <w:pPr>
              <w:spacing w:line="240" w:lineRule="auto"/>
              <w:jc w:val="right"/>
            </w:pPr>
            <w:r>
              <w:rPr>
                <w:rFonts w:ascii="宋体" w:hAnsi="宋体" w:eastAsia="宋体" w:cs="宋体"/>
                <w:b w:val="0"/>
              </w:rPr>
              <w:t>-</w:t>
            </w:r>
          </w:p>
        </w:tc>
        <w:tc>
          <w:tcPr>
            <w:tcW w:w="0" w:type="dxa"/>
          </w:tcPr>
          <w:p w14:paraId="703C94C0">
            <w:pPr>
              <w:spacing w:line="240" w:lineRule="auto"/>
              <w:jc w:val="right"/>
            </w:pPr>
            <w:r>
              <w:rPr>
                <w:rFonts w:ascii="宋体" w:hAnsi="宋体" w:eastAsia="宋体" w:cs="宋体"/>
                <w:b w:val="0"/>
              </w:rPr>
              <w:t>-</w:t>
            </w:r>
          </w:p>
        </w:tc>
      </w:tr>
      <w:tr w14:paraId="0B24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ADDEC3">
            <w:pPr>
              <w:spacing w:line="240" w:lineRule="auto"/>
              <w:jc w:val="center"/>
            </w:pPr>
            <w:r>
              <w:rPr>
                <w:rFonts w:ascii="宋体" w:hAnsi="宋体" w:eastAsia="宋体" w:cs="宋体"/>
                <w:b w:val="0"/>
              </w:rPr>
              <w:t>I</w:t>
            </w:r>
          </w:p>
        </w:tc>
        <w:tc>
          <w:tcPr>
            <w:tcW w:w="0" w:type="dxa"/>
          </w:tcPr>
          <w:p w14:paraId="25ED7058">
            <w:pPr>
              <w:spacing w:line="240" w:lineRule="auto"/>
              <w:jc w:val="left"/>
            </w:pPr>
            <w:r>
              <w:rPr>
                <w:rFonts w:ascii="宋体" w:hAnsi="宋体" w:eastAsia="宋体" w:cs="宋体"/>
                <w:b w:val="0"/>
              </w:rPr>
              <w:t>信息传输、软件和信息技术服务业</w:t>
            </w:r>
          </w:p>
        </w:tc>
        <w:tc>
          <w:tcPr>
            <w:tcW w:w="0" w:type="dxa"/>
          </w:tcPr>
          <w:p w14:paraId="087ABAE4">
            <w:pPr>
              <w:spacing w:line="240" w:lineRule="auto"/>
              <w:jc w:val="right"/>
            </w:pPr>
            <w:r>
              <w:rPr>
                <w:rFonts w:ascii="宋体" w:hAnsi="宋体" w:eastAsia="宋体" w:cs="宋体"/>
                <w:b w:val="0"/>
              </w:rPr>
              <w:t>-</w:t>
            </w:r>
          </w:p>
        </w:tc>
        <w:tc>
          <w:tcPr>
            <w:tcW w:w="0" w:type="dxa"/>
          </w:tcPr>
          <w:p w14:paraId="1764A9C2">
            <w:pPr>
              <w:spacing w:line="240" w:lineRule="auto"/>
              <w:jc w:val="right"/>
            </w:pPr>
            <w:r>
              <w:rPr>
                <w:rFonts w:ascii="宋体" w:hAnsi="宋体" w:eastAsia="宋体" w:cs="宋体"/>
                <w:b w:val="0"/>
              </w:rPr>
              <w:t>-</w:t>
            </w:r>
          </w:p>
        </w:tc>
      </w:tr>
      <w:tr w14:paraId="4FC4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C2AAF4">
            <w:pPr>
              <w:spacing w:line="240" w:lineRule="auto"/>
              <w:jc w:val="center"/>
            </w:pPr>
            <w:r>
              <w:rPr>
                <w:rFonts w:ascii="宋体" w:hAnsi="宋体" w:eastAsia="宋体" w:cs="宋体"/>
                <w:b w:val="0"/>
              </w:rPr>
              <w:t>J</w:t>
            </w:r>
          </w:p>
        </w:tc>
        <w:tc>
          <w:tcPr>
            <w:tcW w:w="0" w:type="dxa"/>
          </w:tcPr>
          <w:p w14:paraId="43B61D64">
            <w:pPr>
              <w:spacing w:line="240" w:lineRule="auto"/>
              <w:jc w:val="left"/>
            </w:pPr>
            <w:r>
              <w:rPr>
                <w:rFonts w:ascii="宋体" w:hAnsi="宋体" w:eastAsia="宋体" w:cs="宋体"/>
                <w:b w:val="0"/>
              </w:rPr>
              <w:t>金融业</w:t>
            </w:r>
          </w:p>
        </w:tc>
        <w:tc>
          <w:tcPr>
            <w:tcW w:w="0" w:type="dxa"/>
          </w:tcPr>
          <w:p w14:paraId="078A2EC1">
            <w:pPr>
              <w:spacing w:line="240" w:lineRule="auto"/>
              <w:jc w:val="right"/>
            </w:pPr>
            <w:r>
              <w:rPr>
                <w:rFonts w:ascii="宋体" w:hAnsi="宋体" w:eastAsia="宋体" w:cs="宋体"/>
                <w:b w:val="0"/>
              </w:rPr>
              <w:t>-</w:t>
            </w:r>
          </w:p>
        </w:tc>
        <w:tc>
          <w:tcPr>
            <w:tcW w:w="0" w:type="dxa"/>
          </w:tcPr>
          <w:p w14:paraId="0B525080">
            <w:pPr>
              <w:spacing w:line="240" w:lineRule="auto"/>
              <w:jc w:val="right"/>
            </w:pPr>
            <w:r>
              <w:rPr>
                <w:rFonts w:ascii="宋体" w:hAnsi="宋体" w:eastAsia="宋体" w:cs="宋体"/>
                <w:b w:val="0"/>
              </w:rPr>
              <w:t>-</w:t>
            </w:r>
          </w:p>
        </w:tc>
      </w:tr>
      <w:tr w14:paraId="104A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76B195">
            <w:pPr>
              <w:spacing w:line="240" w:lineRule="auto"/>
              <w:jc w:val="center"/>
            </w:pPr>
            <w:r>
              <w:rPr>
                <w:rFonts w:ascii="宋体" w:hAnsi="宋体" w:eastAsia="宋体" w:cs="宋体"/>
                <w:b w:val="0"/>
              </w:rPr>
              <w:t>K</w:t>
            </w:r>
          </w:p>
        </w:tc>
        <w:tc>
          <w:tcPr>
            <w:tcW w:w="0" w:type="dxa"/>
          </w:tcPr>
          <w:p w14:paraId="058D1152">
            <w:pPr>
              <w:spacing w:line="240" w:lineRule="auto"/>
              <w:jc w:val="left"/>
            </w:pPr>
            <w:r>
              <w:rPr>
                <w:rFonts w:ascii="宋体" w:hAnsi="宋体" w:eastAsia="宋体" w:cs="宋体"/>
                <w:b w:val="0"/>
              </w:rPr>
              <w:t>房地产业</w:t>
            </w:r>
          </w:p>
        </w:tc>
        <w:tc>
          <w:tcPr>
            <w:tcW w:w="0" w:type="dxa"/>
          </w:tcPr>
          <w:p w14:paraId="42DBFEF2">
            <w:pPr>
              <w:spacing w:line="240" w:lineRule="auto"/>
              <w:jc w:val="right"/>
            </w:pPr>
            <w:r>
              <w:rPr>
                <w:rFonts w:ascii="宋体" w:hAnsi="宋体" w:eastAsia="宋体" w:cs="宋体"/>
                <w:b w:val="0"/>
              </w:rPr>
              <w:t>-</w:t>
            </w:r>
          </w:p>
        </w:tc>
        <w:tc>
          <w:tcPr>
            <w:tcW w:w="0" w:type="dxa"/>
          </w:tcPr>
          <w:p w14:paraId="2753FBF5">
            <w:pPr>
              <w:spacing w:line="240" w:lineRule="auto"/>
              <w:jc w:val="right"/>
            </w:pPr>
            <w:r>
              <w:rPr>
                <w:rFonts w:ascii="宋体" w:hAnsi="宋体" w:eastAsia="宋体" w:cs="宋体"/>
                <w:b w:val="0"/>
              </w:rPr>
              <w:t>-</w:t>
            </w:r>
          </w:p>
        </w:tc>
      </w:tr>
      <w:tr w14:paraId="14EB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FF2E4B">
            <w:pPr>
              <w:spacing w:line="240" w:lineRule="auto"/>
              <w:jc w:val="center"/>
            </w:pPr>
            <w:r>
              <w:rPr>
                <w:rFonts w:ascii="宋体" w:hAnsi="宋体" w:eastAsia="宋体" w:cs="宋体"/>
                <w:b w:val="0"/>
              </w:rPr>
              <w:t>L</w:t>
            </w:r>
          </w:p>
        </w:tc>
        <w:tc>
          <w:tcPr>
            <w:tcW w:w="0" w:type="dxa"/>
          </w:tcPr>
          <w:p w14:paraId="7C28FE55">
            <w:pPr>
              <w:spacing w:line="240" w:lineRule="auto"/>
              <w:jc w:val="left"/>
            </w:pPr>
            <w:r>
              <w:rPr>
                <w:rFonts w:ascii="宋体" w:hAnsi="宋体" w:eastAsia="宋体" w:cs="宋体"/>
                <w:b w:val="0"/>
              </w:rPr>
              <w:t>租赁和商务服务业</w:t>
            </w:r>
          </w:p>
        </w:tc>
        <w:tc>
          <w:tcPr>
            <w:tcW w:w="0" w:type="dxa"/>
          </w:tcPr>
          <w:p w14:paraId="2E5543D2">
            <w:pPr>
              <w:spacing w:line="240" w:lineRule="auto"/>
              <w:jc w:val="right"/>
            </w:pPr>
            <w:r>
              <w:rPr>
                <w:rFonts w:ascii="宋体" w:hAnsi="宋体" w:eastAsia="宋体" w:cs="宋体"/>
                <w:b w:val="0"/>
              </w:rPr>
              <w:t>-</w:t>
            </w:r>
          </w:p>
        </w:tc>
        <w:tc>
          <w:tcPr>
            <w:tcW w:w="0" w:type="dxa"/>
          </w:tcPr>
          <w:p w14:paraId="3F1A98B6">
            <w:pPr>
              <w:spacing w:line="240" w:lineRule="auto"/>
              <w:jc w:val="right"/>
            </w:pPr>
            <w:r>
              <w:rPr>
                <w:rFonts w:ascii="宋体" w:hAnsi="宋体" w:eastAsia="宋体" w:cs="宋体"/>
                <w:b w:val="0"/>
              </w:rPr>
              <w:t>-</w:t>
            </w:r>
          </w:p>
        </w:tc>
      </w:tr>
      <w:tr w14:paraId="1C23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6B49D5">
            <w:pPr>
              <w:spacing w:line="240" w:lineRule="auto"/>
              <w:jc w:val="center"/>
            </w:pPr>
            <w:r>
              <w:rPr>
                <w:rFonts w:ascii="宋体" w:hAnsi="宋体" w:eastAsia="宋体" w:cs="宋体"/>
                <w:b w:val="0"/>
              </w:rPr>
              <w:t>M</w:t>
            </w:r>
          </w:p>
        </w:tc>
        <w:tc>
          <w:tcPr>
            <w:tcW w:w="0" w:type="dxa"/>
          </w:tcPr>
          <w:p w14:paraId="564D5C33">
            <w:pPr>
              <w:spacing w:line="240" w:lineRule="auto"/>
              <w:jc w:val="left"/>
            </w:pPr>
            <w:r>
              <w:rPr>
                <w:rFonts w:ascii="宋体" w:hAnsi="宋体" w:eastAsia="宋体" w:cs="宋体"/>
                <w:b w:val="0"/>
              </w:rPr>
              <w:t>科学研究和技术服务业</w:t>
            </w:r>
          </w:p>
        </w:tc>
        <w:tc>
          <w:tcPr>
            <w:tcW w:w="0" w:type="dxa"/>
          </w:tcPr>
          <w:p w14:paraId="252E4EAF">
            <w:pPr>
              <w:spacing w:line="240" w:lineRule="auto"/>
              <w:jc w:val="right"/>
            </w:pPr>
            <w:r>
              <w:rPr>
                <w:rFonts w:ascii="宋体" w:hAnsi="宋体" w:eastAsia="宋体" w:cs="宋体"/>
                <w:b w:val="0"/>
              </w:rPr>
              <w:t>-</w:t>
            </w:r>
          </w:p>
        </w:tc>
        <w:tc>
          <w:tcPr>
            <w:tcW w:w="0" w:type="dxa"/>
          </w:tcPr>
          <w:p w14:paraId="6A739572">
            <w:pPr>
              <w:spacing w:line="240" w:lineRule="auto"/>
              <w:jc w:val="right"/>
            </w:pPr>
            <w:r>
              <w:rPr>
                <w:rFonts w:ascii="宋体" w:hAnsi="宋体" w:eastAsia="宋体" w:cs="宋体"/>
                <w:b w:val="0"/>
              </w:rPr>
              <w:t>-</w:t>
            </w:r>
          </w:p>
        </w:tc>
      </w:tr>
      <w:tr w14:paraId="5156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94680F">
            <w:pPr>
              <w:spacing w:line="240" w:lineRule="auto"/>
              <w:jc w:val="center"/>
            </w:pPr>
            <w:r>
              <w:rPr>
                <w:rFonts w:ascii="宋体" w:hAnsi="宋体" w:eastAsia="宋体" w:cs="宋体"/>
                <w:b w:val="0"/>
              </w:rPr>
              <w:t>N</w:t>
            </w:r>
          </w:p>
        </w:tc>
        <w:tc>
          <w:tcPr>
            <w:tcW w:w="0" w:type="dxa"/>
          </w:tcPr>
          <w:p w14:paraId="6169613A">
            <w:pPr>
              <w:spacing w:line="240" w:lineRule="auto"/>
              <w:jc w:val="left"/>
            </w:pPr>
            <w:r>
              <w:rPr>
                <w:rFonts w:ascii="宋体" w:hAnsi="宋体" w:eastAsia="宋体" w:cs="宋体"/>
                <w:b w:val="0"/>
              </w:rPr>
              <w:t>水利、环境和公共设施管理业</w:t>
            </w:r>
          </w:p>
        </w:tc>
        <w:tc>
          <w:tcPr>
            <w:tcW w:w="0" w:type="dxa"/>
          </w:tcPr>
          <w:p w14:paraId="5EBD8DF2">
            <w:pPr>
              <w:spacing w:line="240" w:lineRule="auto"/>
              <w:jc w:val="right"/>
            </w:pPr>
            <w:r>
              <w:rPr>
                <w:rFonts w:ascii="宋体" w:hAnsi="宋体" w:eastAsia="宋体" w:cs="宋体"/>
                <w:b w:val="0"/>
              </w:rPr>
              <w:t>-</w:t>
            </w:r>
          </w:p>
        </w:tc>
        <w:tc>
          <w:tcPr>
            <w:tcW w:w="0" w:type="dxa"/>
          </w:tcPr>
          <w:p w14:paraId="23156EDA">
            <w:pPr>
              <w:spacing w:line="240" w:lineRule="auto"/>
              <w:jc w:val="right"/>
            </w:pPr>
            <w:r>
              <w:rPr>
                <w:rFonts w:ascii="宋体" w:hAnsi="宋体" w:eastAsia="宋体" w:cs="宋体"/>
                <w:b w:val="0"/>
              </w:rPr>
              <w:t>-</w:t>
            </w:r>
          </w:p>
        </w:tc>
      </w:tr>
      <w:tr w14:paraId="4D92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10A651">
            <w:pPr>
              <w:spacing w:line="240" w:lineRule="auto"/>
              <w:jc w:val="center"/>
            </w:pPr>
            <w:r>
              <w:rPr>
                <w:rFonts w:ascii="宋体" w:hAnsi="宋体" w:eastAsia="宋体" w:cs="宋体"/>
                <w:b w:val="0"/>
              </w:rPr>
              <w:t>O</w:t>
            </w:r>
          </w:p>
        </w:tc>
        <w:tc>
          <w:tcPr>
            <w:tcW w:w="0" w:type="dxa"/>
          </w:tcPr>
          <w:p w14:paraId="66302205">
            <w:pPr>
              <w:spacing w:line="240" w:lineRule="auto"/>
              <w:jc w:val="left"/>
            </w:pPr>
            <w:r>
              <w:rPr>
                <w:rFonts w:ascii="宋体" w:hAnsi="宋体" w:eastAsia="宋体" w:cs="宋体"/>
                <w:b w:val="0"/>
              </w:rPr>
              <w:t>居民服务、修理和其他服务业</w:t>
            </w:r>
          </w:p>
        </w:tc>
        <w:tc>
          <w:tcPr>
            <w:tcW w:w="0" w:type="dxa"/>
          </w:tcPr>
          <w:p w14:paraId="52CEC2D7">
            <w:pPr>
              <w:spacing w:line="240" w:lineRule="auto"/>
              <w:jc w:val="right"/>
            </w:pPr>
            <w:r>
              <w:rPr>
                <w:rFonts w:ascii="宋体" w:hAnsi="宋体" w:eastAsia="宋体" w:cs="宋体"/>
                <w:b w:val="0"/>
              </w:rPr>
              <w:t>-</w:t>
            </w:r>
          </w:p>
        </w:tc>
        <w:tc>
          <w:tcPr>
            <w:tcW w:w="0" w:type="dxa"/>
          </w:tcPr>
          <w:p w14:paraId="24469E04">
            <w:pPr>
              <w:spacing w:line="240" w:lineRule="auto"/>
              <w:jc w:val="right"/>
            </w:pPr>
            <w:r>
              <w:rPr>
                <w:rFonts w:ascii="宋体" w:hAnsi="宋体" w:eastAsia="宋体" w:cs="宋体"/>
                <w:b w:val="0"/>
              </w:rPr>
              <w:t>-</w:t>
            </w:r>
          </w:p>
        </w:tc>
      </w:tr>
      <w:tr w14:paraId="5DD1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DDFDC0">
            <w:pPr>
              <w:spacing w:line="240" w:lineRule="auto"/>
              <w:jc w:val="center"/>
            </w:pPr>
            <w:r>
              <w:rPr>
                <w:rFonts w:ascii="宋体" w:hAnsi="宋体" w:eastAsia="宋体" w:cs="宋体"/>
                <w:b w:val="0"/>
              </w:rPr>
              <w:t>P</w:t>
            </w:r>
          </w:p>
        </w:tc>
        <w:tc>
          <w:tcPr>
            <w:tcW w:w="0" w:type="dxa"/>
          </w:tcPr>
          <w:p w14:paraId="2346F04D">
            <w:pPr>
              <w:spacing w:line="240" w:lineRule="auto"/>
              <w:jc w:val="left"/>
            </w:pPr>
            <w:r>
              <w:rPr>
                <w:rFonts w:ascii="宋体" w:hAnsi="宋体" w:eastAsia="宋体" w:cs="宋体"/>
                <w:b w:val="0"/>
              </w:rPr>
              <w:t>教育</w:t>
            </w:r>
          </w:p>
        </w:tc>
        <w:tc>
          <w:tcPr>
            <w:tcW w:w="0" w:type="dxa"/>
          </w:tcPr>
          <w:p w14:paraId="15791E71">
            <w:pPr>
              <w:spacing w:line="240" w:lineRule="auto"/>
              <w:jc w:val="right"/>
            </w:pPr>
            <w:r>
              <w:rPr>
                <w:rFonts w:ascii="宋体" w:hAnsi="宋体" w:eastAsia="宋体" w:cs="宋体"/>
                <w:b w:val="0"/>
              </w:rPr>
              <w:t>-</w:t>
            </w:r>
          </w:p>
        </w:tc>
        <w:tc>
          <w:tcPr>
            <w:tcW w:w="0" w:type="dxa"/>
          </w:tcPr>
          <w:p w14:paraId="0CC66B76">
            <w:pPr>
              <w:spacing w:line="240" w:lineRule="auto"/>
              <w:jc w:val="right"/>
            </w:pPr>
            <w:r>
              <w:rPr>
                <w:rFonts w:ascii="宋体" w:hAnsi="宋体" w:eastAsia="宋体" w:cs="宋体"/>
                <w:b w:val="0"/>
              </w:rPr>
              <w:t>-</w:t>
            </w:r>
          </w:p>
        </w:tc>
      </w:tr>
      <w:tr w14:paraId="3015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DB4001">
            <w:pPr>
              <w:spacing w:line="240" w:lineRule="auto"/>
              <w:jc w:val="center"/>
            </w:pPr>
            <w:r>
              <w:rPr>
                <w:rFonts w:ascii="宋体" w:hAnsi="宋体" w:eastAsia="宋体" w:cs="宋体"/>
                <w:b w:val="0"/>
              </w:rPr>
              <w:t>Q</w:t>
            </w:r>
          </w:p>
        </w:tc>
        <w:tc>
          <w:tcPr>
            <w:tcW w:w="0" w:type="dxa"/>
          </w:tcPr>
          <w:p w14:paraId="7497E751">
            <w:pPr>
              <w:spacing w:line="240" w:lineRule="auto"/>
              <w:jc w:val="left"/>
            </w:pPr>
            <w:r>
              <w:rPr>
                <w:rFonts w:ascii="宋体" w:hAnsi="宋体" w:eastAsia="宋体" w:cs="宋体"/>
                <w:b w:val="0"/>
              </w:rPr>
              <w:t>卫生和社会工作</w:t>
            </w:r>
          </w:p>
        </w:tc>
        <w:tc>
          <w:tcPr>
            <w:tcW w:w="0" w:type="dxa"/>
          </w:tcPr>
          <w:p w14:paraId="55097036">
            <w:pPr>
              <w:spacing w:line="240" w:lineRule="auto"/>
              <w:jc w:val="right"/>
            </w:pPr>
            <w:r>
              <w:rPr>
                <w:rFonts w:ascii="宋体" w:hAnsi="宋体" w:eastAsia="宋体" w:cs="宋体"/>
                <w:b w:val="0"/>
              </w:rPr>
              <w:t>-</w:t>
            </w:r>
          </w:p>
        </w:tc>
        <w:tc>
          <w:tcPr>
            <w:tcW w:w="0" w:type="dxa"/>
          </w:tcPr>
          <w:p w14:paraId="7F1BCB6F">
            <w:pPr>
              <w:spacing w:line="240" w:lineRule="auto"/>
              <w:jc w:val="right"/>
            </w:pPr>
            <w:r>
              <w:rPr>
                <w:rFonts w:ascii="宋体" w:hAnsi="宋体" w:eastAsia="宋体" w:cs="宋体"/>
                <w:b w:val="0"/>
              </w:rPr>
              <w:t>-</w:t>
            </w:r>
          </w:p>
        </w:tc>
      </w:tr>
      <w:tr w14:paraId="01A9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CBF5C5">
            <w:pPr>
              <w:spacing w:line="240" w:lineRule="auto"/>
              <w:jc w:val="center"/>
            </w:pPr>
            <w:r>
              <w:rPr>
                <w:rFonts w:ascii="宋体" w:hAnsi="宋体" w:eastAsia="宋体" w:cs="宋体"/>
                <w:b w:val="0"/>
              </w:rPr>
              <w:t>R</w:t>
            </w:r>
          </w:p>
        </w:tc>
        <w:tc>
          <w:tcPr>
            <w:tcW w:w="0" w:type="dxa"/>
          </w:tcPr>
          <w:p w14:paraId="3221896B">
            <w:pPr>
              <w:spacing w:line="240" w:lineRule="auto"/>
              <w:jc w:val="left"/>
            </w:pPr>
            <w:r>
              <w:rPr>
                <w:rFonts w:ascii="宋体" w:hAnsi="宋体" w:eastAsia="宋体" w:cs="宋体"/>
                <w:b w:val="0"/>
              </w:rPr>
              <w:t>文化、体育和娱乐业</w:t>
            </w:r>
          </w:p>
        </w:tc>
        <w:tc>
          <w:tcPr>
            <w:tcW w:w="0" w:type="dxa"/>
          </w:tcPr>
          <w:p w14:paraId="34EF5148">
            <w:pPr>
              <w:spacing w:line="240" w:lineRule="auto"/>
              <w:jc w:val="right"/>
            </w:pPr>
            <w:r>
              <w:rPr>
                <w:rFonts w:ascii="宋体" w:hAnsi="宋体" w:eastAsia="宋体" w:cs="宋体"/>
                <w:b w:val="0"/>
              </w:rPr>
              <w:t>-</w:t>
            </w:r>
          </w:p>
        </w:tc>
        <w:tc>
          <w:tcPr>
            <w:tcW w:w="0" w:type="dxa"/>
          </w:tcPr>
          <w:p w14:paraId="70C85F0C">
            <w:pPr>
              <w:spacing w:line="240" w:lineRule="auto"/>
              <w:jc w:val="right"/>
            </w:pPr>
            <w:r>
              <w:rPr>
                <w:rFonts w:ascii="宋体" w:hAnsi="宋体" w:eastAsia="宋体" w:cs="宋体"/>
                <w:b w:val="0"/>
              </w:rPr>
              <w:t>-</w:t>
            </w:r>
          </w:p>
        </w:tc>
      </w:tr>
      <w:tr w14:paraId="49CE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3ED5B8">
            <w:pPr>
              <w:spacing w:line="240" w:lineRule="auto"/>
              <w:jc w:val="center"/>
            </w:pPr>
            <w:r>
              <w:rPr>
                <w:rFonts w:ascii="宋体" w:hAnsi="宋体" w:eastAsia="宋体" w:cs="宋体"/>
                <w:b w:val="0"/>
              </w:rPr>
              <w:t>S</w:t>
            </w:r>
          </w:p>
        </w:tc>
        <w:tc>
          <w:tcPr>
            <w:tcW w:w="0" w:type="dxa"/>
          </w:tcPr>
          <w:p w14:paraId="04184583">
            <w:pPr>
              <w:spacing w:line="240" w:lineRule="auto"/>
              <w:jc w:val="left"/>
            </w:pPr>
            <w:r>
              <w:rPr>
                <w:rFonts w:ascii="宋体" w:hAnsi="宋体" w:eastAsia="宋体" w:cs="宋体"/>
                <w:b w:val="0"/>
              </w:rPr>
              <w:t>综合</w:t>
            </w:r>
          </w:p>
        </w:tc>
        <w:tc>
          <w:tcPr>
            <w:tcW w:w="0" w:type="dxa"/>
          </w:tcPr>
          <w:p w14:paraId="42B3B6A5">
            <w:pPr>
              <w:spacing w:line="240" w:lineRule="auto"/>
              <w:jc w:val="right"/>
            </w:pPr>
            <w:r>
              <w:rPr>
                <w:rFonts w:ascii="宋体" w:hAnsi="宋体" w:eastAsia="宋体" w:cs="宋体"/>
                <w:b w:val="0"/>
              </w:rPr>
              <w:t>-</w:t>
            </w:r>
          </w:p>
        </w:tc>
        <w:tc>
          <w:tcPr>
            <w:tcW w:w="0" w:type="dxa"/>
          </w:tcPr>
          <w:p w14:paraId="68573D6C">
            <w:pPr>
              <w:spacing w:line="240" w:lineRule="auto"/>
              <w:jc w:val="right"/>
            </w:pPr>
            <w:r>
              <w:rPr>
                <w:rFonts w:ascii="宋体" w:hAnsi="宋体" w:eastAsia="宋体" w:cs="宋体"/>
                <w:b w:val="0"/>
              </w:rPr>
              <w:t>-</w:t>
            </w:r>
          </w:p>
        </w:tc>
      </w:tr>
      <w:tr w14:paraId="159A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7A59DD">
            <w:pPr>
              <w:spacing w:line="240" w:lineRule="auto"/>
              <w:jc w:val="center"/>
            </w:pPr>
          </w:p>
        </w:tc>
        <w:tc>
          <w:tcPr>
            <w:tcW w:w="0" w:type="dxa"/>
          </w:tcPr>
          <w:p w14:paraId="19F5FD0D">
            <w:pPr>
              <w:spacing w:line="240" w:lineRule="auto"/>
              <w:jc w:val="left"/>
            </w:pPr>
            <w:r>
              <w:rPr>
                <w:rFonts w:ascii="宋体" w:hAnsi="宋体" w:eastAsia="宋体" w:cs="宋体"/>
                <w:b w:val="0"/>
              </w:rPr>
              <w:t>合计</w:t>
            </w:r>
          </w:p>
        </w:tc>
        <w:tc>
          <w:tcPr>
            <w:tcW w:w="0" w:type="dxa"/>
          </w:tcPr>
          <w:p w14:paraId="3E6161EA">
            <w:pPr>
              <w:spacing w:line="240" w:lineRule="auto"/>
              <w:jc w:val="right"/>
            </w:pPr>
            <w:r>
              <w:rPr>
                <w:rFonts w:ascii="宋体" w:hAnsi="宋体" w:eastAsia="宋体" w:cs="宋体"/>
                <w:b w:val="0"/>
              </w:rPr>
              <w:t>10,924,771.58</w:t>
            </w:r>
          </w:p>
        </w:tc>
        <w:tc>
          <w:tcPr>
            <w:tcW w:w="0" w:type="dxa"/>
          </w:tcPr>
          <w:p w14:paraId="3B89E660">
            <w:pPr>
              <w:spacing w:line="240" w:lineRule="auto"/>
              <w:jc w:val="right"/>
            </w:pPr>
            <w:r>
              <w:rPr>
                <w:rFonts w:ascii="宋体" w:hAnsi="宋体" w:eastAsia="宋体" w:cs="宋体"/>
                <w:b w:val="0"/>
              </w:rPr>
              <w:t>92.26</w:t>
            </w:r>
          </w:p>
        </w:tc>
      </w:tr>
    </w:tbl>
    <w:p w14:paraId="5A281F0C"/>
    <w:p w14:paraId="542E7A30">
      <w:r>
        <w:rPr>
          <w:rFonts w:ascii="宋体" w:hAnsi="宋体" w:eastAsia="宋体" w:cs="宋体"/>
          <w:b/>
        </w:rPr>
        <w:t>7.2.2 报告期末按行业分类的港股通投资股票投资组合</w:t>
      </w:r>
    </w:p>
    <w:p w14:paraId="18FBE41A">
      <w:r>
        <w:rPr>
          <w:rFonts w:ascii="宋体" w:hAnsi="宋体" w:eastAsia="宋体" w:cs="宋体"/>
          <w:b w:val="0"/>
        </w:rPr>
        <w:t xml:space="preserve">    本基金本报告期末未持有港股通投资股票投资组合。</w:t>
      </w:r>
    </w:p>
    <w:p w14:paraId="6FA5E3F7"/>
    <w:p w14:paraId="52E773DE">
      <w:pPr>
        <w:pStyle w:val="3"/>
        <w:jc w:val="left"/>
      </w:pPr>
      <w:bookmarkStart w:id="35" w:name="_Toc25934"/>
      <w:r>
        <w:rPr>
          <w:rFonts w:ascii="宋体" w:hAnsi="宋体" w:eastAsia="宋体" w:cs="宋体"/>
        </w:rPr>
        <w:t>7.3 期末按公允价值占基金资产净值比例大小排序的所有股票投资明细</w:t>
      </w:r>
      <w:bookmarkEnd w:id="35"/>
    </w:p>
    <w:p w14:paraId="5D24989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2E11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F40AF7A">
            <w:pPr>
              <w:spacing w:line="240" w:lineRule="auto"/>
              <w:jc w:val="center"/>
            </w:pPr>
            <w:r>
              <w:rPr>
                <w:rFonts w:ascii="宋体" w:hAnsi="宋体" w:eastAsia="宋体" w:cs="宋体"/>
                <w:b w:val="0"/>
              </w:rPr>
              <w:t>序号</w:t>
            </w:r>
          </w:p>
        </w:tc>
        <w:tc>
          <w:tcPr>
            <w:tcW w:w="769" w:type="pct"/>
            <w:shd w:val="clear" w:color="auto" w:fill="D9D9D9"/>
            <w:vAlign w:val="center"/>
          </w:tcPr>
          <w:p w14:paraId="529EDC7B">
            <w:pPr>
              <w:spacing w:line="240" w:lineRule="auto"/>
              <w:jc w:val="center"/>
            </w:pPr>
            <w:r>
              <w:rPr>
                <w:rFonts w:ascii="宋体" w:hAnsi="宋体" w:eastAsia="宋体" w:cs="宋体"/>
                <w:b w:val="0"/>
              </w:rPr>
              <w:t>股票代码</w:t>
            </w:r>
          </w:p>
        </w:tc>
        <w:tc>
          <w:tcPr>
            <w:tcW w:w="769" w:type="pct"/>
            <w:shd w:val="clear" w:color="auto" w:fill="D9D9D9"/>
            <w:vAlign w:val="center"/>
          </w:tcPr>
          <w:p w14:paraId="052236F6">
            <w:pPr>
              <w:spacing w:line="240" w:lineRule="auto"/>
              <w:jc w:val="center"/>
            </w:pPr>
            <w:r>
              <w:rPr>
                <w:rFonts w:ascii="宋体" w:hAnsi="宋体" w:eastAsia="宋体" w:cs="宋体"/>
                <w:b w:val="0"/>
              </w:rPr>
              <w:t>股票名称</w:t>
            </w:r>
          </w:p>
        </w:tc>
        <w:tc>
          <w:tcPr>
            <w:tcW w:w="615" w:type="pct"/>
            <w:shd w:val="clear" w:color="auto" w:fill="D9D9D9"/>
            <w:vAlign w:val="center"/>
          </w:tcPr>
          <w:p w14:paraId="6415687F">
            <w:pPr>
              <w:spacing w:line="240" w:lineRule="auto"/>
              <w:jc w:val="center"/>
            </w:pPr>
            <w:r>
              <w:rPr>
                <w:rFonts w:ascii="宋体" w:hAnsi="宋体" w:eastAsia="宋体" w:cs="宋体"/>
                <w:b w:val="0"/>
              </w:rPr>
              <w:t>数量(股)</w:t>
            </w:r>
          </w:p>
        </w:tc>
        <w:tc>
          <w:tcPr>
            <w:tcW w:w="769" w:type="pct"/>
            <w:shd w:val="clear" w:color="auto" w:fill="D9D9D9"/>
            <w:vAlign w:val="center"/>
          </w:tcPr>
          <w:p w14:paraId="4220ACD3">
            <w:pPr>
              <w:spacing w:line="240" w:lineRule="auto"/>
              <w:jc w:val="center"/>
            </w:pPr>
            <w:r>
              <w:rPr>
                <w:rFonts w:ascii="宋体" w:hAnsi="宋体" w:eastAsia="宋体" w:cs="宋体"/>
                <w:b w:val="0"/>
              </w:rPr>
              <w:t>公允价值</w:t>
            </w:r>
          </w:p>
        </w:tc>
        <w:tc>
          <w:tcPr>
            <w:tcW w:w="1077" w:type="pct"/>
            <w:shd w:val="clear" w:color="auto" w:fill="D9D9D9"/>
            <w:vAlign w:val="center"/>
          </w:tcPr>
          <w:p w14:paraId="77EC1133">
            <w:pPr>
              <w:spacing w:line="240" w:lineRule="auto"/>
              <w:jc w:val="center"/>
            </w:pPr>
            <w:r>
              <w:rPr>
                <w:rFonts w:ascii="宋体" w:hAnsi="宋体" w:eastAsia="宋体" w:cs="宋体"/>
                <w:b w:val="0"/>
              </w:rPr>
              <w:t>占基金资产净值比例(%)</w:t>
            </w:r>
          </w:p>
        </w:tc>
      </w:tr>
      <w:tr w14:paraId="37DD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EA5DA3">
            <w:pPr>
              <w:spacing w:line="240" w:lineRule="auto"/>
              <w:jc w:val="center"/>
            </w:pPr>
            <w:r>
              <w:rPr>
                <w:rFonts w:ascii="宋体" w:hAnsi="宋体" w:eastAsia="宋体" w:cs="宋体"/>
                <w:b w:val="0"/>
              </w:rPr>
              <w:t>1</w:t>
            </w:r>
          </w:p>
        </w:tc>
        <w:tc>
          <w:tcPr>
            <w:tcW w:w="0" w:type="dxa"/>
          </w:tcPr>
          <w:p w14:paraId="4FE2501F">
            <w:pPr>
              <w:spacing w:line="240" w:lineRule="auto"/>
              <w:jc w:val="left"/>
            </w:pPr>
            <w:r>
              <w:rPr>
                <w:rFonts w:ascii="宋体" w:hAnsi="宋体" w:eastAsia="宋体" w:cs="宋体"/>
                <w:b w:val="0"/>
              </w:rPr>
              <w:t>832978</w:t>
            </w:r>
          </w:p>
        </w:tc>
        <w:tc>
          <w:tcPr>
            <w:tcW w:w="0" w:type="dxa"/>
          </w:tcPr>
          <w:p w14:paraId="794B8597">
            <w:pPr>
              <w:spacing w:line="240" w:lineRule="auto"/>
              <w:jc w:val="left"/>
            </w:pPr>
            <w:r>
              <w:rPr>
                <w:rFonts w:ascii="宋体" w:hAnsi="宋体" w:eastAsia="宋体" w:cs="宋体"/>
                <w:b w:val="0"/>
              </w:rPr>
              <w:t>开特股份</w:t>
            </w:r>
          </w:p>
        </w:tc>
        <w:tc>
          <w:tcPr>
            <w:tcW w:w="0" w:type="dxa"/>
          </w:tcPr>
          <w:p w14:paraId="56C6D324">
            <w:pPr>
              <w:spacing w:line="240" w:lineRule="auto"/>
              <w:jc w:val="right"/>
            </w:pPr>
            <w:r>
              <w:rPr>
                <w:rFonts w:ascii="宋体" w:hAnsi="宋体" w:eastAsia="宋体" w:cs="宋体"/>
                <w:b w:val="0"/>
              </w:rPr>
              <w:t>16,483</w:t>
            </w:r>
          </w:p>
        </w:tc>
        <w:tc>
          <w:tcPr>
            <w:tcW w:w="0" w:type="dxa"/>
          </w:tcPr>
          <w:p w14:paraId="1708F7ED">
            <w:pPr>
              <w:spacing w:line="240" w:lineRule="auto"/>
              <w:jc w:val="right"/>
            </w:pPr>
            <w:r>
              <w:rPr>
                <w:rFonts w:ascii="宋体" w:hAnsi="宋体" w:eastAsia="宋体" w:cs="宋体"/>
                <w:b w:val="0"/>
              </w:rPr>
              <w:t>411,910.17</w:t>
            </w:r>
          </w:p>
        </w:tc>
        <w:tc>
          <w:tcPr>
            <w:tcW w:w="0" w:type="dxa"/>
          </w:tcPr>
          <w:p w14:paraId="254E598E">
            <w:pPr>
              <w:spacing w:line="240" w:lineRule="auto"/>
              <w:jc w:val="right"/>
            </w:pPr>
            <w:r>
              <w:rPr>
                <w:rFonts w:ascii="宋体" w:hAnsi="宋体" w:eastAsia="宋体" w:cs="宋体"/>
                <w:b w:val="0"/>
              </w:rPr>
              <w:t>3.48</w:t>
            </w:r>
          </w:p>
        </w:tc>
      </w:tr>
      <w:tr w14:paraId="313E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295126">
            <w:pPr>
              <w:spacing w:line="240" w:lineRule="auto"/>
              <w:jc w:val="center"/>
            </w:pPr>
            <w:r>
              <w:rPr>
                <w:rFonts w:ascii="宋体" w:hAnsi="宋体" w:eastAsia="宋体" w:cs="宋体"/>
                <w:b w:val="0"/>
              </w:rPr>
              <w:t>2</w:t>
            </w:r>
          </w:p>
        </w:tc>
        <w:tc>
          <w:tcPr>
            <w:tcW w:w="0" w:type="dxa"/>
          </w:tcPr>
          <w:p w14:paraId="6FA06CD4">
            <w:pPr>
              <w:spacing w:line="240" w:lineRule="auto"/>
              <w:jc w:val="left"/>
            </w:pPr>
            <w:r>
              <w:rPr>
                <w:rFonts w:ascii="宋体" w:hAnsi="宋体" w:eastAsia="宋体" w:cs="宋体"/>
                <w:b w:val="0"/>
              </w:rPr>
              <w:t>832982</w:t>
            </w:r>
          </w:p>
        </w:tc>
        <w:tc>
          <w:tcPr>
            <w:tcW w:w="0" w:type="dxa"/>
          </w:tcPr>
          <w:p w14:paraId="30635558">
            <w:pPr>
              <w:spacing w:line="240" w:lineRule="auto"/>
              <w:jc w:val="left"/>
            </w:pPr>
            <w:r>
              <w:rPr>
                <w:rFonts w:ascii="宋体" w:hAnsi="宋体" w:eastAsia="宋体" w:cs="宋体"/>
                <w:b w:val="0"/>
              </w:rPr>
              <w:t>锦波生物</w:t>
            </w:r>
          </w:p>
        </w:tc>
        <w:tc>
          <w:tcPr>
            <w:tcW w:w="0" w:type="dxa"/>
          </w:tcPr>
          <w:p w14:paraId="0DA56ED1">
            <w:pPr>
              <w:spacing w:line="240" w:lineRule="auto"/>
              <w:jc w:val="right"/>
            </w:pPr>
            <w:r>
              <w:rPr>
                <w:rFonts w:ascii="宋体" w:hAnsi="宋体" w:eastAsia="宋体" w:cs="宋体"/>
                <w:b w:val="0"/>
              </w:rPr>
              <w:t>1,085</w:t>
            </w:r>
          </w:p>
        </w:tc>
        <w:tc>
          <w:tcPr>
            <w:tcW w:w="0" w:type="dxa"/>
          </w:tcPr>
          <w:p w14:paraId="4096E10E">
            <w:pPr>
              <w:spacing w:line="240" w:lineRule="auto"/>
              <w:jc w:val="right"/>
            </w:pPr>
            <w:r>
              <w:rPr>
                <w:rFonts w:ascii="宋体" w:hAnsi="宋体" w:eastAsia="宋体" w:cs="宋体"/>
                <w:b w:val="0"/>
              </w:rPr>
              <w:t>386,216.60</w:t>
            </w:r>
          </w:p>
        </w:tc>
        <w:tc>
          <w:tcPr>
            <w:tcW w:w="0" w:type="dxa"/>
          </w:tcPr>
          <w:p w14:paraId="2FDB3413">
            <w:pPr>
              <w:spacing w:line="240" w:lineRule="auto"/>
              <w:jc w:val="right"/>
            </w:pPr>
            <w:r>
              <w:rPr>
                <w:rFonts w:ascii="宋体" w:hAnsi="宋体" w:eastAsia="宋体" w:cs="宋体"/>
                <w:b w:val="0"/>
              </w:rPr>
              <w:t>3.26</w:t>
            </w:r>
          </w:p>
        </w:tc>
      </w:tr>
      <w:tr w14:paraId="13F3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60AACE">
            <w:pPr>
              <w:spacing w:line="240" w:lineRule="auto"/>
              <w:jc w:val="center"/>
            </w:pPr>
            <w:r>
              <w:rPr>
                <w:rFonts w:ascii="宋体" w:hAnsi="宋体" w:eastAsia="宋体" w:cs="宋体"/>
                <w:b w:val="0"/>
              </w:rPr>
              <w:t>3</w:t>
            </w:r>
          </w:p>
        </w:tc>
        <w:tc>
          <w:tcPr>
            <w:tcW w:w="0" w:type="dxa"/>
          </w:tcPr>
          <w:p w14:paraId="776FA22A">
            <w:pPr>
              <w:spacing w:line="240" w:lineRule="auto"/>
              <w:jc w:val="left"/>
            </w:pPr>
            <w:r>
              <w:rPr>
                <w:rFonts w:ascii="宋体" w:hAnsi="宋体" w:eastAsia="宋体" w:cs="宋体"/>
                <w:b w:val="0"/>
              </w:rPr>
              <w:t>430476</w:t>
            </w:r>
          </w:p>
        </w:tc>
        <w:tc>
          <w:tcPr>
            <w:tcW w:w="0" w:type="dxa"/>
          </w:tcPr>
          <w:p w14:paraId="31AED7B8">
            <w:pPr>
              <w:spacing w:line="240" w:lineRule="auto"/>
              <w:jc w:val="left"/>
            </w:pPr>
            <w:r>
              <w:rPr>
                <w:rFonts w:ascii="宋体" w:hAnsi="宋体" w:eastAsia="宋体" w:cs="宋体"/>
                <w:b w:val="0"/>
              </w:rPr>
              <w:t>海能技术</w:t>
            </w:r>
          </w:p>
        </w:tc>
        <w:tc>
          <w:tcPr>
            <w:tcW w:w="0" w:type="dxa"/>
          </w:tcPr>
          <w:p w14:paraId="3A5CA1FF">
            <w:pPr>
              <w:spacing w:line="240" w:lineRule="auto"/>
              <w:jc w:val="right"/>
            </w:pPr>
            <w:r>
              <w:rPr>
                <w:rFonts w:ascii="宋体" w:hAnsi="宋体" w:eastAsia="宋体" w:cs="宋体"/>
                <w:b w:val="0"/>
              </w:rPr>
              <w:t>19,362</w:t>
            </w:r>
          </w:p>
        </w:tc>
        <w:tc>
          <w:tcPr>
            <w:tcW w:w="0" w:type="dxa"/>
          </w:tcPr>
          <w:p w14:paraId="7526983E">
            <w:pPr>
              <w:spacing w:line="240" w:lineRule="auto"/>
              <w:jc w:val="right"/>
            </w:pPr>
            <w:r>
              <w:rPr>
                <w:rFonts w:ascii="宋体" w:hAnsi="宋体" w:eastAsia="宋体" w:cs="宋体"/>
                <w:b w:val="0"/>
              </w:rPr>
              <w:t>357,422.52</w:t>
            </w:r>
          </w:p>
        </w:tc>
        <w:tc>
          <w:tcPr>
            <w:tcW w:w="0" w:type="dxa"/>
          </w:tcPr>
          <w:p w14:paraId="7A8B692E">
            <w:pPr>
              <w:spacing w:line="240" w:lineRule="auto"/>
              <w:jc w:val="right"/>
            </w:pPr>
            <w:r>
              <w:rPr>
                <w:rFonts w:ascii="宋体" w:hAnsi="宋体" w:eastAsia="宋体" w:cs="宋体"/>
                <w:b w:val="0"/>
              </w:rPr>
              <w:t>3.02</w:t>
            </w:r>
          </w:p>
        </w:tc>
      </w:tr>
      <w:tr w14:paraId="2CAD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F78D6D">
            <w:pPr>
              <w:spacing w:line="240" w:lineRule="auto"/>
              <w:jc w:val="center"/>
            </w:pPr>
            <w:r>
              <w:rPr>
                <w:rFonts w:ascii="宋体" w:hAnsi="宋体" w:eastAsia="宋体" w:cs="宋体"/>
                <w:b w:val="0"/>
              </w:rPr>
              <w:t>4</w:t>
            </w:r>
          </w:p>
        </w:tc>
        <w:tc>
          <w:tcPr>
            <w:tcW w:w="0" w:type="dxa"/>
          </w:tcPr>
          <w:p w14:paraId="36290CAB">
            <w:pPr>
              <w:spacing w:line="240" w:lineRule="auto"/>
              <w:jc w:val="left"/>
            </w:pPr>
            <w:r>
              <w:rPr>
                <w:rFonts w:ascii="宋体" w:hAnsi="宋体" w:eastAsia="宋体" w:cs="宋体"/>
                <w:b w:val="0"/>
              </w:rPr>
              <w:t>830839</w:t>
            </w:r>
          </w:p>
        </w:tc>
        <w:tc>
          <w:tcPr>
            <w:tcW w:w="0" w:type="dxa"/>
          </w:tcPr>
          <w:p w14:paraId="5B99ED16">
            <w:pPr>
              <w:spacing w:line="240" w:lineRule="auto"/>
              <w:jc w:val="left"/>
            </w:pPr>
            <w:r>
              <w:rPr>
                <w:rFonts w:ascii="宋体" w:hAnsi="宋体" w:eastAsia="宋体" w:cs="宋体"/>
                <w:b w:val="0"/>
              </w:rPr>
              <w:t>万通液压</w:t>
            </w:r>
          </w:p>
        </w:tc>
        <w:tc>
          <w:tcPr>
            <w:tcW w:w="0" w:type="dxa"/>
          </w:tcPr>
          <w:p w14:paraId="51034B0A">
            <w:pPr>
              <w:spacing w:line="240" w:lineRule="auto"/>
              <w:jc w:val="right"/>
            </w:pPr>
            <w:r>
              <w:rPr>
                <w:rFonts w:ascii="宋体" w:hAnsi="宋体" w:eastAsia="宋体" w:cs="宋体"/>
                <w:b w:val="0"/>
              </w:rPr>
              <w:t>11,044</w:t>
            </w:r>
          </w:p>
        </w:tc>
        <w:tc>
          <w:tcPr>
            <w:tcW w:w="0" w:type="dxa"/>
          </w:tcPr>
          <w:p w14:paraId="5205F3F0">
            <w:pPr>
              <w:spacing w:line="240" w:lineRule="auto"/>
              <w:jc w:val="right"/>
            </w:pPr>
            <w:r>
              <w:rPr>
                <w:rFonts w:ascii="宋体" w:hAnsi="宋体" w:eastAsia="宋体" w:cs="宋体"/>
                <w:b w:val="0"/>
              </w:rPr>
              <w:t>355,616.80</w:t>
            </w:r>
          </w:p>
        </w:tc>
        <w:tc>
          <w:tcPr>
            <w:tcW w:w="0" w:type="dxa"/>
          </w:tcPr>
          <w:p w14:paraId="37DBE79C">
            <w:pPr>
              <w:spacing w:line="240" w:lineRule="auto"/>
              <w:jc w:val="right"/>
            </w:pPr>
            <w:r>
              <w:rPr>
                <w:rFonts w:ascii="宋体" w:hAnsi="宋体" w:eastAsia="宋体" w:cs="宋体"/>
                <w:b w:val="0"/>
              </w:rPr>
              <w:t>3.00</w:t>
            </w:r>
          </w:p>
        </w:tc>
      </w:tr>
      <w:tr w14:paraId="60B3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DF8978">
            <w:pPr>
              <w:spacing w:line="240" w:lineRule="auto"/>
              <w:jc w:val="center"/>
            </w:pPr>
            <w:r>
              <w:rPr>
                <w:rFonts w:ascii="宋体" w:hAnsi="宋体" w:eastAsia="宋体" w:cs="宋体"/>
                <w:b w:val="0"/>
              </w:rPr>
              <w:t>5</w:t>
            </w:r>
          </w:p>
        </w:tc>
        <w:tc>
          <w:tcPr>
            <w:tcW w:w="0" w:type="dxa"/>
          </w:tcPr>
          <w:p w14:paraId="3ADA47DC">
            <w:pPr>
              <w:spacing w:line="240" w:lineRule="auto"/>
              <w:jc w:val="left"/>
            </w:pPr>
            <w:r>
              <w:rPr>
                <w:rFonts w:ascii="宋体" w:hAnsi="宋体" w:eastAsia="宋体" w:cs="宋体"/>
                <w:b w:val="0"/>
              </w:rPr>
              <w:t>834599</w:t>
            </w:r>
          </w:p>
        </w:tc>
        <w:tc>
          <w:tcPr>
            <w:tcW w:w="0" w:type="dxa"/>
          </w:tcPr>
          <w:p w14:paraId="75329A6F">
            <w:pPr>
              <w:spacing w:line="240" w:lineRule="auto"/>
              <w:jc w:val="left"/>
            </w:pPr>
            <w:r>
              <w:rPr>
                <w:rFonts w:ascii="宋体" w:hAnsi="宋体" w:eastAsia="宋体" w:cs="宋体"/>
                <w:b w:val="0"/>
              </w:rPr>
              <w:t>同力股份</w:t>
            </w:r>
          </w:p>
        </w:tc>
        <w:tc>
          <w:tcPr>
            <w:tcW w:w="0" w:type="dxa"/>
          </w:tcPr>
          <w:p w14:paraId="56914F35">
            <w:pPr>
              <w:spacing w:line="240" w:lineRule="auto"/>
              <w:jc w:val="right"/>
            </w:pPr>
            <w:r>
              <w:rPr>
                <w:rFonts w:ascii="宋体" w:hAnsi="宋体" w:eastAsia="宋体" w:cs="宋体"/>
                <w:b w:val="0"/>
              </w:rPr>
              <w:t>16,114</w:t>
            </w:r>
          </w:p>
        </w:tc>
        <w:tc>
          <w:tcPr>
            <w:tcW w:w="0" w:type="dxa"/>
          </w:tcPr>
          <w:p w14:paraId="5E97BE7D">
            <w:pPr>
              <w:spacing w:line="240" w:lineRule="auto"/>
              <w:jc w:val="right"/>
            </w:pPr>
            <w:r>
              <w:rPr>
                <w:rFonts w:ascii="宋体" w:hAnsi="宋体" w:eastAsia="宋体" w:cs="宋体"/>
                <w:b w:val="0"/>
              </w:rPr>
              <w:t>344,839.60</w:t>
            </w:r>
          </w:p>
        </w:tc>
        <w:tc>
          <w:tcPr>
            <w:tcW w:w="0" w:type="dxa"/>
          </w:tcPr>
          <w:p w14:paraId="4F8C2101">
            <w:pPr>
              <w:spacing w:line="240" w:lineRule="auto"/>
              <w:jc w:val="right"/>
            </w:pPr>
            <w:r>
              <w:rPr>
                <w:rFonts w:ascii="宋体" w:hAnsi="宋体" w:eastAsia="宋体" w:cs="宋体"/>
                <w:b w:val="0"/>
              </w:rPr>
              <w:t>2.91</w:t>
            </w:r>
          </w:p>
        </w:tc>
      </w:tr>
      <w:tr w14:paraId="43B6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D3DBA">
            <w:pPr>
              <w:spacing w:line="240" w:lineRule="auto"/>
              <w:jc w:val="center"/>
            </w:pPr>
            <w:r>
              <w:rPr>
                <w:rFonts w:ascii="宋体" w:hAnsi="宋体" w:eastAsia="宋体" w:cs="宋体"/>
                <w:b w:val="0"/>
              </w:rPr>
              <w:t>6</w:t>
            </w:r>
          </w:p>
        </w:tc>
        <w:tc>
          <w:tcPr>
            <w:tcW w:w="0" w:type="dxa"/>
          </w:tcPr>
          <w:p w14:paraId="503CDA74">
            <w:pPr>
              <w:spacing w:line="240" w:lineRule="auto"/>
              <w:jc w:val="left"/>
            </w:pPr>
            <w:r>
              <w:rPr>
                <w:rFonts w:ascii="宋体" w:hAnsi="宋体" w:eastAsia="宋体" w:cs="宋体"/>
                <w:b w:val="0"/>
              </w:rPr>
              <w:t>833914</w:t>
            </w:r>
          </w:p>
        </w:tc>
        <w:tc>
          <w:tcPr>
            <w:tcW w:w="0" w:type="dxa"/>
          </w:tcPr>
          <w:p w14:paraId="079F28BA">
            <w:pPr>
              <w:spacing w:line="240" w:lineRule="auto"/>
              <w:jc w:val="left"/>
            </w:pPr>
            <w:r>
              <w:rPr>
                <w:rFonts w:ascii="宋体" w:hAnsi="宋体" w:eastAsia="宋体" w:cs="宋体"/>
                <w:b w:val="0"/>
              </w:rPr>
              <w:t>远航精密</w:t>
            </w:r>
          </w:p>
        </w:tc>
        <w:tc>
          <w:tcPr>
            <w:tcW w:w="0" w:type="dxa"/>
          </w:tcPr>
          <w:p w14:paraId="46A569BD">
            <w:pPr>
              <w:spacing w:line="240" w:lineRule="auto"/>
              <w:jc w:val="right"/>
            </w:pPr>
            <w:r>
              <w:rPr>
                <w:rFonts w:ascii="宋体" w:hAnsi="宋体" w:eastAsia="宋体" w:cs="宋体"/>
                <w:b w:val="0"/>
              </w:rPr>
              <w:t>7,094</w:t>
            </w:r>
          </w:p>
        </w:tc>
        <w:tc>
          <w:tcPr>
            <w:tcW w:w="0" w:type="dxa"/>
          </w:tcPr>
          <w:p w14:paraId="11BAEE4F">
            <w:pPr>
              <w:spacing w:line="240" w:lineRule="auto"/>
              <w:jc w:val="right"/>
            </w:pPr>
            <w:r>
              <w:rPr>
                <w:rFonts w:ascii="宋体" w:hAnsi="宋体" w:eastAsia="宋体" w:cs="宋体"/>
                <w:b w:val="0"/>
              </w:rPr>
              <w:t>217,147.34</w:t>
            </w:r>
          </w:p>
        </w:tc>
        <w:tc>
          <w:tcPr>
            <w:tcW w:w="0" w:type="dxa"/>
          </w:tcPr>
          <w:p w14:paraId="243E6E48">
            <w:pPr>
              <w:spacing w:line="240" w:lineRule="auto"/>
              <w:jc w:val="right"/>
            </w:pPr>
            <w:r>
              <w:rPr>
                <w:rFonts w:ascii="宋体" w:hAnsi="宋体" w:eastAsia="宋体" w:cs="宋体"/>
                <w:b w:val="0"/>
              </w:rPr>
              <w:t>1.83</w:t>
            </w:r>
          </w:p>
        </w:tc>
      </w:tr>
      <w:tr w14:paraId="7A4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EE515F">
            <w:pPr>
              <w:spacing w:line="240" w:lineRule="auto"/>
              <w:jc w:val="center"/>
            </w:pPr>
            <w:r>
              <w:rPr>
                <w:rFonts w:ascii="宋体" w:hAnsi="宋体" w:eastAsia="宋体" w:cs="宋体"/>
                <w:b w:val="0"/>
              </w:rPr>
              <w:t>7</w:t>
            </w:r>
          </w:p>
        </w:tc>
        <w:tc>
          <w:tcPr>
            <w:tcW w:w="0" w:type="dxa"/>
          </w:tcPr>
          <w:p w14:paraId="379F782A">
            <w:pPr>
              <w:spacing w:line="240" w:lineRule="auto"/>
              <w:jc w:val="left"/>
            </w:pPr>
            <w:r>
              <w:rPr>
                <w:rFonts w:ascii="宋体" w:hAnsi="宋体" w:eastAsia="宋体" w:cs="宋体"/>
                <w:b w:val="0"/>
              </w:rPr>
              <w:t>837174</w:t>
            </w:r>
          </w:p>
        </w:tc>
        <w:tc>
          <w:tcPr>
            <w:tcW w:w="0" w:type="dxa"/>
          </w:tcPr>
          <w:p w14:paraId="3F0C038B">
            <w:pPr>
              <w:spacing w:line="240" w:lineRule="auto"/>
              <w:jc w:val="left"/>
            </w:pPr>
            <w:r>
              <w:rPr>
                <w:rFonts w:ascii="宋体" w:hAnsi="宋体" w:eastAsia="宋体" w:cs="宋体"/>
                <w:b w:val="0"/>
              </w:rPr>
              <w:t>宏裕包材</w:t>
            </w:r>
          </w:p>
        </w:tc>
        <w:tc>
          <w:tcPr>
            <w:tcW w:w="0" w:type="dxa"/>
          </w:tcPr>
          <w:p w14:paraId="2F1BCF60">
            <w:pPr>
              <w:spacing w:line="240" w:lineRule="auto"/>
              <w:jc w:val="right"/>
            </w:pPr>
            <w:r>
              <w:rPr>
                <w:rFonts w:ascii="宋体" w:hAnsi="宋体" w:eastAsia="宋体" w:cs="宋体"/>
                <w:b w:val="0"/>
              </w:rPr>
              <w:t>11,398</w:t>
            </w:r>
          </w:p>
        </w:tc>
        <w:tc>
          <w:tcPr>
            <w:tcW w:w="0" w:type="dxa"/>
          </w:tcPr>
          <w:p w14:paraId="5BA4D494">
            <w:pPr>
              <w:spacing w:line="240" w:lineRule="auto"/>
              <w:jc w:val="right"/>
            </w:pPr>
            <w:r>
              <w:rPr>
                <w:rFonts w:ascii="宋体" w:hAnsi="宋体" w:eastAsia="宋体" w:cs="宋体"/>
                <w:b w:val="0"/>
              </w:rPr>
              <w:t>209,381.26</w:t>
            </w:r>
          </w:p>
        </w:tc>
        <w:tc>
          <w:tcPr>
            <w:tcW w:w="0" w:type="dxa"/>
          </w:tcPr>
          <w:p w14:paraId="2AB4FDFA">
            <w:pPr>
              <w:spacing w:line="240" w:lineRule="auto"/>
              <w:jc w:val="right"/>
            </w:pPr>
            <w:r>
              <w:rPr>
                <w:rFonts w:ascii="宋体" w:hAnsi="宋体" w:eastAsia="宋体" w:cs="宋体"/>
                <w:b w:val="0"/>
              </w:rPr>
              <w:t>1.77</w:t>
            </w:r>
          </w:p>
        </w:tc>
      </w:tr>
      <w:tr w14:paraId="2976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31F199">
            <w:pPr>
              <w:spacing w:line="240" w:lineRule="auto"/>
              <w:jc w:val="center"/>
            </w:pPr>
            <w:r>
              <w:rPr>
                <w:rFonts w:ascii="宋体" w:hAnsi="宋体" w:eastAsia="宋体" w:cs="宋体"/>
                <w:b w:val="0"/>
              </w:rPr>
              <w:t>8</w:t>
            </w:r>
          </w:p>
        </w:tc>
        <w:tc>
          <w:tcPr>
            <w:tcW w:w="0" w:type="dxa"/>
          </w:tcPr>
          <w:p w14:paraId="58608370">
            <w:pPr>
              <w:spacing w:line="240" w:lineRule="auto"/>
              <w:jc w:val="left"/>
            </w:pPr>
            <w:r>
              <w:rPr>
                <w:rFonts w:ascii="宋体" w:hAnsi="宋体" w:eastAsia="宋体" w:cs="宋体"/>
                <w:b w:val="0"/>
              </w:rPr>
              <w:t>870357</w:t>
            </w:r>
          </w:p>
        </w:tc>
        <w:tc>
          <w:tcPr>
            <w:tcW w:w="0" w:type="dxa"/>
          </w:tcPr>
          <w:p w14:paraId="5AEA78C5">
            <w:pPr>
              <w:spacing w:line="240" w:lineRule="auto"/>
              <w:jc w:val="left"/>
            </w:pPr>
            <w:r>
              <w:rPr>
                <w:rFonts w:ascii="宋体" w:hAnsi="宋体" w:eastAsia="宋体" w:cs="宋体"/>
                <w:b w:val="0"/>
              </w:rPr>
              <w:t>雅葆轩</w:t>
            </w:r>
          </w:p>
        </w:tc>
        <w:tc>
          <w:tcPr>
            <w:tcW w:w="0" w:type="dxa"/>
          </w:tcPr>
          <w:p w14:paraId="72323E45">
            <w:pPr>
              <w:spacing w:line="240" w:lineRule="auto"/>
              <w:jc w:val="right"/>
            </w:pPr>
            <w:r>
              <w:rPr>
                <w:rFonts w:ascii="宋体" w:hAnsi="宋体" w:eastAsia="宋体" w:cs="宋体"/>
                <w:b w:val="0"/>
              </w:rPr>
              <w:t>6,987</w:t>
            </w:r>
          </w:p>
        </w:tc>
        <w:tc>
          <w:tcPr>
            <w:tcW w:w="0" w:type="dxa"/>
          </w:tcPr>
          <w:p w14:paraId="2B24AC0D">
            <w:pPr>
              <w:spacing w:line="240" w:lineRule="auto"/>
              <w:jc w:val="right"/>
            </w:pPr>
            <w:r>
              <w:rPr>
                <w:rFonts w:ascii="宋体" w:hAnsi="宋体" w:eastAsia="宋体" w:cs="宋体"/>
                <w:b w:val="0"/>
              </w:rPr>
              <w:t>200,526.90</w:t>
            </w:r>
          </w:p>
        </w:tc>
        <w:tc>
          <w:tcPr>
            <w:tcW w:w="0" w:type="dxa"/>
          </w:tcPr>
          <w:p w14:paraId="0383627B">
            <w:pPr>
              <w:spacing w:line="240" w:lineRule="auto"/>
              <w:jc w:val="right"/>
            </w:pPr>
            <w:r>
              <w:rPr>
                <w:rFonts w:ascii="宋体" w:hAnsi="宋体" w:eastAsia="宋体" w:cs="宋体"/>
                <w:b w:val="0"/>
              </w:rPr>
              <w:t>1.69</w:t>
            </w:r>
          </w:p>
        </w:tc>
      </w:tr>
      <w:tr w14:paraId="0CAD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CFD77B">
            <w:pPr>
              <w:spacing w:line="240" w:lineRule="auto"/>
              <w:jc w:val="center"/>
            </w:pPr>
            <w:r>
              <w:rPr>
                <w:rFonts w:ascii="宋体" w:hAnsi="宋体" w:eastAsia="宋体" w:cs="宋体"/>
                <w:b w:val="0"/>
              </w:rPr>
              <w:t>9</w:t>
            </w:r>
          </w:p>
        </w:tc>
        <w:tc>
          <w:tcPr>
            <w:tcW w:w="0" w:type="dxa"/>
          </w:tcPr>
          <w:p w14:paraId="04F2F02D">
            <w:pPr>
              <w:spacing w:line="240" w:lineRule="auto"/>
              <w:jc w:val="left"/>
            </w:pPr>
            <w:r>
              <w:rPr>
                <w:rFonts w:ascii="宋体" w:hAnsi="宋体" w:eastAsia="宋体" w:cs="宋体"/>
                <w:b w:val="0"/>
              </w:rPr>
              <w:t>836239</w:t>
            </w:r>
          </w:p>
        </w:tc>
        <w:tc>
          <w:tcPr>
            <w:tcW w:w="0" w:type="dxa"/>
          </w:tcPr>
          <w:p w14:paraId="4C0D2188">
            <w:pPr>
              <w:spacing w:line="240" w:lineRule="auto"/>
              <w:jc w:val="left"/>
            </w:pPr>
            <w:r>
              <w:rPr>
                <w:rFonts w:ascii="宋体" w:hAnsi="宋体" w:eastAsia="宋体" w:cs="宋体"/>
                <w:b w:val="0"/>
              </w:rPr>
              <w:t>长虹能源</w:t>
            </w:r>
          </w:p>
        </w:tc>
        <w:tc>
          <w:tcPr>
            <w:tcW w:w="0" w:type="dxa"/>
          </w:tcPr>
          <w:p w14:paraId="2E085D4C">
            <w:pPr>
              <w:spacing w:line="240" w:lineRule="auto"/>
              <w:jc w:val="right"/>
            </w:pPr>
            <w:r>
              <w:rPr>
                <w:rFonts w:ascii="宋体" w:hAnsi="宋体" w:eastAsia="宋体" w:cs="宋体"/>
                <w:b w:val="0"/>
              </w:rPr>
              <w:t>5,391</w:t>
            </w:r>
          </w:p>
        </w:tc>
        <w:tc>
          <w:tcPr>
            <w:tcW w:w="0" w:type="dxa"/>
          </w:tcPr>
          <w:p w14:paraId="4DB0AC68">
            <w:pPr>
              <w:spacing w:line="240" w:lineRule="auto"/>
              <w:jc w:val="right"/>
            </w:pPr>
            <w:r>
              <w:rPr>
                <w:rFonts w:ascii="宋体" w:hAnsi="宋体" w:eastAsia="宋体" w:cs="宋体"/>
                <w:b w:val="0"/>
              </w:rPr>
              <w:t>200,113.92</w:t>
            </w:r>
          </w:p>
        </w:tc>
        <w:tc>
          <w:tcPr>
            <w:tcW w:w="0" w:type="dxa"/>
          </w:tcPr>
          <w:p w14:paraId="6A82F1CC">
            <w:pPr>
              <w:spacing w:line="240" w:lineRule="auto"/>
              <w:jc w:val="right"/>
            </w:pPr>
            <w:r>
              <w:rPr>
                <w:rFonts w:ascii="宋体" w:hAnsi="宋体" w:eastAsia="宋体" w:cs="宋体"/>
                <w:b w:val="0"/>
              </w:rPr>
              <w:t>1.69</w:t>
            </w:r>
          </w:p>
        </w:tc>
      </w:tr>
      <w:tr w14:paraId="2CE3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3566D4">
            <w:pPr>
              <w:spacing w:line="240" w:lineRule="auto"/>
              <w:jc w:val="center"/>
            </w:pPr>
            <w:r>
              <w:rPr>
                <w:rFonts w:ascii="宋体" w:hAnsi="宋体" w:eastAsia="宋体" w:cs="宋体"/>
                <w:b w:val="0"/>
              </w:rPr>
              <w:t>10</w:t>
            </w:r>
          </w:p>
        </w:tc>
        <w:tc>
          <w:tcPr>
            <w:tcW w:w="0" w:type="dxa"/>
          </w:tcPr>
          <w:p w14:paraId="50E1C7CB">
            <w:pPr>
              <w:spacing w:line="240" w:lineRule="auto"/>
              <w:jc w:val="left"/>
            </w:pPr>
            <w:r>
              <w:rPr>
                <w:rFonts w:ascii="宋体" w:hAnsi="宋体" w:eastAsia="宋体" w:cs="宋体"/>
                <w:b w:val="0"/>
              </w:rPr>
              <w:t>836717</w:t>
            </w:r>
          </w:p>
        </w:tc>
        <w:tc>
          <w:tcPr>
            <w:tcW w:w="0" w:type="dxa"/>
          </w:tcPr>
          <w:p w14:paraId="547677E2">
            <w:pPr>
              <w:spacing w:line="240" w:lineRule="auto"/>
              <w:jc w:val="left"/>
            </w:pPr>
            <w:r>
              <w:rPr>
                <w:rFonts w:ascii="宋体" w:hAnsi="宋体" w:eastAsia="宋体" w:cs="宋体"/>
                <w:b w:val="0"/>
              </w:rPr>
              <w:t>瑞星股份</w:t>
            </w:r>
          </w:p>
        </w:tc>
        <w:tc>
          <w:tcPr>
            <w:tcW w:w="0" w:type="dxa"/>
          </w:tcPr>
          <w:p w14:paraId="0DB3D1C0">
            <w:pPr>
              <w:spacing w:line="240" w:lineRule="auto"/>
              <w:jc w:val="right"/>
            </w:pPr>
            <w:r>
              <w:rPr>
                <w:rFonts w:ascii="宋体" w:hAnsi="宋体" w:eastAsia="宋体" w:cs="宋体"/>
                <w:b w:val="0"/>
              </w:rPr>
              <w:t>14,661</w:t>
            </w:r>
          </w:p>
        </w:tc>
        <w:tc>
          <w:tcPr>
            <w:tcW w:w="0" w:type="dxa"/>
          </w:tcPr>
          <w:p w14:paraId="7AEE94A0">
            <w:pPr>
              <w:spacing w:line="240" w:lineRule="auto"/>
              <w:jc w:val="right"/>
            </w:pPr>
            <w:r>
              <w:rPr>
                <w:rFonts w:ascii="宋体" w:hAnsi="宋体" w:eastAsia="宋体" w:cs="宋体"/>
                <w:b w:val="0"/>
              </w:rPr>
              <w:t>198,803.16</w:t>
            </w:r>
          </w:p>
        </w:tc>
        <w:tc>
          <w:tcPr>
            <w:tcW w:w="0" w:type="dxa"/>
          </w:tcPr>
          <w:p w14:paraId="17F0F5DE">
            <w:pPr>
              <w:spacing w:line="240" w:lineRule="auto"/>
              <w:jc w:val="right"/>
            </w:pPr>
            <w:r>
              <w:rPr>
                <w:rFonts w:ascii="宋体" w:hAnsi="宋体" w:eastAsia="宋体" w:cs="宋体"/>
                <w:b w:val="0"/>
              </w:rPr>
              <w:t>1.68</w:t>
            </w:r>
          </w:p>
        </w:tc>
      </w:tr>
      <w:tr w14:paraId="1149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E7EBE9">
            <w:pPr>
              <w:spacing w:line="240" w:lineRule="auto"/>
              <w:jc w:val="center"/>
            </w:pPr>
            <w:r>
              <w:rPr>
                <w:rFonts w:ascii="宋体" w:hAnsi="宋体" w:eastAsia="宋体" w:cs="宋体"/>
                <w:b w:val="0"/>
              </w:rPr>
              <w:t>11</w:t>
            </w:r>
          </w:p>
        </w:tc>
        <w:tc>
          <w:tcPr>
            <w:tcW w:w="0" w:type="dxa"/>
          </w:tcPr>
          <w:p w14:paraId="1F849FBA">
            <w:pPr>
              <w:spacing w:line="240" w:lineRule="auto"/>
              <w:jc w:val="left"/>
            </w:pPr>
            <w:r>
              <w:rPr>
                <w:rFonts w:ascii="宋体" w:hAnsi="宋体" w:eastAsia="宋体" w:cs="宋体"/>
                <w:b w:val="0"/>
              </w:rPr>
              <w:t>831167</w:t>
            </w:r>
          </w:p>
        </w:tc>
        <w:tc>
          <w:tcPr>
            <w:tcW w:w="0" w:type="dxa"/>
          </w:tcPr>
          <w:p w14:paraId="0E1D9980">
            <w:pPr>
              <w:spacing w:line="240" w:lineRule="auto"/>
              <w:jc w:val="left"/>
            </w:pPr>
            <w:r>
              <w:rPr>
                <w:rFonts w:ascii="宋体" w:hAnsi="宋体" w:eastAsia="宋体" w:cs="宋体"/>
                <w:b w:val="0"/>
              </w:rPr>
              <w:t>鑫汇科</w:t>
            </w:r>
          </w:p>
        </w:tc>
        <w:tc>
          <w:tcPr>
            <w:tcW w:w="0" w:type="dxa"/>
          </w:tcPr>
          <w:p w14:paraId="605DF621">
            <w:pPr>
              <w:spacing w:line="240" w:lineRule="auto"/>
              <w:jc w:val="right"/>
            </w:pPr>
            <w:r>
              <w:rPr>
                <w:rFonts w:ascii="宋体" w:hAnsi="宋体" w:eastAsia="宋体" w:cs="宋体"/>
                <w:b w:val="0"/>
              </w:rPr>
              <w:t>6,803</w:t>
            </w:r>
          </w:p>
        </w:tc>
        <w:tc>
          <w:tcPr>
            <w:tcW w:w="0" w:type="dxa"/>
          </w:tcPr>
          <w:p w14:paraId="1BBD7A6C">
            <w:pPr>
              <w:spacing w:line="240" w:lineRule="auto"/>
              <w:jc w:val="right"/>
            </w:pPr>
            <w:r>
              <w:rPr>
                <w:rFonts w:ascii="宋体" w:hAnsi="宋体" w:eastAsia="宋体" w:cs="宋体"/>
                <w:b w:val="0"/>
              </w:rPr>
              <w:t>196,130.49</w:t>
            </w:r>
          </w:p>
        </w:tc>
        <w:tc>
          <w:tcPr>
            <w:tcW w:w="0" w:type="dxa"/>
          </w:tcPr>
          <w:p w14:paraId="7188D14E">
            <w:pPr>
              <w:spacing w:line="240" w:lineRule="auto"/>
              <w:jc w:val="right"/>
            </w:pPr>
            <w:r>
              <w:rPr>
                <w:rFonts w:ascii="宋体" w:hAnsi="宋体" w:eastAsia="宋体" w:cs="宋体"/>
                <w:b w:val="0"/>
              </w:rPr>
              <w:t>1.66</w:t>
            </w:r>
          </w:p>
        </w:tc>
      </w:tr>
      <w:tr w14:paraId="7788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3DE190">
            <w:pPr>
              <w:spacing w:line="240" w:lineRule="auto"/>
              <w:jc w:val="center"/>
            </w:pPr>
            <w:r>
              <w:rPr>
                <w:rFonts w:ascii="宋体" w:hAnsi="宋体" w:eastAsia="宋体" w:cs="宋体"/>
                <w:b w:val="0"/>
              </w:rPr>
              <w:t>12</w:t>
            </w:r>
          </w:p>
        </w:tc>
        <w:tc>
          <w:tcPr>
            <w:tcW w:w="0" w:type="dxa"/>
          </w:tcPr>
          <w:p w14:paraId="53F67D81">
            <w:pPr>
              <w:spacing w:line="240" w:lineRule="auto"/>
              <w:jc w:val="left"/>
            </w:pPr>
            <w:r>
              <w:rPr>
                <w:rFonts w:ascii="宋体" w:hAnsi="宋体" w:eastAsia="宋体" w:cs="宋体"/>
                <w:b w:val="0"/>
              </w:rPr>
              <w:t>873527</w:t>
            </w:r>
          </w:p>
        </w:tc>
        <w:tc>
          <w:tcPr>
            <w:tcW w:w="0" w:type="dxa"/>
          </w:tcPr>
          <w:p w14:paraId="1E641597">
            <w:pPr>
              <w:spacing w:line="240" w:lineRule="auto"/>
              <w:jc w:val="left"/>
            </w:pPr>
            <w:r>
              <w:rPr>
                <w:rFonts w:ascii="宋体" w:hAnsi="宋体" w:eastAsia="宋体" w:cs="宋体"/>
                <w:b w:val="0"/>
              </w:rPr>
              <w:t>夜光明</w:t>
            </w:r>
          </w:p>
        </w:tc>
        <w:tc>
          <w:tcPr>
            <w:tcW w:w="0" w:type="dxa"/>
          </w:tcPr>
          <w:p w14:paraId="6E52D6ED">
            <w:pPr>
              <w:spacing w:line="240" w:lineRule="auto"/>
              <w:jc w:val="right"/>
            </w:pPr>
            <w:r>
              <w:rPr>
                <w:rFonts w:ascii="宋体" w:hAnsi="宋体" w:eastAsia="宋体" w:cs="宋体"/>
                <w:b w:val="0"/>
              </w:rPr>
              <w:t>8,871</w:t>
            </w:r>
          </w:p>
        </w:tc>
        <w:tc>
          <w:tcPr>
            <w:tcW w:w="0" w:type="dxa"/>
          </w:tcPr>
          <w:p w14:paraId="6A09C1F1">
            <w:pPr>
              <w:spacing w:line="240" w:lineRule="auto"/>
              <w:jc w:val="right"/>
            </w:pPr>
            <w:r>
              <w:rPr>
                <w:rFonts w:ascii="宋体" w:hAnsi="宋体" w:eastAsia="宋体" w:cs="宋体"/>
                <w:b w:val="0"/>
              </w:rPr>
              <w:t>193,210.38</w:t>
            </w:r>
          </w:p>
        </w:tc>
        <w:tc>
          <w:tcPr>
            <w:tcW w:w="0" w:type="dxa"/>
          </w:tcPr>
          <w:p w14:paraId="7B8477AD">
            <w:pPr>
              <w:spacing w:line="240" w:lineRule="auto"/>
              <w:jc w:val="right"/>
            </w:pPr>
            <w:r>
              <w:rPr>
                <w:rFonts w:ascii="宋体" w:hAnsi="宋体" w:eastAsia="宋体" w:cs="宋体"/>
                <w:b w:val="0"/>
              </w:rPr>
              <w:t>1.63</w:t>
            </w:r>
          </w:p>
        </w:tc>
      </w:tr>
      <w:tr w14:paraId="4083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756BDA">
            <w:pPr>
              <w:spacing w:line="240" w:lineRule="auto"/>
              <w:jc w:val="center"/>
            </w:pPr>
            <w:r>
              <w:rPr>
                <w:rFonts w:ascii="宋体" w:hAnsi="宋体" w:eastAsia="宋体" w:cs="宋体"/>
                <w:b w:val="0"/>
              </w:rPr>
              <w:t>13</w:t>
            </w:r>
          </w:p>
        </w:tc>
        <w:tc>
          <w:tcPr>
            <w:tcW w:w="0" w:type="dxa"/>
          </w:tcPr>
          <w:p w14:paraId="308EEA68">
            <w:pPr>
              <w:spacing w:line="240" w:lineRule="auto"/>
              <w:jc w:val="left"/>
            </w:pPr>
            <w:r>
              <w:rPr>
                <w:rFonts w:ascii="宋体" w:hAnsi="宋体" w:eastAsia="宋体" w:cs="宋体"/>
                <w:b w:val="0"/>
              </w:rPr>
              <w:t>831195</w:t>
            </w:r>
          </w:p>
        </w:tc>
        <w:tc>
          <w:tcPr>
            <w:tcW w:w="0" w:type="dxa"/>
          </w:tcPr>
          <w:p w14:paraId="2E5078B6">
            <w:pPr>
              <w:spacing w:line="240" w:lineRule="auto"/>
              <w:jc w:val="left"/>
            </w:pPr>
            <w:r>
              <w:rPr>
                <w:rFonts w:ascii="宋体" w:hAnsi="宋体" w:eastAsia="宋体" w:cs="宋体"/>
                <w:b w:val="0"/>
              </w:rPr>
              <w:t>三祥科技</w:t>
            </w:r>
          </w:p>
        </w:tc>
        <w:tc>
          <w:tcPr>
            <w:tcW w:w="0" w:type="dxa"/>
          </w:tcPr>
          <w:p w14:paraId="4358F75A">
            <w:pPr>
              <w:spacing w:line="240" w:lineRule="auto"/>
              <w:jc w:val="right"/>
            </w:pPr>
            <w:r>
              <w:rPr>
                <w:rFonts w:ascii="宋体" w:hAnsi="宋体" w:eastAsia="宋体" w:cs="宋体"/>
                <w:b w:val="0"/>
              </w:rPr>
              <w:t>10,643</w:t>
            </w:r>
          </w:p>
        </w:tc>
        <w:tc>
          <w:tcPr>
            <w:tcW w:w="0" w:type="dxa"/>
          </w:tcPr>
          <w:p w14:paraId="523D3A16">
            <w:pPr>
              <w:spacing w:line="240" w:lineRule="auto"/>
              <w:jc w:val="right"/>
            </w:pPr>
            <w:r>
              <w:rPr>
                <w:rFonts w:ascii="宋体" w:hAnsi="宋体" w:eastAsia="宋体" w:cs="宋体"/>
                <w:b w:val="0"/>
              </w:rPr>
              <w:t>192,744.73</w:t>
            </w:r>
          </w:p>
        </w:tc>
        <w:tc>
          <w:tcPr>
            <w:tcW w:w="0" w:type="dxa"/>
          </w:tcPr>
          <w:p w14:paraId="5958A098">
            <w:pPr>
              <w:spacing w:line="240" w:lineRule="auto"/>
              <w:jc w:val="right"/>
            </w:pPr>
            <w:r>
              <w:rPr>
                <w:rFonts w:ascii="宋体" w:hAnsi="宋体" w:eastAsia="宋体" w:cs="宋体"/>
                <w:b w:val="0"/>
              </w:rPr>
              <w:t>1.63</w:t>
            </w:r>
          </w:p>
        </w:tc>
      </w:tr>
      <w:tr w14:paraId="2AAF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73D33A">
            <w:pPr>
              <w:spacing w:line="240" w:lineRule="auto"/>
              <w:jc w:val="center"/>
            </w:pPr>
            <w:r>
              <w:rPr>
                <w:rFonts w:ascii="宋体" w:hAnsi="宋体" w:eastAsia="宋体" w:cs="宋体"/>
                <w:b w:val="0"/>
              </w:rPr>
              <w:t>14</w:t>
            </w:r>
          </w:p>
        </w:tc>
        <w:tc>
          <w:tcPr>
            <w:tcW w:w="0" w:type="dxa"/>
          </w:tcPr>
          <w:p w14:paraId="14B66AF0">
            <w:pPr>
              <w:spacing w:line="240" w:lineRule="auto"/>
              <w:jc w:val="left"/>
            </w:pPr>
            <w:r>
              <w:rPr>
                <w:rFonts w:ascii="宋体" w:hAnsi="宋体" w:eastAsia="宋体" w:cs="宋体"/>
                <w:b w:val="0"/>
              </w:rPr>
              <w:t>830974</w:t>
            </w:r>
          </w:p>
        </w:tc>
        <w:tc>
          <w:tcPr>
            <w:tcW w:w="0" w:type="dxa"/>
          </w:tcPr>
          <w:p w14:paraId="4F8A198E">
            <w:pPr>
              <w:spacing w:line="240" w:lineRule="auto"/>
              <w:jc w:val="left"/>
            </w:pPr>
            <w:r>
              <w:rPr>
                <w:rFonts w:ascii="宋体" w:hAnsi="宋体" w:eastAsia="宋体" w:cs="宋体"/>
                <w:b w:val="0"/>
              </w:rPr>
              <w:t>凯大催化</w:t>
            </w:r>
          </w:p>
        </w:tc>
        <w:tc>
          <w:tcPr>
            <w:tcW w:w="0" w:type="dxa"/>
          </w:tcPr>
          <w:p w14:paraId="267A2742">
            <w:pPr>
              <w:spacing w:line="240" w:lineRule="auto"/>
              <w:jc w:val="right"/>
            </w:pPr>
            <w:r>
              <w:rPr>
                <w:rFonts w:ascii="宋体" w:hAnsi="宋体" w:eastAsia="宋体" w:cs="宋体"/>
                <w:b w:val="0"/>
              </w:rPr>
              <w:t>22,229</w:t>
            </w:r>
          </w:p>
        </w:tc>
        <w:tc>
          <w:tcPr>
            <w:tcW w:w="0" w:type="dxa"/>
          </w:tcPr>
          <w:p w14:paraId="1AC6072C">
            <w:pPr>
              <w:spacing w:line="240" w:lineRule="auto"/>
              <w:jc w:val="right"/>
            </w:pPr>
            <w:r>
              <w:rPr>
                <w:rFonts w:ascii="宋体" w:hAnsi="宋体" w:eastAsia="宋体" w:cs="宋体"/>
                <w:b w:val="0"/>
              </w:rPr>
              <w:t>192,503.14</w:t>
            </w:r>
          </w:p>
        </w:tc>
        <w:tc>
          <w:tcPr>
            <w:tcW w:w="0" w:type="dxa"/>
          </w:tcPr>
          <w:p w14:paraId="74E94DDE">
            <w:pPr>
              <w:spacing w:line="240" w:lineRule="auto"/>
              <w:jc w:val="right"/>
            </w:pPr>
            <w:r>
              <w:rPr>
                <w:rFonts w:ascii="宋体" w:hAnsi="宋体" w:eastAsia="宋体" w:cs="宋体"/>
                <w:b w:val="0"/>
              </w:rPr>
              <w:t>1.63</w:t>
            </w:r>
          </w:p>
        </w:tc>
      </w:tr>
      <w:tr w14:paraId="7860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B0C1CC">
            <w:pPr>
              <w:spacing w:line="240" w:lineRule="auto"/>
              <w:jc w:val="center"/>
            </w:pPr>
            <w:r>
              <w:rPr>
                <w:rFonts w:ascii="宋体" w:hAnsi="宋体" w:eastAsia="宋体" w:cs="宋体"/>
                <w:b w:val="0"/>
              </w:rPr>
              <w:t>15</w:t>
            </w:r>
          </w:p>
        </w:tc>
        <w:tc>
          <w:tcPr>
            <w:tcW w:w="0" w:type="dxa"/>
          </w:tcPr>
          <w:p w14:paraId="6CCF00A2">
            <w:pPr>
              <w:spacing w:line="240" w:lineRule="auto"/>
              <w:jc w:val="left"/>
            </w:pPr>
            <w:r>
              <w:rPr>
                <w:rFonts w:ascii="宋体" w:hAnsi="宋体" w:eastAsia="宋体" w:cs="宋体"/>
                <w:b w:val="0"/>
              </w:rPr>
              <w:t>839946</w:t>
            </w:r>
          </w:p>
        </w:tc>
        <w:tc>
          <w:tcPr>
            <w:tcW w:w="0" w:type="dxa"/>
          </w:tcPr>
          <w:p w14:paraId="11141781">
            <w:pPr>
              <w:spacing w:line="240" w:lineRule="auto"/>
              <w:jc w:val="left"/>
            </w:pPr>
            <w:r>
              <w:rPr>
                <w:rFonts w:ascii="宋体" w:hAnsi="宋体" w:eastAsia="宋体" w:cs="宋体"/>
                <w:b w:val="0"/>
              </w:rPr>
              <w:t>华阳变速</w:t>
            </w:r>
          </w:p>
        </w:tc>
        <w:tc>
          <w:tcPr>
            <w:tcW w:w="0" w:type="dxa"/>
          </w:tcPr>
          <w:p w14:paraId="20B61D3F">
            <w:pPr>
              <w:spacing w:line="240" w:lineRule="auto"/>
              <w:jc w:val="right"/>
            </w:pPr>
            <w:r>
              <w:rPr>
                <w:rFonts w:ascii="宋体" w:hAnsi="宋体" w:eastAsia="宋体" w:cs="宋体"/>
                <w:b w:val="0"/>
              </w:rPr>
              <w:t>18,808</w:t>
            </w:r>
          </w:p>
        </w:tc>
        <w:tc>
          <w:tcPr>
            <w:tcW w:w="0" w:type="dxa"/>
          </w:tcPr>
          <w:p w14:paraId="3462C402">
            <w:pPr>
              <w:spacing w:line="240" w:lineRule="auto"/>
              <w:jc w:val="right"/>
            </w:pPr>
            <w:r>
              <w:rPr>
                <w:rFonts w:ascii="宋体" w:hAnsi="宋体" w:eastAsia="宋体" w:cs="宋体"/>
                <w:b w:val="0"/>
              </w:rPr>
              <w:t>192,405.84</w:t>
            </w:r>
          </w:p>
        </w:tc>
        <w:tc>
          <w:tcPr>
            <w:tcW w:w="0" w:type="dxa"/>
          </w:tcPr>
          <w:p w14:paraId="7371233B">
            <w:pPr>
              <w:spacing w:line="240" w:lineRule="auto"/>
              <w:jc w:val="right"/>
            </w:pPr>
            <w:r>
              <w:rPr>
                <w:rFonts w:ascii="宋体" w:hAnsi="宋体" w:eastAsia="宋体" w:cs="宋体"/>
                <w:b w:val="0"/>
              </w:rPr>
              <w:t>1.62</w:t>
            </w:r>
          </w:p>
        </w:tc>
      </w:tr>
      <w:tr w14:paraId="02A8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48BF2E">
            <w:pPr>
              <w:spacing w:line="240" w:lineRule="auto"/>
              <w:jc w:val="center"/>
            </w:pPr>
            <w:r>
              <w:rPr>
                <w:rFonts w:ascii="宋体" w:hAnsi="宋体" w:eastAsia="宋体" w:cs="宋体"/>
                <w:b w:val="0"/>
              </w:rPr>
              <w:t>16</w:t>
            </w:r>
          </w:p>
        </w:tc>
        <w:tc>
          <w:tcPr>
            <w:tcW w:w="0" w:type="dxa"/>
          </w:tcPr>
          <w:p w14:paraId="7C10C67C">
            <w:pPr>
              <w:spacing w:line="240" w:lineRule="auto"/>
              <w:jc w:val="left"/>
            </w:pPr>
            <w:r>
              <w:rPr>
                <w:rFonts w:ascii="宋体" w:hAnsi="宋体" w:eastAsia="宋体" w:cs="宋体"/>
                <w:b w:val="0"/>
              </w:rPr>
              <w:t>837212</w:t>
            </w:r>
          </w:p>
        </w:tc>
        <w:tc>
          <w:tcPr>
            <w:tcW w:w="0" w:type="dxa"/>
          </w:tcPr>
          <w:p w14:paraId="53334DD8">
            <w:pPr>
              <w:spacing w:line="240" w:lineRule="auto"/>
              <w:jc w:val="left"/>
            </w:pPr>
            <w:r>
              <w:rPr>
                <w:rFonts w:ascii="宋体" w:hAnsi="宋体" w:eastAsia="宋体" w:cs="宋体"/>
                <w:b w:val="0"/>
              </w:rPr>
              <w:t>智新电子</w:t>
            </w:r>
          </w:p>
        </w:tc>
        <w:tc>
          <w:tcPr>
            <w:tcW w:w="0" w:type="dxa"/>
          </w:tcPr>
          <w:p w14:paraId="4E3DA524">
            <w:pPr>
              <w:spacing w:line="240" w:lineRule="auto"/>
              <w:jc w:val="right"/>
            </w:pPr>
            <w:r>
              <w:rPr>
                <w:rFonts w:ascii="宋体" w:hAnsi="宋体" w:eastAsia="宋体" w:cs="宋体"/>
                <w:b w:val="0"/>
              </w:rPr>
              <w:t>10,035</w:t>
            </w:r>
          </w:p>
        </w:tc>
        <w:tc>
          <w:tcPr>
            <w:tcW w:w="0" w:type="dxa"/>
          </w:tcPr>
          <w:p w14:paraId="2E8C8623">
            <w:pPr>
              <w:spacing w:line="240" w:lineRule="auto"/>
              <w:jc w:val="right"/>
            </w:pPr>
            <w:r>
              <w:rPr>
                <w:rFonts w:ascii="宋体" w:hAnsi="宋体" w:eastAsia="宋体" w:cs="宋体"/>
                <w:b w:val="0"/>
              </w:rPr>
              <w:t>192,370.95</w:t>
            </w:r>
          </w:p>
        </w:tc>
        <w:tc>
          <w:tcPr>
            <w:tcW w:w="0" w:type="dxa"/>
          </w:tcPr>
          <w:p w14:paraId="28F7DD87">
            <w:pPr>
              <w:spacing w:line="240" w:lineRule="auto"/>
              <w:jc w:val="right"/>
            </w:pPr>
            <w:r>
              <w:rPr>
                <w:rFonts w:ascii="宋体" w:hAnsi="宋体" w:eastAsia="宋体" w:cs="宋体"/>
                <w:b w:val="0"/>
              </w:rPr>
              <w:t>1.62</w:t>
            </w:r>
          </w:p>
        </w:tc>
      </w:tr>
      <w:tr w14:paraId="6961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BE2860">
            <w:pPr>
              <w:spacing w:line="240" w:lineRule="auto"/>
              <w:jc w:val="center"/>
            </w:pPr>
            <w:r>
              <w:rPr>
                <w:rFonts w:ascii="宋体" w:hAnsi="宋体" w:eastAsia="宋体" w:cs="宋体"/>
                <w:b w:val="0"/>
              </w:rPr>
              <w:t>17</w:t>
            </w:r>
          </w:p>
        </w:tc>
        <w:tc>
          <w:tcPr>
            <w:tcW w:w="0" w:type="dxa"/>
          </w:tcPr>
          <w:p w14:paraId="6F347F5F">
            <w:pPr>
              <w:spacing w:line="240" w:lineRule="auto"/>
              <w:jc w:val="left"/>
            </w:pPr>
            <w:r>
              <w:rPr>
                <w:rFonts w:ascii="宋体" w:hAnsi="宋体" w:eastAsia="宋体" w:cs="宋体"/>
                <w:b w:val="0"/>
              </w:rPr>
              <w:t>838030</w:t>
            </w:r>
          </w:p>
        </w:tc>
        <w:tc>
          <w:tcPr>
            <w:tcW w:w="0" w:type="dxa"/>
          </w:tcPr>
          <w:p w14:paraId="1296399E">
            <w:pPr>
              <w:spacing w:line="240" w:lineRule="auto"/>
              <w:jc w:val="left"/>
            </w:pPr>
            <w:r>
              <w:rPr>
                <w:rFonts w:ascii="宋体" w:hAnsi="宋体" w:eastAsia="宋体" w:cs="宋体"/>
                <w:b w:val="0"/>
              </w:rPr>
              <w:t>德众汽车</w:t>
            </w:r>
          </w:p>
        </w:tc>
        <w:tc>
          <w:tcPr>
            <w:tcW w:w="0" w:type="dxa"/>
          </w:tcPr>
          <w:p w14:paraId="5778AB9F">
            <w:pPr>
              <w:spacing w:line="240" w:lineRule="auto"/>
              <w:jc w:val="right"/>
            </w:pPr>
            <w:r>
              <w:rPr>
                <w:rFonts w:ascii="宋体" w:hAnsi="宋体" w:eastAsia="宋体" w:cs="宋体"/>
                <w:b w:val="0"/>
              </w:rPr>
              <w:t>25,808</w:t>
            </w:r>
          </w:p>
        </w:tc>
        <w:tc>
          <w:tcPr>
            <w:tcW w:w="0" w:type="dxa"/>
          </w:tcPr>
          <w:p w14:paraId="1C275D21">
            <w:pPr>
              <w:spacing w:line="240" w:lineRule="auto"/>
              <w:jc w:val="right"/>
            </w:pPr>
            <w:r>
              <w:rPr>
                <w:rFonts w:ascii="宋体" w:hAnsi="宋体" w:eastAsia="宋体" w:cs="宋体"/>
                <w:b w:val="0"/>
              </w:rPr>
              <w:t>192,269.60</w:t>
            </w:r>
          </w:p>
        </w:tc>
        <w:tc>
          <w:tcPr>
            <w:tcW w:w="0" w:type="dxa"/>
          </w:tcPr>
          <w:p w14:paraId="51C80FAD">
            <w:pPr>
              <w:spacing w:line="240" w:lineRule="auto"/>
              <w:jc w:val="right"/>
            </w:pPr>
            <w:r>
              <w:rPr>
                <w:rFonts w:ascii="宋体" w:hAnsi="宋体" w:eastAsia="宋体" w:cs="宋体"/>
                <w:b w:val="0"/>
              </w:rPr>
              <w:t>1.62</w:t>
            </w:r>
          </w:p>
        </w:tc>
      </w:tr>
      <w:tr w14:paraId="7346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5D8EDC">
            <w:pPr>
              <w:spacing w:line="240" w:lineRule="auto"/>
              <w:jc w:val="center"/>
            </w:pPr>
            <w:r>
              <w:rPr>
                <w:rFonts w:ascii="宋体" w:hAnsi="宋体" w:eastAsia="宋体" w:cs="宋体"/>
                <w:b w:val="0"/>
              </w:rPr>
              <w:t>18</w:t>
            </w:r>
          </w:p>
        </w:tc>
        <w:tc>
          <w:tcPr>
            <w:tcW w:w="0" w:type="dxa"/>
          </w:tcPr>
          <w:p w14:paraId="04848F48">
            <w:pPr>
              <w:spacing w:line="240" w:lineRule="auto"/>
              <w:jc w:val="left"/>
            </w:pPr>
            <w:r>
              <w:rPr>
                <w:rFonts w:ascii="宋体" w:hAnsi="宋体" w:eastAsia="宋体" w:cs="宋体"/>
                <w:b w:val="0"/>
              </w:rPr>
              <w:t>836260</w:t>
            </w:r>
          </w:p>
        </w:tc>
        <w:tc>
          <w:tcPr>
            <w:tcW w:w="0" w:type="dxa"/>
          </w:tcPr>
          <w:p w14:paraId="402F3F74">
            <w:pPr>
              <w:spacing w:line="240" w:lineRule="auto"/>
              <w:jc w:val="left"/>
            </w:pPr>
            <w:r>
              <w:rPr>
                <w:rFonts w:ascii="宋体" w:hAnsi="宋体" w:eastAsia="宋体" w:cs="宋体"/>
                <w:b w:val="0"/>
              </w:rPr>
              <w:t>中寰股份</w:t>
            </w:r>
          </w:p>
        </w:tc>
        <w:tc>
          <w:tcPr>
            <w:tcW w:w="0" w:type="dxa"/>
          </w:tcPr>
          <w:p w14:paraId="6A2D49F8">
            <w:pPr>
              <w:spacing w:line="240" w:lineRule="auto"/>
              <w:jc w:val="right"/>
            </w:pPr>
            <w:r>
              <w:rPr>
                <w:rFonts w:ascii="宋体" w:hAnsi="宋体" w:eastAsia="宋体" w:cs="宋体"/>
                <w:b w:val="0"/>
              </w:rPr>
              <w:t>13,612</w:t>
            </w:r>
          </w:p>
        </w:tc>
        <w:tc>
          <w:tcPr>
            <w:tcW w:w="0" w:type="dxa"/>
          </w:tcPr>
          <w:p w14:paraId="689034E6">
            <w:pPr>
              <w:spacing w:line="240" w:lineRule="auto"/>
              <w:jc w:val="right"/>
            </w:pPr>
            <w:r>
              <w:rPr>
                <w:rFonts w:ascii="宋体" w:hAnsi="宋体" w:eastAsia="宋体" w:cs="宋体"/>
                <w:b w:val="0"/>
              </w:rPr>
              <w:t>192,065.32</w:t>
            </w:r>
          </w:p>
        </w:tc>
        <w:tc>
          <w:tcPr>
            <w:tcW w:w="0" w:type="dxa"/>
          </w:tcPr>
          <w:p w14:paraId="07146890">
            <w:pPr>
              <w:spacing w:line="240" w:lineRule="auto"/>
              <w:jc w:val="right"/>
            </w:pPr>
            <w:r>
              <w:rPr>
                <w:rFonts w:ascii="宋体" w:hAnsi="宋体" w:eastAsia="宋体" w:cs="宋体"/>
                <w:b w:val="0"/>
              </w:rPr>
              <w:t>1.62</w:t>
            </w:r>
          </w:p>
        </w:tc>
      </w:tr>
      <w:tr w14:paraId="61CA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E29474">
            <w:pPr>
              <w:spacing w:line="240" w:lineRule="auto"/>
              <w:jc w:val="center"/>
            </w:pPr>
            <w:r>
              <w:rPr>
                <w:rFonts w:ascii="宋体" w:hAnsi="宋体" w:eastAsia="宋体" w:cs="宋体"/>
                <w:b w:val="0"/>
              </w:rPr>
              <w:t>19</w:t>
            </w:r>
          </w:p>
        </w:tc>
        <w:tc>
          <w:tcPr>
            <w:tcW w:w="0" w:type="dxa"/>
          </w:tcPr>
          <w:p w14:paraId="0CFBF2B3">
            <w:pPr>
              <w:spacing w:line="240" w:lineRule="auto"/>
              <w:jc w:val="left"/>
            </w:pPr>
            <w:r>
              <w:rPr>
                <w:rFonts w:ascii="宋体" w:hAnsi="宋体" w:eastAsia="宋体" w:cs="宋体"/>
                <w:b w:val="0"/>
              </w:rPr>
              <w:t>831768</w:t>
            </w:r>
          </w:p>
        </w:tc>
        <w:tc>
          <w:tcPr>
            <w:tcW w:w="0" w:type="dxa"/>
          </w:tcPr>
          <w:p w14:paraId="5F1DAC6B">
            <w:pPr>
              <w:spacing w:line="240" w:lineRule="auto"/>
              <w:jc w:val="left"/>
            </w:pPr>
            <w:r>
              <w:rPr>
                <w:rFonts w:ascii="宋体" w:hAnsi="宋体" w:eastAsia="宋体" w:cs="宋体"/>
                <w:b w:val="0"/>
              </w:rPr>
              <w:t>拾比佰</w:t>
            </w:r>
          </w:p>
        </w:tc>
        <w:tc>
          <w:tcPr>
            <w:tcW w:w="0" w:type="dxa"/>
          </w:tcPr>
          <w:p w14:paraId="386B8706">
            <w:pPr>
              <w:spacing w:line="240" w:lineRule="auto"/>
              <w:jc w:val="right"/>
            </w:pPr>
            <w:r>
              <w:rPr>
                <w:rFonts w:ascii="宋体" w:hAnsi="宋体" w:eastAsia="宋体" w:cs="宋体"/>
                <w:b w:val="0"/>
              </w:rPr>
              <w:t>17,141</w:t>
            </w:r>
          </w:p>
        </w:tc>
        <w:tc>
          <w:tcPr>
            <w:tcW w:w="0" w:type="dxa"/>
          </w:tcPr>
          <w:p w14:paraId="6D57ABAB">
            <w:pPr>
              <w:spacing w:line="240" w:lineRule="auto"/>
              <w:jc w:val="right"/>
            </w:pPr>
            <w:r>
              <w:rPr>
                <w:rFonts w:ascii="宋体" w:hAnsi="宋体" w:eastAsia="宋体" w:cs="宋体"/>
                <w:b w:val="0"/>
              </w:rPr>
              <w:t>191,979.20</w:t>
            </w:r>
          </w:p>
        </w:tc>
        <w:tc>
          <w:tcPr>
            <w:tcW w:w="0" w:type="dxa"/>
          </w:tcPr>
          <w:p w14:paraId="32CD23AE">
            <w:pPr>
              <w:spacing w:line="240" w:lineRule="auto"/>
              <w:jc w:val="right"/>
            </w:pPr>
            <w:r>
              <w:rPr>
                <w:rFonts w:ascii="宋体" w:hAnsi="宋体" w:eastAsia="宋体" w:cs="宋体"/>
                <w:b w:val="0"/>
              </w:rPr>
              <w:t>1.62</w:t>
            </w:r>
          </w:p>
        </w:tc>
      </w:tr>
      <w:tr w14:paraId="681C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26F7AA">
            <w:pPr>
              <w:spacing w:line="240" w:lineRule="auto"/>
              <w:jc w:val="center"/>
            </w:pPr>
            <w:r>
              <w:rPr>
                <w:rFonts w:ascii="宋体" w:hAnsi="宋体" w:eastAsia="宋体" w:cs="宋体"/>
                <w:b w:val="0"/>
              </w:rPr>
              <w:t>20</w:t>
            </w:r>
          </w:p>
        </w:tc>
        <w:tc>
          <w:tcPr>
            <w:tcW w:w="0" w:type="dxa"/>
          </w:tcPr>
          <w:p w14:paraId="578E9AFB">
            <w:pPr>
              <w:spacing w:line="240" w:lineRule="auto"/>
              <w:jc w:val="left"/>
            </w:pPr>
            <w:r>
              <w:rPr>
                <w:rFonts w:ascii="宋体" w:hAnsi="宋体" w:eastAsia="宋体" w:cs="宋体"/>
                <w:b w:val="0"/>
              </w:rPr>
              <w:t>870508</w:t>
            </w:r>
          </w:p>
        </w:tc>
        <w:tc>
          <w:tcPr>
            <w:tcW w:w="0" w:type="dxa"/>
          </w:tcPr>
          <w:p w14:paraId="7F5E4ACA">
            <w:pPr>
              <w:spacing w:line="240" w:lineRule="auto"/>
              <w:jc w:val="left"/>
            </w:pPr>
            <w:r>
              <w:rPr>
                <w:rFonts w:ascii="宋体" w:hAnsi="宋体" w:eastAsia="宋体" w:cs="宋体"/>
                <w:b w:val="0"/>
              </w:rPr>
              <w:t>丰安股份</w:t>
            </w:r>
          </w:p>
        </w:tc>
        <w:tc>
          <w:tcPr>
            <w:tcW w:w="0" w:type="dxa"/>
          </w:tcPr>
          <w:p w14:paraId="6FCA381F">
            <w:pPr>
              <w:spacing w:line="240" w:lineRule="auto"/>
              <w:jc w:val="right"/>
            </w:pPr>
            <w:r>
              <w:rPr>
                <w:rFonts w:ascii="宋体" w:hAnsi="宋体" w:eastAsia="宋体" w:cs="宋体"/>
                <w:b w:val="0"/>
              </w:rPr>
              <w:t>9,181</w:t>
            </w:r>
          </w:p>
        </w:tc>
        <w:tc>
          <w:tcPr>
            <w:tcW w:w="0" w:type="dxa"/>
          </w:tcPr>
          <w:p w14:paraId="6ED412E6">
            <w:pPr>
              <w:spacing w:line="240" w:lineRule="auto"/>
              <w:jc w:val="right"/>
            </w:pPr>
            <w:r>
              <w:rPr>
                <w:rFonts w:ascii="宋体" w:hAnsi="宋体" w:eastAsia="宋体" w:cs="宋体"/>
                <w:b w:val="0"/>
              </w:rPr>
              <w:t>191,791.09</w:t>
            </w:r>
          </w:p>
        </w:tc>
        <w:tc>
          <w:tcPr>
            <w:tcW w:w="0" w:type="dxa"/>
          </w:tcPr>
          <w:p w14:paraId="2FA99C38">
            <w:pPr>
              <w:spacing w:line="240" w:lineRule="auto"/>
              <w:jc w:val="right"/>
            </w:pPr>
            <w:r>
              <w:rPr>
                <w:rFonts w:ascii="宋体" w:hAnsi="宋体" w:eastAsia="宋体" w:cs="宋体"/>
                <w:b w:val="0"/>
              </w:rPr>
              <w:t>1.62</w:t>
            </w:r>
          </w:p>
        </w:tc>
      </w:tr>
      <w:tr w14:paraId="102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AF3922">
            <w:pPr>
              <w:spacing w:line="240" w:lineRule="auto"/>
              <w:jc w:val="center"/>
            </w:pPr>
            <w:r>
              <w:rPr>
                <w:rFonts w:ascii="宋体" w:hAnsi="宋体" w:eastAsia="宋体" w:cs="宋体"/>
                <w:b w:val="0"/>
              </w:rPr>
              <w:t>21</w:t>
            </w:r>
          </w:p>
        </w:tc>
        <w:tc>
          <w:tcPr>
            <w:tcW w:w="0" w:type="dxa"/>
          </w:tcPr>
          <w:p w14:paraId="7716F059">
            <w:pPr>
              <w:spacing w:line="240" w:lineRule="auto"/>
              <w:jc w:val="left"/>
            </w:pPr>
            <w:r>
              <w:rPr>
                <w:rFonts w:ascii="宋体" w:hAnsi="宋体" w:eastAsia="宋体" w:cs="宋体"/>
                <w:b w:val="0"/>
              </w:rPr>
              <w:t>831726</w:t>
            </w:r>
          </w:p>
        </w:tc>
        <w:tc>
          <w:tcPr>
            <w:tcW w:w="0" w:type="dxa"/>
          </w:tcPr>
          <w:p w14:paraId="117887FB">
            <w:pPr>
              <w:spacing w:line="240" w:lineRule="auto"/>
              <w:jc w:val="left"/>
            </w:pPr>
            <w:r>
              <w:rPr>
                <w:rFonts w:ascii="宋体" w:hAnsi="宋体" w:eastAsia="宋体" w:cs="宋体"/>
                <w:b w:val="0"/>
              </w:rPr>
              <w:t>朱老六</w:t>
            </w:r>
          </w:p>
        </w:tc>
        <w:tc>
          <w:tcPr>
            <w:tcW w:w="0" w:type="dxa"/>
          </w:tcPr>
          <w:p w14:paraId="43EC3709">
            <w:pPr>
              <w:spacing w:line="240" w:lineRule="auto"/>
              <w:jc w:val="right"/>
            </w:pPr>
            <w:r>
              <w:rPr>
                <w:rFonts w:ascii="宋体" w:hAnsi="宋体" w:eastAsia="宋体" w:cs="宋体"/>
                <w:b w:val="0"/>
              </w:rPr>
              <w:t>8,927</w:t>
            </w:r>
          </w:p>
        </w:tc>
        <w:tc>
          <w:tcPr>
            <w:tcW w:w="0" w:type="dxa"/>
          </w:tcPr>
          <w:p w14:paraId="1C3FC578">
            <w:pPr>
              <w:spacing w:line="240" w:lineRule="auto"/>
              <w:jc w:val="right"/>
            </w:pPr>
            <w:r>
              <w:rPr>
                <w:rFonts w:ascii="宋体" w:hAnsi="宋体" w:eastAsia="宋体" w:cs="宋体"/>
                <w:b w:val="0"/>
              </w:rPr>
              <w:t>191,751.96</w:t>
            </w:r>
          </w:p>
        </w:tc>
        <w:tc>
          <w:tcPr>
            <w:tcW w:w="0" w:type="dxa"/>
          </w:tcPr>
          <w:p w14:paraId="70CE5165">
            <w:pPr>
              <w:spacing w:line="240" w:lineRule="auto"/>
              <w:jc w:val="right"/>
            </w:pPr>
            <w:r>
              <w:rPr>
                <w:rFonts w:ascii="宋体" w:hAnsi="宋体" w:eastAsia="宋体" w:cs="宋体"/>
                <w:b w:val="0"/>
              </w:rPr>
              <w:t>1.62</w:t>
            </w:r>
          </w:p>
        </w:tc>
      </w:tr>
      <w:tr w14:paraId="5B3F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D041CE">
            <w:pPr>
              <w:spacing w:line="240" w:lineRule="auto"/>
              <w:jc w:val="center"/>
            </w:pPr>
            <w:r>
              <w:rPr>
                <w:rFonts w:ascii="宋体" w:hAnsi="宋体" w:eastAsia="宋体" w:cs="宋体"/>
                <w:b w:val="0"/>
              </w:rPr>
              <w:t>22</w:t>
            </w:r>
          </w:p>
        </w:tc>
        <w:tc>
          <w:tcPr>
            <w:tcW w:w="0" w:type="dxa"/>
          </w:tcPr>
          <w:p w14:paraId="3F3D2251">
            <w:pPr>
              <w:spacing w:line="240" w:lineRule="auto"/>
              <w:jc w:val="left"/>
            </w:pPr>
            <w:r>
              <w:rPr>
                <w:rFonts w:ascii="宋体" w:hAnsi="宋体" w:eastAsia="宋体" w:cs="宋体"/>
                <w:b w:val="0"/>
              </w:rPr>
              <w:t>838701</w:t>
            </w:r>
          </w:p>
        </w:tc>
        <w:tc>
          <w:tcPr>
            <w:tcW w:w="0" w:type="dxa"/>
          </w:tcPr>
          <w:p w14:paraId="45D9476B">
            <w:pPr>
              <w:spacing w:line="240" w:lineRule="auto"/>
              <w:jc w:val="left"/>
            </w:pPr>
            <w:r>
              <w:rPr>
                <w:rFonts w:ascii="宋体" w:hAnsi="宋体" w:eastAsia="宋体" w:cs="宋体"/>
                <w:b w:val="0"/>
              </w:rPr>
              <w:t>豪声电子</w:t>
            </w:r>
          </w:p>
        </w:tc>
        <w:tc>
          <w:tcPr>
            <w:tcW w:w="0" w:type="dxa"/>
          </w:tcPr>
          <w:p w14:paraId="6091B975">
            <w:pPr>
              <w:spacing w:line="240" w:lineRule="auto"/>
              <w:jc w:val="right"/>
            </w:pPr>
            <w:r>
              <w:rPr>
                <w:rFonts w:ascii="宋体" w:hAnsi="宋体" w:eastAsia="宋体" w:cs="宋体"/>
                <w:b w:val="0"/>
              </w:rPr>
              <w:t>9,127</w:t>
            </w:r>
          </w:p>
        </w:tc>
        <w:tc>
          <w:tcPr>
            <w:tcW w:w="0" w:type="dxa"/>
          </w:tcPr>
          <w:p w14:paraId="11087B6A">
            <w:pPr>
              <w:spacing w:line="240" w:lineRule="auto"/>
              <w:jc w:val="right"/>
            </w:pPr>
            <w:r>
              <w:rPr>
                <w:rFonts w:ascii="宋体" w:hAnsi="宋体" w:eastAsia="宋体" w:cs="宋体"/>
                <w:b w:val="0"/>
              </w:rPr>
              <w:t>191,667.00</w:t>
            </w:r>
          </w:p>
        </w:tc>
        <w:tc>
          <w:tcPr>
            <w:tcW w:w="0" w:type="dxa"/>
          </w:tcPr>
          <w:p w14:paraId="0D18E131">
            <w:pPr>
              <w:spacing w:line="240" w:lineRule="auto"/>
              <w:jc w:val="right"/>
            </w:pPr>
            <w:r>
              <w:rPr>
                <w:rFonts w:ascii="宋体" w:hAnsi="宋体" w:eastAsia="宋体" w:cs="宋体"/>
                <w:b w:val="0"/>
              </w:rPr>
              <w:t>1.62</w:t>
            </w:r>
          </w:p>
        </w:tc>
      </w:tr>
      <w:tr w14:paraId="4E4B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EEE942">
            <w:pPr>
              <w:spacing w:line="240" w:lineRule="auto"/>
              <w:jc w:val="center"/>
            </w:pPr>
            <w:r>
              <w:rPr>
                <w:rFonts w:ascii="宋体" w:hAnsi="宋体" w:eastAsia="宋体" w:cs="宋体"/>
                <w:b w:val="0"/>
              </w:rPr>
              <w:t>23</w:t>
            </w:r>
          </w:p>
        </w:tc>
        <w:tc>
          <w:tcPr>
            <w:tcW w:w="0" w:type="dxa"/>
          </w:tcPr>
          <w:p w14:paraId="229661E9">
            <w:pPr>
              <w:spacing w:line="240" w:lineRule="auto"/>
              <w:jc w:val="left"/>
            </w:pPr>
            <w:r>
              <w:rPr>
                <w:rFonts w:ascii="宋体" w:hAnsi="宋体" w:eastAsia="宋体" w:cs="宋体"/>
                <w:b w:val="0"/>
              </w:rPr>
              <w:t>871694</w:t>
            </w:r>
          </w:p>
        </w:tc>
        <w:tc>
          <w:tcPr>
            <w:tcW w:w="0" w:type="dxa"/>
          </w:tcPr>
          <w:p w14:paraId="608EA1D1">
            <w:pPr>
              <w:spacing w:line="240" w:lineRule="auto"/>
              <w:jc w:val="left"/>
            </w:pPr>
            <w:r>
              <w:rPr>
                <w:rFonts w:ascii="宋体" w:hAnsi="宋体" w:eastAsia="宋体" w:cs="宋体"/>
                <w:b w:val="0"/>
              </w:rPr>
              <w:t>中裕科技</w:t>
            </w:r>
          </w:p>
        </w:tc>
        <w:tc>
          <w:tcPr>
            <w:tcW w:w="0" w:type="dxa"/>
          </w:tcPr>
          <w:p w14:paraId="3E00728E">
            <w:pPr>
              <w:spacing w:line="240" w:lineRule="auto"/>
              <w:jc w:val="right"/>
            </w:pPr>
            <w:r>
              <w:rPr>
                <w:rFonts w:ascii="宋体" w:hAnsi="宋体" w:eastAsia="宋体" w:cs="宋体"/>
                <w:b w:val="0"/>
              </w:rPr>
              <w:t>10,004</w:t>
            </w:r>
          </w:p>
        </w:tc>
        <w:tc>
          <w:tcPr>
            <w:tcW w:w="0" w:type="dxa"/>
          </w:tcPr>
          <w:p w14:paraId="66E20043">
            <w:pPr>
              <w:spacing w:line="240" w:lineRule="auto"/>
              <w:jc w:val="right"/>
            </w:pPr>
            <w:r>
              <w:rPr>
                <w:rFonts w:ascii="宋体" w:hAnsi="宋体" w:eastAsia="宋体" w:cs="宋体"/>
                <w:b w:val="0"/>
              </w:rPr>
              <w:t>191,076.40</w:t>
            </w:r>
          </w:p>
        </w:tc>
        <w:tc>
          <w:tcPr>
            <w:tcW w:w="0" w:type="dxa"/>
          </w:tcPr>
          <w:p w14:paraId="150DB83E">
            <w:pPr>
              <w:spacing w:line="240" w:lineRule="auto"/>
              <w:jc w:val="right"/>
            </w:pPr>
            <w:r>
              <w:rPr>
                <w:rFonts w:ascii="宋体" w:hAnsi="宋体" w:eastAsia="宋体" w:cs="宋体"/>
                <w:b w:val="0"/>
              </w:rPr>
              <w:t>1.61</w:t>
            </w:r>
          </w:p>
        </w:tc>
      </w:tr>
      <w:tr w14:paraId="519F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993362">
            <w:pPr>
              <w:spacing w:line="240" w:lineRule="auto"/>
              <w:jc w:val="center"/>
            </w:pPr>
            <w:r>
              <w:rPr>
                <w:rFonts w:ascii="宋体" w:hAnsi="宋体" w:eastAsia="宋体" w:cs="宋体"/>
                <w:b w:val="0"/>
              </w:rPr>
              <w:t>24</w:t>
            </w:r>
          </w:p>
        </w:tc>
        <w:tc>
          <w:tcPr>
            <w:tcW w:w="0" w:type="dxa"/>
          </w:tcPr>
          <w:p w14:paraId="4B454CDC">
            <w:pPr>
              <w:spacing w:line="240" w:lineRule="auto"/>
              <w:jc w:val="left"/>
            </w:pPr>
            <w:r>
              <w:rPr>
                <w:rFonts w:ascii="宋体" w:hAnsi="宋体" w:eastAsia="宋体" w:cs="宋体"/>
                <w:b w:val="0"/>
              </w:rPr>
              <w:t>832651</w:t>
            </w:r>
          </w:p>
        </w:tc>
        <w:tc>
          <w:tcPr>
            <w:tcW w:w="0" w:type="dxa"/>
          </w:tcPr>
          <w:p w14:paraId="7E6752DF">
            <w:pPr>
              <w:spacing w:line="240" w:lineRule="auto"/>
              <w:jc w:val="left"/>
            </w:pPr>
            <w:r>
              <w:rPr>
                <w:rFonts w:ascii="宋体" w:hAnsi="宋体" w:eastAsia="宋体" w:cs="宋体"/>
                <w:b w:val="0"/>
              </w:rPr>
              <w:t>天罡股份</w:t>
            </w:r>
          </w:p>
        </w:tc>
        <w:tc>
          <w:tcPr>
            <w:tcW w:w="0" w:type="dxa"/>
          </w:tcPr>
          <w:p w14:paraId="590F7BC3">
            <w:pPr>
              <w:spacing w:line="240" w:lineRule="auto"/>
              <w:jc w:val="right"/>
            </w:pPr>
            <w:r>
              <w:rPr>
                <w:rFonts w:ascii="宋体" w:hAnsi="宋体" w:eastAsia="宋体" w:cs="宋体"/>
                <w:b w:val="0"/>
              </w:rPr>
              <w:t>6,219</w:t>
            </w:r>
          </w:p>
        </w:tc>
        <w:tc>
          <w:tcPr>
            <w:tcW w:w="0" w:type="dxa"/>
          </w:tcPr>
          <w:p w14:paraId="3941E244">
            <w:pPr>
              <w:spacing w:line="240" w:lineRule="auto"/>
              <w:jc w:val="right"/>
            </w:pPr>
            <w:r>
              <w:rPr>
                <w:rFonts w:ascii="宋体" w:hAnsi="宋体" w:eastAsia="宋体" w:cs="宋体"/>
                <w:b w:val="0"/>
              </w:rPr>
              <w:t>190,923.30</w:t>
            </w:r>
          </w:p>
        </w:tc>
        <w:tc>
          <w:tcPr>
            <w:tcW w:w="0" w:type="dxa"/>
          </w:tcPr>
          <w:p w14:paraId="6B4FA6AA">
            <w:pPr>
              <w:spacing w:line="240" w:lineRule="auto"/>
              <w:jc w:val="right"/>
            </w:pPr>
            <w:r>
              <w:rPr>
                <w:rFonts w:ascii="宋体" w:hAnsi="宋体" w:eastAsia="宋体" w:cs="宋体"/>
                <w:b w:val="0"/>
              </w:rPr>
              <w:t>1.61</w:t>
            </w:r>
          </w:p>
        </w:tc>
      </w:tr>
      <w:tr w14:paraId="5B34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4EB0BB">
            <w:pPr>
              <w:spacing w:line="240" w:lineRule="auto"/>
              <w:jc w:val="center"/>
            </w:pPr>
            <w:r>
              <w:rPr>
                <w:rFonts w:ascii="宋体" w:hAnsi="宋体" w:eastAsia="宋体" w:cs="宋体"/>
                <w:b w:val="0"/>
              </w:rPr>
              <w:t>25</w:t>
            </w:r>
          </w:p>
        </w:tc>
        <w:tc>
          <w:tcPr>
            <w:tcW w:w="0" w:type="dxa"/>
          </w:tcPr>
          <w:p w14:paraId="3CA4DB39">
            <w:pPr>
              <w:spacing w:line="240" w:lineRule="auto"/>
              <w:jc w:val="left"/>
            </w:pPr>
            <w:r>
              <w:rPr>
                <w:rFonts w:ascii="宋体" w:hAnsi="宋体" w:eastAsia="宋体" w:cs="宋体"/>
                <w:b w:val="0"/>
              </w:rPr>
              <w:t>835857</w:t>
            </w:r>
          </w:p>
        </w:tc>
        <w:tc>
          <w:tcPr>
            <w:tcW w:w="0" w:type="dxa"/>
          </w:tcPr>
          <w:p w14:paraId="0B6AC9D7">
            <w:pPr>
              <w:spacing w:line="240" w:lineRule="auto"/>
              <w:jc w:val="left"/>
            </w:pPr>
            <w:r>
              <w:rPr>
                <w:rFonts w:ascii="宋体" w:hAnsi="宋体" w:eastAsia="宋体" w:cs="宋体"/>
                <w:b w:val="0"/>
              </w:rPr>
              <w:t>百甲科技</w:t>
            </w:r>
          </w:p>
        </w:tc>
        <w:tc>
          <w:tcPr>
            <w:tcW w:w="0" w:type="dxa"/>
          </w:tcPr>
          <w:p w14:paraId="7AFBDE57">
            <w:pPr>
              <w:spacing w:line="240" w:lineRule="auto"/>
              <w:jc w:val="right"/>
            </w:pPr>
            <w:r>
              <w:rPr>
                <w:rFonts w:ascii="宋体" w:hAnsi="宋体" w:eastAsia="宋体" w:cs="宋体"/>
                <w:b w:val="0"/>
              </w:rPr>
              <w:t>26,851</w:t>
            </w:r>
          </w:p>
        </w:tc>
        <w:tc>
          <w:tcPr>
            <w:tcW w:w="0" w:type="dxa"/>
          </w:tcPr>
          <w:p w14:paraId="053B6C9B">
            <w:pPr>
              <w:spacing w:line="240" w:lineRule="auto"/>
              <w:jc w:val="right"/>
            </w:pPr>
            <w:r>
              <w:rPr>
                <w:rFonts w:ascii="宋体" w:hAnsi="宋体" w:eastAsia="宋体" w:cs="宋体"/>
                <w:b w:val="0"/>
              </w:rPr>
              <w:t>190,910.61</w:t>
            </w:r>
          </w:p>
        </w:tc>
        <w:tc>
          <w:tcPr>
            <w:tcW w:w="0" w:type="dxa"/>
          </w:tcPr>
          <w:p w14:paraId="26F8EDD4">
            <w:pPr>
              <w:spacing w:line="240" w:lineRule="auto"/>
              <w:jc w:val="right"/>
            </w:pPr>
            <w:r>
              <w:rPr>
                <w:rFonts w:ascii="宋体" w:hAnsi="宋体" w:eastAsia="宋体" w:cs="宋体"/>
                <w:b w:val="0"/>
              </w:rPr>
              <w:t>1.61</w:t>
            </w:r>
          </w:p>
        </w:tc>
      </w:tr>
      <w:tr w14:paraId="621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8797F2">
            <w:pPr>
              <w:spacing w:line="240" w:lineRule="auto"/>
              <w:jc w:val="center"/>
            </w:pPr>
            <w:r>
              <w:rPr>
                <w:rFonts w:ascii="宋体" w:hAnsi="宋体" w:eastAsia="宋体" w:cs="宋体"/>
                <w:b w:val="0"/>
              </w:rPr>
              <w:t>26</w:t>
            </w:r>
          </w:p>
        </w:tc>
        <w:tc>
          <w:tcPr>
            <w:tcW w:w="0" w:type="dxa"/>
          </w:tcPr>
          <w:p w14:paraId="30FA8083">
            <w:pPr>
              <w:spacing w:line="240" w:lineRule="auto"/>
              <w:jc w:val="left"/>
            </w:pPr>
            <w:r>
              <w:rPr>
                <w:rFonts w:ascii="宋体" w:hAnsi="宋体" w:eastAsia="宋体" w:cs="宋体"/>
                <w:b w:val="0"/>
              </w:rPr>
              <w:t>871857</w:t>
            </w:r>
          </w:p>
        </w:tc>
        <w:tc>
          <w:tcPr>
            <w:tcW w:w="0" w:type="dxa"/>
          </w:tcPr>
          <w:p w14:paraId="4CE53565">
            <w:pPr>
              <w:spacing w:line="240" w:lineRule="auto"/>
              <w:jc w:val="left"/>
            </w:pPr>
            <w:r>
              <w:rPr>
                <w:rFonts w:ascii="宋体" w:hAnsi="宋体" w:eastAsia="宋体" w:cs="宋体"/>
                <w:b w:val="0"/>
              </w:rPr>
              <w:t>泓禧科技</w:t>
            </w:r>
          </w:p>
        </w:tc>
        <w:tc>
          <w:tcPr>
            <w:tcW w:w="0" w:type="dxa"/>
          </w:tcPr>
          <w:p w14:paraId="6E033865">
            <w:pPr>
              <w:spacing w:line="240" w:lineRule="auto"/>
              <w:jc w:val="right"/>
            </w:pPr>
            <w:r>
              <w:rPr>
                <w:rFonts w:ascii="宋体" w:hAnsi="宋体" w:eastAsia="宋体" w:cs="宋体"/>
                <w:b w:val="0"/>
              </w:rPr>
              <w:t>9,582</w:t>
            </w:r>
          </w:p>
        </w:tc>
        <w:tc>
          <w:tcPr>
            <w:tcW w:w="0" w:type="dxa"/>
          </w:tcPr>
          <w:p w14:paraId="59A6B994">
            <w:pPr>
              <w:spacing w:line="240" w:lineRule="auto"/>
              <w:jc w:val="right"/>
            </w:pPr>
            <w:r>
              <w:rPr>
                <w:rFonts w:ascii="宋体" w:hAnsi="宋体" w:eastAsia="宋体" w:cs="宋体"/>
                <w:b w:val="0"/>
              </w:rPr>
              <w:t>190,681.80</w:t>
            </w:r>
          </w:p>
        </w:tc>
        <w:tc>
          <w:tcPr>
            <w:tcW w:w="0" w:type="dxa"/>
          </w:tcPr>
          <w:p w14:paraId="12E3EA73">
            <w:pPr>
              <w:spacing w:line="240" w:lineRule="auto"/>
              <w:jc w:val="right"/>
            </w:pPr>
            <w:r>
              <w:rPr>
                <w:rFonts w:ascii="宋体" w:hAnsi="宋体" w:eastAsia="宋体" w:cs="宋体"/>
                <w:b w:val="0"/>
              </w:rPr>
              <w:t>1.61</w:t>
            </w:r>
          </w:p>
        </w:tc>
      </w:tr>
      <w:tr w14:paraId="27BD0E29">
        <w:tblPrEx>
          <w:tblCellMar>
            <w:top w:w="0" w:type="dxa"/>
            <w:left w:w="108" w:type="dxa"/>
            <w:bottom w:w="0" w:type="dxa"/>
            <w:right w:w="108" w:type="dxa"/>
          </w:tblCellMar>
        </w:tblPrEx>
        <w:tc>
          <w:tcPr>
            <w:tcW w:w="0" w:type="dxa"/>
          </w:tcPr>
          <w:p w14:paraId="69CC2D0C">
            <w:pPr>
              <w:spacing w:line="240" w:lineRule="auto"/>
              <w:jc w:val="center"/>
            </w:pPr>
            <w:r>
              <w:rPr>
                <w:rFonts w:ascii="宋体" w:hAnsi="宋体" w:eastAsia="宋体" w:cs="宋体"/>
                <w:b w:val="0"/>
              </w:rPr>
              <w:t>27</w:t>
            </w:r>
          </w:p>
        </w:tc>
        <w:tc>
          <w:tcPr>
            <w:tcW w:w="0" w:type="dxa"/>
          </w:tcPr>
          <w:p w14:paraId="6C1E548D">
            <w:pPr>
              <w:spacing w:line="240" w:lineRule="auto"/>
              <w:jc w:val="left"/>
            </w:pPr>
            <w:r>
              <w:rPr>
                <w:rFonts w:ascii="宋体" w:hAnsi="宋体" w:eastAsia="宋体" w:cs="宋体"/>
                <w:b w:val="0"/>
              </w:rPr>
              <w:t>836675</w:t>
            </w:r>
          </w:p>
        </w:tc>
        <w:tc>
          <w:tcPr>
            <w:tcW w:w="0" w:type="dxa"/>
          </w:tcPr>
          <w:p w14:paraId="23C188C4">
            <w:pPr>
              <w:spacing w:line="240" w:lineRule="auto"/>
              <w:jc w:val="left"/>
            </w:pPr>
            <w:r>
              <w:rPr>
                <w:rFonts w:ascii="宋体" w:hAnsi="宋体" w:eastAsia="宋体" w:cs="宋体"/>
                <w:b w:val="0"/>
              </w:rPr>
              <w:t>秉扬科技</w:t>
            </w:r>
          </w:p>
        </w:tc>
        <w:tc>
          <w:tcPr>
            <w:tcW w:w="0" w:type="dxa"/>
          </w:tcPr>
          <w:p w14:paraId="486E0A9B">
            <w:pPr>
              <w:spacing w:line="240" w:lineRule="auto"/>
              <w:jc w:val="right"/>
            </w:pPr>
            <w:r>
              <w:rPr>
                <w:rFonts w:ascii="宋体" w:hAnsi="宋体" w:eastAsia="宋体" w:cs="宋体"/>
                <w:b w:val="0"/>
              </w:rPr>
              <w:t>14,723</w:t>
            </w:r>
          </w:p>
        </w:tc>
        <w:tc>
          <w:tcPr>
            <w:tcW w:w="0" w:type="dxa"/>
          </w:tcPr>
          <w:p w14:paraId="6F8B4FDF">
            <w:pPr>
              <w:spacing w:line="240" w:lineRule="auto"/>
              <w:jc w:val="right"/>
            </w:pPr>
            <w:r>
              <w:rPr>
                <w:rFonts w:ascii="宋体" w:hAnsi="宋体" w:eastAsia="宋体" w:cs="宋体"/>
                <w:b w:val="0"/>
              </w:rPr>
              <w:t>190,662.85</w:t>
            </w:r>
          </w:p>
        </w:tc>
        <w:tc>
          <w:tcPr>
            <w:tcW w:w="0" w:type="dxa"/>
          </w:tcPr>
          <w:p w14:paraId="46D90F57">
            <w:pPr>
              <w:spacing w:line="240" w:lineRule="auto"/>
              <w:jc w:val="right"/>
            </w:pPr>
            <w:r>
              <w:rPr>
                <w:rFonts w:ascii="宋体" w:hAnsi="宋体" w:eastAsia="宋体" w:cs="宋体"/>
                <w:b w:val="0"/>
              </w:rPr>
              <w:t>1.61</w:t>
            </w:r>
          </w:p>
        </w:tc>
      </w:tr>
      <w:tr w14:paraId="459C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15CB6D">
            <w:pPr>
              <w:spacing w:line="240" w:lineRule="auto"/>
              <w:jc w:val="center"/>
            </w:pPr>
            <w:r>
              <w:rPr>
                <w:rFonts w:ascii="宋体" w:hAnsi="宋体" w:eastAsia="宋体" w:cs="宋体"/>
                <w:b w:val="0"/>
              </w:rPr>
              <w:t>28</w:t>
            </w:r>
          </w:p>
        </w:tc>
        <w:tc>
          <w:tcPr>
            <w:tcW w:w="0" w:type="dxa"/>
          </w:tcPr>
          <w:p w14:paraId="739BA671">
            <w:pPr>
              <w:spacing w:line="240" w:lineRule="auto"/>
              <w:jc w:val="left"/>
            </w:pPr>
            <w:r>
              <w:rPr>
                <w:rFonts w:ascii="宋体" w:hAnsi="宋体" w:eastAsia="宋体" w:cs="宋体"/>
                <w:b w:val="0"/>
              </w:rPr>
              <w:t>834950</w:t>
            </w:r>
          </w:p>
        </w:tc>
        <w:tc>
          <w:tcPr>
            <w:tcW w:w="0" w:type="dxa"/>
          </w:tcPr>
          <w:p w14:paraId="5820B7A0">
            <w:pPr>
              <w:spacing w:line="240" w:lineRule="auto"/>
              <w:jc w:val="left"/>
            </w:pPr>
            <w:r>
              <w:rPr>
                <w:rFonts w:ascii="宋体" w:hAnsi="宋体" w:eastAsia="宋体" w:cs="宋体"/>
                <w:b w:val="0"/>
              </w:rPr>
              <w:t>迅安科技</w:t>
            </w:r>
          </w:p>
        </w:tc>
        <w:tc>
          <w:tcPr>
            <w:tcW w:w="0" w:type="dxa"/>
          </w:tcPr>
          <w:p w14:paraId="36C03942">
            <w:pPr>
              <w:spacing w:line="240" w:lineRule="auto"/>
              <w:jc w:val="right"/>
            </w:pPr>
            <w:r>
              <w:rPr>
                <w:rFonts w:ascii="宋体" w:hAnsi="宋体" w:eastAsia="宋体" w:cs="宋体"/>
                <w:b w:val="0"/>
              </w:rPr>
              <w:t>9,799</w:t>
            </w:r>
          </w:p>
        </w:tc>
        <w:tc>
          <w:tcPr>
            <w:tcW w:w="0" w:type="dxa"/>
          </w:tcPr>
          <w:p w14:paraId="30F21611">
            <w:pPr>
              <w:spacing w:line="240" w:lineRule="auto"/>
              <w:jc w:val="right"/>
            </w:pPr>
            <w:r>
              <w:rPr>
                <w:rFonts w:ascii="宋体" w:hAnsi="宋体" w:eastAsia="宋体" w:cs="宋体"/>
                <w:b w:val="0"/>
              </w:rPr>
              <w:t>190,100.60</w:t>
            </w:r>
          </w:p>
        </w:tc>
        <w:tc>
          <w:tcPr>
            <w:tcW w:w="0" w:type="dxa"/>
          </w:tcPr>
          <w:p w14:paraId="4CD3CD25">
            <w:pPr>
              <w:spacing w:line="240" w:lineRule="auto"/>
              <w:jc w:val="right"/>
            </w:pPr>
            <w:r>
              <w:rPr>
                <w:rFonts w:ascii="宋体" w:hAnsi="宋体" w:eastAsia="宋体" w:cs="宋体"/>
                <w:b w:val="0"/>
              </w:rPr>
              <w:t>1.61</w:t>
            </w:r>
          </w:p>
        </w:tc>
      </w:tr>
      <w:tr w14:paraId="4E09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23E1D1">
            <w:pPr>
              <w:spacing w:line="240" w:lineRule="auto"/>
              <w:jc w:val="center"/>
            </w:pPr>
            <w:r>
              <w:rPr>
                <w:rFonts w:ascii="宋体" w:hAnsi="宋体" w:eastAsia="宋体" w:cs="宋体"/>
                <w:b w:val="0"/>
              </w:rPr>
              <w:t>29</w:t>
            </w:r>
          </w:p>
        </w:tc>
        <w:tc>
          <w:tcPr>
            <w:tcW w:w="0" w:type="dxa"/>
          </w:tcPr>
          <w:p w14:paraId="2A9078FB">
            <w:pPr>
              <w:spacing w:line="240" w:lineRule="auto"/>
              <w:jc w:val="left"/>
            </w:pPr>
            <w:r>
              <w:rPr>
                <w:rFonts w:ascii="宋体" w:hAnsi="宋体" w:eastAsia="宋体" w:cs="宋体"/>
                <w:b w:val="0"/>
              </w:rPr>
              <w:t>834014</w:t>
            </w:r>
          </w:p>
        </w:tc>
        <w:tc>
          <w:tcPr>
            <w:tcW w:w="0" w:type="dxa"/>
          </w:tcPr>
          <w:p w14:paraId="32A25F25">
            <w:pPr>
              <w:spacing w:line="240" w:lineRule="auto"/>
              <w:jc w:val="left"/>
            </w:pPr>
            <w:r>
              <w:rPr>
                <w:rFonts w:ascii="宋体" w:hAnsi="宋体" w:eastAsia="宋体" w:cs="宋体"/>
                <w:b w:val="0"/>
              </w:rPr>
              <w:t>特瑞斯</w:t>
            </w:r>
          </w:p>
        </w:tc>
        <w:tc>
          <w:tcPr>
            <w:tcW w:w="0" w:type="dxa"/>
          </w:tcPr>
          <w:p w14:paraId="4B236A3B">
            <w:pPr>
              <w:spacing w:line="240" w:lineRule="auto"/>
              <w:jc w:val="right"/>
            </w:pPr>
            <w:r>
              <w:rPr>
                <w:rFonts w:ascii="宋体" w:hAnsi="宋体" w:eastAsia="宋体" w:cs="宋体"/>
                <w:b w:val="0"/>
              </w:rPr>
              <w:t>13,320</w:t>
            </w:r>
          </w:p>
        </w:tc>
        <w:tc>
          <w:tcPr>
            <w:tcW w:w="0" w:type="dxa"/>
          </w:tcPr>
          <w:p w14:paraId="35CF34A5">
            <w:pPr>
              <w:spacing w:line="240" w:lineRule="auto"/>
              <w:jc w:val="right"/>
            </w:pPr>
            <w:r>
              <w:rPr>
                <w:rFonts w:ascii="宋体" w:hAnsi="宋体" w:eastAsia="宋体" w:cs="宋体"/>
                <w:b w:val="0"/>
              </w:rPr>
              <w:t>189,810.00</w:t>
            </w:r>
          </w:p>
        </w:tc>
        <w:tc>
          <w:tcPr>
            <w:tcW w:w="0" w:type="dxa"/>
          </w:tcPr>
          <w:p w14:paraId="2DFC9B8F">
            <w:pPr>
              <w:spacing w:line="240" w:lineRule="auto"/>
              <w:jc w:val="right"/>
            </w:pPr>
            <w:r>
              <w:rPr>
                <w:rFonts w:ascii="宋体" w:hAnsi="宋体" w:eastAsia="宋体" w:cs="宋体"/>
                <w:b w:val="0"/>
              </w:rPr>
              <w:t>1.60</w:t>
            </w:r>
          </w:p>
        </w:tc>
      </w:tr>
      <w:tr w14:paraId="054E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E5305E">
            <w:pPr>
              <w:spacing w:line="240" w:lineRule="auto"/>
              <w:jc w:val="center"/>
            </w:pPr>
            <w:r>
              <w:rPr>
                <w:rFonts w:ascii="宋体" w:hAnsi="宋体" w:eastAsia="宋体" w:cs="宋体"/>
                <w:b w:val="0"/>
              </w:rPr>
              <w:t>30</w:t>
            </w:r>
          </w:p>
        </w:tc>
        <w:tc>
          <w:tcPr>
            <w:tcW w:w="0" w:type="dxa"/>
          </w:tcPr>
          <w:p w14:paraId="307C0236">
            <w:pPr>
              <w:spacing w:line="240" w:lineRule="auto"/>
              <w:jc w:val="left"/>
            </w:pPr>
            <w:r>
              <w:rPr>
                <w:rFonts w:ascii="宋体" w:hAnsi="宋体" w:eastAsia="宋体" w:cs="宋体"/>
                <w:b w:val="0"/>
              </w:rPr>
              <w:t>833523</w:t>
            </w:r>
          </w:p>
        </w:tc>
        <w:tc>
          <w:tcPr>
            <w:tcW w:w="0" w:type="dxa"/>
          </w:tcPr>
          <w:p w14:paraId="29E3F053">
            <w:pPr>
              <w:spacing w:line="240" w:lineRule="auto"/>
              <w:jc w:val="left"/>
            </w:pPr>
            <w:r>
              <w:rPr>
                <w:rFonts w:ascii="宋体" w:hAnsi="宋体" w:eastAsia="宋体" w:cs="宋体"/>
                <w:b w:val="0"/>
              </w:rPr>
              <w:t>德瑞锂电</w:t>
            </w:r>
          </w:p>
        </w:tc>
        <w:tc>
          <w:tcPr>
            <w:tcW w:w="0" w:type="dxa"/>
          </w:tcPr>
          <w:p w14:paraId="322BE9FA">
            <w:pPr>
              <w:spacing w:line="240" w:lineRule="auto"/>
              <w:jc w:val="right"/>
            </w:pPr>
            <w:r>
              <w:rPr>
                <w:rFonts w:ascii="宋体" w:hAnsi="宋体" w:eastAsia="宋体" w:cs="宋体"/>
                <w:b w:val="0"/>
              </w:rPr>
              <w:t>7,215</w:t>
            </w:r>
          </w:p>
        </w:tc>
        <w:tc>
          <w:tcPr>
            <w:tcW w:w="0" w:type="dxa"/>
          </w:tcPr>
          <w:p w14:paraId="42CA87F0">
            <w:pPr>
              <w:spacing w:line="240" w:lineRule="auto"/>
              <w:jc w:val="right"/>
            </w:pPr>
            <w:r>
              <w:rPr>
                <w:rFonts w:ascii="宋体" w:hAnsi="宋体" w:eastAsia="宋体" w:cs="宋体"/>
                <w:b w:val="0"/>
              </w:rPr>
              <w:t>189,682.35</w:t>
            </w:r>
          </w:p>
        </w:tc>
        <w:tc>
          <w:tcPr>
            <w:tcW w:w="0" w:type="dxa"/>
          </w:tcPr>
          <w:p w14:paraId="26261351">
            <w:pPr>
              <w:spacing w:line="240" w:lineRule="auto"/>
              <w:jc w:val="right"/>
            </w:pPr>
            <w:r>
              <w:rPr>
                <w:rFonts w:ascii="宋体" w:hAnsi="宋体" w:eastAsia="宋体" w:cs="宋体"/>
                <w:b w:val="0"/>
              </w:rPr>
              <w:t>1.60</w:t>
            </w:r>
          </w:p>
        </w:tc>
      </w:tr>
      <w:tr w14:paraId="54D2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81F973">
            <w:pPr>
              <w:spacing w:line="240" w:lineRule="auto"/>
              <w:jc w:val="center"/>
            </w:pPr>
            <w:r>
              <w:rPr>
                <w:rFonts w:ascii="宋体" w:hAnsi="宋体" w:eastAsia="宋体" w:cs="宋体"/>
                <w:b w:val="0"/>
              </w:rPr>
              <w:t>31</w:t>
            </w:r>
          </w:p>
        </w:tc>
        <w:tc>
          <w:tcPr>
            <w:tcW w:w="0" w:type="dxa"/>
          </w:tcPr>
          <w:p w14:paraId="2E00557E">
            <w:pPr>
              <w:spacing w:line="240" w:lineRule="auto"/>
              <w:jc w:val="left"/>
            </w:pPr>
            <w:r>
              <w:rPr>
                <w:rFonts w:ascii="宋体" w:hAnsi="宋体" w:eastAsia="宋体" w:cs="宋体"/>
                <w:b w:val="0"/>
              </w:rPr>
              <w:t>836699</w:t>
            </w:r>
          </w:p>
        </w:tc>
        <w:tc>
          <w:tcPr>
            <w:tcW w:w="0" w:type="dxa"/>
          </w:tcPr>
          <w:p w14:paraId="2E7ED478">
            <w:pPr>
              <w:spacing w:line="240" w:lineRule="auto"/>
              <w:jc w:val="left"/>
            </w:pPr>
            <w:r>
              <w:rPr>
                <w:rFonts w:ascii="宋体" w:hAnsi="宋体" w:eastAsia="宋体" w:cs="宋体"/>
                <w:b w:val="0"/>
              </w:rPr>
              <w:t>海达尔</w:t>
            </w:r>
          </w:p>
        </w:tc>
        <w:tc>
          <w:tcPr>
            <w:tcW w:w="0" w:type="dxa"/>
          </w:tcPr>
          <w:p w14:paraId="4BADB588">
            <w:pPr>
              <w:spacing w:line="240" w:lineRule="auto"/>
              <w:jc w:val="right"/>
            </w:pPr>
            <w:r>
              <w:rPr>
                <w:rFonts w:ascii="宋体" w:hAnsi="宋体" w:eastAsia="宋体" w:cs="宋体"/>
                <w:b w:val="0"/>
              </w:rPr>
              <w:t>4,096</w:t>
            </w:r>
          </w:p>
        </w:tc>
        <w:tc>
          <w:tcPr>
            <w:tcW w:w="0" w:type="dxa"/>
          </w:tcPr>
          <w:p w14:paraId="5142B679">
            <w:pPr>
              <w:spacing w:line="240" w:lineRule="auto"/>
              <w:jc w:val="right"/>
            </w:pPr>
            <w:r>
              <w:rPr>
                <w:rFonts w:ascii="宋体" w:hAnsi="宋体" w:eastAsia="宋体" w:cs="宋体"/>
                <w:b w:val="0"/>
              </w:rPr>
              <w:t>189,399.04</w:t>
            </w:r>
          </w:p>
        </w:tc>
        <w:tc>
          <w:tcPr>
            <w:tcW w:w="0" w:type="dxa"/>
          </w:tcPr>
          <w:p w14:paraId="394273B7">
            <w:pPr>
              <w:spacing w:line="240" w:lineRule="auto"/>
              <w:jc w:val="right"/>
            </w:pPr>
            <w:r>
              <w:rPr>
                <w:rFonts w:ascii="宋体" w:hAnsi="宋体" w:eastAsia="宋体" w:cs="宋体"/>
                <w:b w:val="0"/>
              </w:rPr>
              <w:t>1.60</w:t>
            </w:r>
          </w:p>
        </w:tc>
      </w:tr>
      <w:tr w14:paraId="77D0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2FD385">
            <w:pPr>
              <w:spacing w:line="240" w:lineRule="auto"/>
              <w:jc w:val="center"/>
            </w:pPr>
            <w:r>
              <w:rPr>
                <w:rFonts w:ascii="宋体" w:hAnsi="宋体" w:eastAsia="宋体" w:cs="宋体"/>
                <w:b w:val="0"/>
              </w:rPr>
              <w:t>32</w:t>
            </w:r>
          </w:p>
        </w:tc>
        <w:tc>
          <w:tcPr>
            <w:tcW w:w="0" w:type="dxa"/>
          </w:tcPr>
          <w:p w14:paraId="7E0773D6">
            <w:pPr>
              <w:spacing w:line="240" w:lineRule="auto"/>
              <w:jc w:val="left"/>
            </w:pPr>
            <w:r>
              <w:rPr>
                <w:rFonts w:ascii="宋体" w:hAnsi="宋体" w:eastAsia="宋体" w:cs="宋体"/>
                <w:b w:val="0"/>
              </w:rPr>
              <w:t>832110</w:t>
            </w:r>
          </w:p>
        </w:tc>
        <w:tc>
          <w:tcPr>
            <w:tcW w:w="0" w:type="dxa"/>
          </w:tcPr>
          <w:p w14:paraId="2027F121">
            <w:pPr>
              <w:spacing w:line="240" w:lineRule="auto"/>
              <w:jc w:val="left"/>
            </w:pPr>
            <w:r>
              <w:rPr>
                <w:rFonts w:ascii="宋体" w:hAnsi="宋体" w:eastAsia="宋体" w:cs="宋体"/>
                <w:b w:val="0"/>
              </w:rPr>
              <w:t>雷特科技</w:t>
            </w:r>
          </w:p>
        </w:tc>
        <w:tc>
          <w:tcPr>
            <w:tcW w:w="0" w:type="dxa"/>
          </w:tcPr>
          <w:p w14:paraId="40805C66">
            <w:pPr>
              <w:spacing w:line="240" w:lineRule="auto"/>
              <w:jc w:val="right"/>
            </w:pPr>
            <w:r>
              <w:rPr>
                <w:rFonts w:ascii="宋体" w:hAnsi="宋体" w:eastAsia="宋体" w:cs="宋体"/>
                <w:b w:val="0"/>
              </w:rPr>
              <w:t>4,770</w:t>
            </w:r>
          </w:p>
        </w:tc>
        <w:tc>
          <w:tcPr>
            <w:tcW w:w="0" w:type="dxa"/>
          </w:tcPr>
          <w:p w14:paraId="6666CE85">
            <w:pPr>
              <w:spacing w:line="240" w:lineRule="auto"/>
              <w:jc w:val="right"/>
            </w:pPr>
            <w:r>
              <w:rPr>
                <w:rFonts w:ascii="宋体" w:hAnsi="宋体" w:eastAsia="宋体" w:cs="宋体"/>
                <w:b w:val="0"/>
              </w:rPr>
              <w:t>189,321.30</w:t>
            </w:r>
          </w:p>
        </w:tc>
        <w:tc>
          <w:tcPr>
            <w:tcW w:w="0" w:type="dxa"/>
          </w:tcPr>
          <w:p w14:paraId="04CE6BB6">
            <w:pPr>
              <w:spacing w:line="240" w:lineRule="auto"/>
              <w:jc w:val="right"/>
            </w:pPr>
            <w:r>
              <w:rPr>
                <w:rFonts w:ascii="宋体" w:hAnsi="宋体" w:eastAsia="宋体" w:cs="宋体"/>
                <w:b w:val="0"/>
              </w:rPr>
              <w:t>1.60</w:t>
            </w:r>
          </w:p>
        </w:tc>
      </w:tr>
      <w:tr w14:paraId="4343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25A094">
            <w:pPr>
              <w:spacing w:line="240" w:lineRule="auto"/>
              <w:jc w:val="center"/>
            </w:pPr>
            <w:r>
              <w:rPr>
                <w:rFonts w:ascii="宋体" w:hAnsi="宋体" w:eastAsia="宋体" w:cs="宋体"/>
                <w:b w:val="0"/>
              </w:rPr>
              <w:t>33</w:t>
            </w:r>
          </w:p>
        </w:tc>
        <w:tc>
          <w:tcPr>
            <w:tcW w:w="0" w:type="dxa"/>
          </w:tcPr>
          <w:p w14:paraId="74109CF4">
            <w:pPr>
              <w:spacing w:line="240" w:lineRule="auto"/>
              <w:jc w:val="left"/>
            </w:pPr>
            <w:r>
              <w:rPr>
                <w:rFonts w:ascii="宋体" w:hAnsi="宋体" w:eastAsia="宋体" w:cs="宋体"/>
                <w:b w:val="0"/>
              </w:rPr>
              <w:t>873726</w:t>
            </w:r>
          </w:p>
        </w:tc>
        <w:tc>
          <w:tcPr>
            <w:tcW w:w="0" w:type="dxa"/>
          </w:tcPr>
          <w:p w14:paraId="5914A6C9">
            <w:pPr>
              <w:spacing w:line="240" w:lineRule="auto"/>
              <w:jc w:val="left"/>
            </w:pPr>
            <w:r>
              <w:rPr>
                <w:rFonts w:ascii="宋体" w:hAnsi="宋体" w:eastAsia="宋体" w:cs="宋体"/>
                <w:b w:val="0"/>
              </w:rPr>
              <w:t>卓兆点胶</w:t>
            </w:r>
          </w:p>
        </w:tc>
        <w:tc>
          <w:tcPr>
            <w:tcW w:w="0" w:type="dxa"/>
          </w:tcPr>
          <w:p w14:paraId="45C983EB">
            <w:pPr>
              <w:spacing w:line="240" w:lineRule="auto"/>
              <w:jc w:val="right"/>
            </w:pPr>
            <w:r>
              <w:rPr>
                <w:rFonts w:ascii="宋体" w:hAnsi="宋体" w:eastAsia="宋体" w:cs="宋体"/>
                <w:b w:val="0"/>
              </w:rPr>
              <w:t>6,240</w:t>
            </w:r>
          </w:p>
        </w:tc>
        <w:tc>
          <w:tcPr>
            <w:tcW w:w="0" w:type="dxa"/>
          </w:tcPr>
          <w:p w14:paraId="7DFF7A3D">
            <w:pPr>
              <w:spacing w:line="240" w:lineRule="auto"/>
              <w:jc w:val="right"/>
            </w:pPr>
            <w:r>
              <w:rPr>
                <w:rFonts w:ascii="宋体" w:hAnsi="宋体" w:eastAsia="宋体" w:cs="宋体"/>
                <w:b w:val="0"/>
              </w:rPr>
              <w:t>189,009.60</w:t>
            </w:r>
          </w:p>
        </w:tc>
        <w:tc>
          <w:tcPr>
            <w:tcW w:w="0" w:type="dxa"/>
          </w:tcPr>
          <w:p w14:paraId="04871FE5">
            <w:pPr>
              <w:spacing w:line="240" w:lineRule="auto"/>
              <w:jc w:val="right"/>
            </w:pPr>
            <w:r>
              <w:rPr>
                <w:rFonts w:ascii="宋体" w:hAnsi="宋体" w:eastAsia="宋体" w:cs="宋体"/>
                <w:b w:val="0"/>
              </w:rPr>
              <w:t>1.60</w:t>
            </w:r>
          </w:p>
        </w:tc>
      </w:tr>
      <w:tr w14:paraId="6422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EBFF2A">
            <w:pPr>
              <w:spacing w:line="240" w:lineRule="auto"/>
              <w:jc w:val="center"/>
            </w:pPr>
            <w:r>
              <w:rPr>
                <w:rFonts w:ascii="宋体" w:hAnsi="宋体" w:eastAsia="宋体" w:cs="宋体"/>
                <w:b w:val="0"/>
              </w:rPr>
              <w:t>34</w:t>
            </w:r>
          </w:p>
        </w:tc>
        <w:tc>
          <w:tcPr>
            <w:tcW w:w="0" w:type="dxa"/>
          </w:tcPr>
          <w:p w14:paraId="5C274713">
            <w:pPr>
              <w:spacing w:line="240" w:lineRule="auto"/>
              <w:jc w:val="left"/>
            </w:pPr>
            <w:r>
              <w:rPr>
                <w:rFonts w:ascii="宋体" w:hAnsi="宋体" w:eastAsia="宋体" w:cs="宋体"/>
                <w:b w:val="0"/>
              </w:rPr>
              <w:t>836504</w:t>
            </w:r>
          </w:p>
        </w:tc>
        <w:tc>
          <w:tcPr>
            <w:tcW w:w="0" w:type="dxa"/>
          </w:tcPr>
          <w:p w14:paraId="49042393">
            <w:pPr>
              <w:spacing w:line="240" w:lineRule="auto"/>
              <w:jc w:val="left"/>
            </w:pPr>
            <w:r>
              <w:rPr>
                <w:rFonts w:ascii="宋体" w:hAnsi="宋体" w:eastAsia="宋体" w:cs="宋体"/>
                <w:b w:val="0"/>
              </w:rPr>
              <w:t>博迅生物</w:t>
            </w:r>
          </w:p>
        </w:tc>
        <w:tc>
          <w:tcPr>
            <w:tcW w:w="0" w:type="dxa"/>
          </w:tcPr>
          <w:p w14:paraId="436E3B26">
            <w:pPr>
              <w:spacing w:line="240" w:lineRule="auto"/>
              <w:jc w:val="right"/>
            </w:pPr>
            <w:r>
              <w:rPr>
                <w:rFonts w:ascii="宋体" w:hAnsi="宋体" w:eastAsia="宋体" w:cs="宋体"/>
                <w:b w:val="0"/>
              </w:rPr>
              <w:t>7,341</w:t>
            </w:r>
          </w:p>
        </w:tc>
        <w:tc>
          <w:tcPr>
            <w:tcW w:w="0" w:type="dxa"/>
          </w:tcPr>
          <w:p w14:paraId="627579A1">
            <w:pPr>
              <w:spacing w:line="240" w:lineRule="auto"/>
              <w:jc w:val="right"/>
            </w:pPr>
            <w:r>
              <w:rPr>
                <w:rFonts w:ascii="宋体" w:hAnsi="宋体" w:eastAsia="宋体" w:cs="宋体"/>
                <w:b w:val="0"/>
              </w:rPr>
              <w:t>188,957.34</w:t>
            </w:r>
          </w:p>
        </w:tc>
        <w:tc>
          <w:tcPr>
            <w:tcW w:w="0" w:type="dxa"/>
          </w:tcPr>
          <w:p w14:paraId="0BE54BB0">
            <w:pPr>
              <w:spacing w:line="240" w:lineRule="auto"/>
              <w:jc w:val="right"/>
            </w:pPr>
            <w:r>
              <w:rPr>
                <w:rFonts w:ascii="宋体" w:hAnsi="宋体" w:eastAsia="宋体" w:cs="宋体"/>
                <w:b w:val="0"/>
              </w:rPr>
              <w:t>1.60</w:t>
            </w:r>
          </w:p>
        </w:tc>
      </w:tr>
      <w:tr w14:paraId="0902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B5EEE2">
            <w:pPr>
              <w:spacing w:line="240" w:lineRule="auto"/>
              <w:jc w:val="center"/>
            </w:pPr>
            <w:r>
              <w:rPr>
                <w:rFonts w:ascii="宋体" w:hAnsi="宋体" w:eastAsia="宋体" w:cs="宋体"/>
                <w:b w:val="0"/>
              </w:rPr>
              <w:t>35</w:t>
            </w:r>
          </w:p>
        </w:tc>
        <w:tc>
          <w:tcPr>
            <w:tcW w:w="0" w:type="dxa"/>
          </w:tcPr>
          <w:p w14:paraId="78639B32">
            <w:pPr>
              <w:spacing w:line="240" w:lineRule="auto"/>
              <w:jc w:val="left"/>
            </w:pPr>
            <w:r>
              <w:rPr>
                <w:rFonts w:ascii="宋体" w:hAnsi="宋体" w:eastAsia="宋体" w:cs="宋体"/>
                <w:b w:val="0"/>
              </w:rPr>
              <w:t>836942</w:t>
            </w:r>
          </w:p>
        </w:tc>
        <w:tc>
          <w:tcPr>
            <w:tcW w:w="0" w:type="dxa"/>
          </w:tcPr>
          <w:p w14:paraId="132F3346">
            <w:pPr>
              <w:spacing w:line="240" w:lineRule="auto"/>
              <w:jc w:val="left"/>
            </w:pPr>
            <w:r>
              <w:rPr>
                <w:rFonts w:ascii="宋体" w:hAnsi="宋体" w:eastAsia="宋体" w:cs="宋体"/>
                <w:b w:val="0"/>
              </w:rPr>
              <w:t>恒立钻具</w:t>
            </w:r>
          </w:p>
        </w:tc>
        <w:tc>
          <w:tcPr>
            <w:tcW w:w="0" w:type="dxa"/>
          </w:tcPr>
          <w:p w14:paraId="603571D6">
            <w:pPr>
              <w:spacing w:line="240" w:lineRule="auto"/>
              <w:jc w:val="right"/>
            </w:pPr>
            <w:r>
              <w:rPr>
                <w:rFonts w:ascii="宋体" w:hAnsi="宋体" w:eastAsia="宋体" w:cs="宋体"/>
                <w:b w:val="0"/>
              </w:rPr>
              <w:t>9,423</w:t>
            </w:r>
          </w:p>
        </w:tc>
        <w:tc>
          <w:tcPr>
            <w:tcW w:w="0" w:type="dxa"/>
          </w:tcPr>
          <w:p w14:paraId="1C9BFD96">
            <w:pPr>
              <w:spacing w:line="240" w:lineRule="auto"/>
              <w:jc w:val="right"/>
            </w:pPr>
            <w:r>
              <w:rPr>
                <w:rFonts w:ascii="宋体" w:hAnsi="宋体" w:eastAsia="宋体" w:cs="宋体"/>
                <w:b w:val="0"/>
              </w:rPr>
              <w:t>188,742.69</w:t>
            </w:r>
          </w:p>
        </w:tc>
        <w:tc>
          <w:tcPr>
            <w:tcW w:w="0" w:type="dxa"/>
          </w:tcPr>
          <w:p w14:paraId="51872BBB">
            <w:pPr>
              <w:spacing w:line="240" w:lineRule="auto"/>
              <w:jc w:val="right"/>
            </w:pPr>
            <w:r>
              <w:rPr>
                <w:rFonts w:ascii="宋体" w:hAnsi="宋体" w:eastAsia="宋体" w:cs="宋体"/>
                <w:b w:val="0"/>
              </w:rPr>
              <w:t>1.59</w:t>
            </w:r>
          </w:p>
        </w:tc>
      </w:tr>
      <w:tr w14:paraId="3121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95CE91">
            <w:pPr>
              <w:spacing w:line="240" w:lineRule="auto"/>
              <w:jc w:val="center"/>
            </w:pPr>
            <w:r>
              <w:rPr>
                <w:rFonts w:ascii="宋体" w:hAnsi="宋体" w:eastAsia="宋体" w:cs="宋体"/>
                <w:b w:val="0"/>
              </w:rPr>
              <w:t>36</w:t>
            </w:r>
          </w:p>
        </w:tc>
        <w:tc>
          <w:tcPr>
            <w:tcW w:w="0" w:type="dxa"/>
          </w:tcPr>
          <w:p w14:paraId="381A3730">
            <w:pPr>
              <w:spacing w:line="240" w:lineRule="auto"/>
              <w:jc w:val="left"/>
            </w:pPr>
            <w:r>
              <w:rPr>
                <w:rFonts w:ascii="宋体" w:hAnsi="宋体" w:eastAsia="宋体" w:cs="宋体"/>
                <w:b w:val="0"/>
              </w:rPr>
              <w:t>838171</w:t>
            </w:r>
          </w:p>
        </w:tc>
        <w:tc>
          <w:tcPr>
            <w:tcW w:w="0" w:type="dxa"/>
          </w:tcPr>
          <w:p w14:paraId="6FDD57F7">
            <w:pPr>
              <w:spacing w:line="240" w:lineRule="auto"/>
              <w:jc w:val="left"/>
            </w:pPr>
            <w:r>
              <w:rPr>
                <w:rFonts w:ascii="宋体" w:hAnsi="宋体" w:eastAsia="宋体" w:cs="宋体"/>
                <w:b w:val="0"/>
              </w:rPr>
              <w:t>邦德股份</w:t>
            </w:r>
          </w:p>
        </w:tc>
        <w:tc>
          <w:tcPr>
            <w:tcW w:w="0" w:type="dxa"/>
          </w:tcPr>
          <w:p w14:paraId="2E5E7824">
            <w:pPr>
              <w:spacing w:line="240" w:lineRule="auto"/>
              <w:jc w:val="right"/>
            </w:pPr>
            <w:r>
              <w:rPr>
                <w:rFonts w:ascii="宋体" w:hAnsi="宋体" w:eastAsia="宋体" w:cs="宋体"/>
                <w:b w:val="0"/>
              </w:rPr>
              <w:t>10,708</w:t>
            </w:r>
          </w:p>
        </w:tc>
        <w:tc>
          <w:tcPr>
            <w:tcW w:w="0" w:type="dxa"/>
          </w:tcPr>
          <w:p w14:paraId="30E02009">
            <w:pPr>
              <w:spacing w:line="240" w:lineRule="auto"/>
              <w:jc w:val="right"/>
            </w:pPr>
            <w:r>
              <w:rPr>
                <w:rFonts w:ascii="宋体" w:hAnsi="宋体" w:eastAsia="宋体" w:cs="宋体"/>
                <w:b w:val="0"/>
              </w:rPr>
              <w:t>188,460.80</w:t>
            </w:r>
          </w:p>
        </w:tc>
        <w:tc>
          <w:tcPr>
            <w:tcW w:w="0" w:type="dxa"/>
          </w:tcPr>
          <w:p w14:paraId="31C929E5">
            <w:pPr>
              <w:spacing w:line="240" w:lineRule="auto"/>
              <w:jc w:val="right"/>
            </w:pPr>
            <w:r>
              <w:rPr>
                <w:rFonts w:ascii="宋体" w:hAnsi="宋体" w:eastAsia="宋体" w:cs="宋体"/>
                <w:b w:val="0"/>
              </w:rPr>
              <w:t>1.59</w:t>
            </w:r>
          </w:p>
        </w:tc>
      </w:tr>
      <w:tr w14:paraId="54A3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F1FA55">
            <w:pPr>
              <w:spacing w:line="240" w:lineRule="auto"/>
              <w:jc w:val="center"/>
            </w:pPr>
            <w:r>
              <w:rPr>
                <w:rFonts w:ascii="宋体" w:hAnsi="宋体" w:eastAsia="宋体" w:cs="宋体"/>
                <w:b w:val="0"/>
              </w:rPr>
              <w:t>37</w:t>
            </w:r>
          </w:p>
        </w:tc>
        <w:tc>
          <w:tcPr>
            <w:tcW w:w="0" w:type="dxa"/>
          </w:tcPr>
          <w:p w14:paraId="7FFD67B4">
            <w:pPr>
              <w:spacing w:line="240" w:lineRule="auto"/>
              <w:jc w:val="left"/>
            </w:pPr>
            <w:r>
              <w:rPr>
                <w:rFonts w:ascii="宋体" w:hAnsi="宋体" w:eastAsia="宋体" w:cs="宋体"/>
                <w:b w:val="0"/>
              </w:rPr>
              <w:t>838837</w:t>
            </w:r>
          </w:p>
        </w:tc>
        <w:tc>
          <w:tcPr>
            <w:tcW w:w="0" w:type="dxa"/>
          </w:tcPr>
          <w:p w14:paraId="723DBD5B">
            <w:pPr>
              <w:spacing w:line="240" w:lineRule="auto"/>
              <w:jc w:val="left"/>
            </w:pPr>
            <w:r>
              <w:rPr>
                <w:rFonts w:ascii="宋体" w:hAnsi="宋体" w:eastAsia="宋体" w:cs="宋体"/>
                <w:b w:val="0"/>
              </w:rPr>
              <w:t>华原股份</w:t>
            </w:r>
          </w:p>
        </w:tc>
        <w:tc>
          <w:tcPr>
            <w:tcW w:w="0" w:type="dxa"/>
          </w:tcPr>
          <w:p w14:paraId="35AC7B3A">
            <w:pPr>
              <w:spacing w:line="240" w:lineRule="auto"/>
              <w:jc w:val="right"/>
            </w:pPr>
            <w:r>
              <w:rPr>
                <w:rFonts w:ascii="宋体" w:hAnsi="宋体" w:eastAsia="宋体" w:cs="宋体"/>
                <w:b w:val="0"/>
              </w:rPr>
              <w:t>10,547</w:t>
            </w:r>
          </w:p>
        </w:tc>
        <w:tc>
          <w:tcPr>
            <w:tcW w:w="0" w:type="dxa"/>
          </w:tcPr>
          <w:p w14:paraId="54821A7C">
            <w:pPr>
              <w:spacing w:line="240" w:lineRule="auto"/>
              <w:jc w:val="right"/>
            </w:pPr>
            <w:r>
              <w:rPr>
                <w:rFonts w:ascii="宋体" w:hAnsi="宋体" w:eastAsia="宋体" w:cs="宋体"/>
                <w:b w:val="0"/>
              </w:rPr>
              <w:t>188,263.95</w:t>
            </w:r>
          </w:p>
        </w:tc>
        <w:tc>
          <w:tcPr>
            <w:tcW w:w="0" w:type="dxa"/>
          </w:tcPr>
          <w:p w14:paraId="34E6D54D">
            <w:pPr>
              <w:spacing w:line="240" w:lineRule="auto"/>
              <w:jc w:val="right"/>
            </w:pPr>
            <w:r>
              <w:rPr>
                <w:rFonts w:ascii="宋体" w:hAnsi="宋体" w:eastAsia="宋体" w:cs="宋体"/>
                <w:b w:val="0"/>
              </w:rPr>
              <w:t>1.59</w:t>
            </w:r>
          </w:p>
        </w:tc>
      </w:tr>
      <w:tr w14:paraId="2564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4D82A3">
            <w:pPr>
              <w:spacing w:line="240" w:lineRule="auto"/>
              <w:jc w:val="center"/>
            </w:pPr>
            <w:r>
              <w:rPr>
                <w:rFonts w:ascii="宋体" w:hAnsi="宋体" w:eastAsia="宋体" w:cs="宋体"/>
                <w:b w:val="0"/>
              </w:rPr>
              <w:t>38</w:t>
            </w:r>
          </w:p>
        </w:tc>
        <w:tc>
          <w:tcPr>
            <w:tcW w:w="0" w:type="dxa"/>
          </w:tcPr>
          <w:p w14:paraId="62A1D63A">
            <w:pPr>
              <w:spacing w:line="240" w:lineRule="auto"/>
              <w:jc w:val="left"/>
            </w:pPr>
            <w:r>
              <w:rPr>
                <w:rFonts w:ascii="宋体" w:hAnsi="宋体" w:eastAsia="宋体" w:cs="宋体"/>
                <w:b w:val="0"/>
              </w:rPr>
              <w:t>873833</w:t>
            </w:r>
          </w:p>
        </w:tc>
        <w:tc>
          <w:tcPr>
            <w:tcW w:w="0" w:type="dxa"/>
          </w:tcPr>
          <w:p w14:paraId="5E8A973D">
            <w:pPr>
              <w:spacing w:line="240" w:lineRule="auto"/>
              <w:jc w:val="left"/>
            </w:pPr>
            <w:r>
              <w:rPr>
                <w:rFonts w:ascii="宋体" w:hAnsi="宋体" w:eastAsia="宋体" w:cs="宋体"/>
                <w:b w:val="0"/>
              </w:rPr>
              <w:t>美心翼申</w:t>
            </w:r>
          </w:p>
        </w:tc>
        <w:tc>
          <w:tcPr>
            <w:tcW w:w="0" w:type="dxa"/>
          </w:tcPr>
          <w:p w14:paraId="318F20F7">
            <w:pPr>
              <w:spacing w:line="240" w:lineRule="auto"/>
              <w:jc w:val="right"/>
            </w:pPr>
            <w:r>
              <w:rPr>
                <w:rFonts w:ascii="宋体" w:hAnsi="宋体" w:eastAsia="宋体" w:cs="宋体"/>
                <w:b w:val="0"/>
              </w:rPr>
              <w:t>8,971</w:t>
            </w:r>
          </w:p>
        </w:tc>
        <w:tc>
          <w:tcPr>
            <w:tcW w:w="0" w:type="dxa"/>
          </w:tcPr>
          <w:p w14:paraId="1E8874B1">
            <w:pPr>
              <w:spacing w:line="240" w:lineRule="auto"/>
              <w:jc w:val="right"/>
            </w:pPr>
            <w:r>
              <w:rPr>
                <w:rFonts w:ascii="宋体" w:hAnsi="宋体" w:eastAsia="宋体" w:cs="宋体"/>
                <w:b w:val="0"/>
              </w:rPr>
              <w:t>188,211.58</w:t>
            </w:r>
          </w:p>
        </w:tc>
        <w:tc>
          <w:tcPr>
            <w:tcW w:w="0" w:type="dxa"/>
          </w:tcPr>
          <w:p w14:paraId="768E14D8">
            <w:pPr>
              <w:spacing w:line="240" w:lineRule="auto"/>
              <w:jc w:val="right"/>
            </w:pPr>
            <w:r>
              <w:rPr>
                <w:rFonts w:ascii="宋体" w:hAnsi="宋体" w:eastAsia="宋体" w:cs="宋体"/>
                <w:b w:val="0"/>
              </w:rPr>
              <w:t>1.59</w:t>
            </w:r>
          </w:p>
        </w:tc>
      </w:tr>
      <w:tr w14:paraId="7B89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24732F">
            <w:pPr>
              <w:spacing w:line="240" w:lineRule="auto"/>
              <w:jc w:val="center"/>
            </w:pPr>
            <w:r>
              <w:rPr>
                <w:rFonts w:ascii="宋体" w:hAnsi="宋体" w:eastAsia="宋体" w:cs="宋体"/>
                <w:b w:val="0"/>
              </w:rPr>
              <w:t>39</w:t>
            </w:r>
          </w:p>
        </w:tc>
        <w:tc>
          <w:tcPr>
            <w:tcW w:w="0" w:type="dxa"/>
          </w:tcPr>
          <w:p w14:paraId="0DF01B4E">
            <w:pPr>
              <w:spacing w:line="240" w:lineRule="auto"/>
              <w:jc w:val="left"/>
            </w:pPr>
            <w:r>
              <w:rPr>
                <w:rFonts w:ascii="宋体" w:hAnsi="宋体" w:eastAsia="宋体" w:cs="宋体"/>
                <w:b w:val="0"/>
              </w:rPr>
              <w:t>873339</w:t>
            </w:r>
          </w:p>
        </w:tc>
        <w:tc>
          <w:tcPr>
            <w:tcW w:w="0" w:type="dxa"/>
          </w:tcPr>
          <w:p w14:paraId="71DB1066">
            <w:pPr>
              <w:spacing w:line="240" w:lineRule="auto"/>
              <w:jc w:val="left"/>
            </w:pPr>
            <w:r>
              <w:rPr>
                <w:rFonts w:ascii="宋体" w:hAnsi="宋体" w:eastAsia="宋体" w:cs="宋体"/>
                <w:b w:val="0"/>
              </w:rPr>
              <w:t>恒太照明</w:t>
            </w:r>
          </w:p>
        </w:tc>
        <w:tc>
          <w:tcPr>
            <w:tcW w:w="0" w:type="dxa"/>
          </w:tcPr>
          <w:p w14:paraId="45C768A0">
            <w:pPr>
              <w:spacing w:line="240" w:lineRule="auto"/>
              <w:jc w:val="right"/>
            </w:pPr>
            <w:r>
              <w:rPr>
                <w:rFonts w:ascii="宋体" w:hAnsi="宋体" w:eastAsia="宋体" w:cs="宋体"/>
                <w:b w:val="0"/>
              </w:rPr>
              <w:t>16,914</w:t>
            </w:r>
          </w:p>
        </w:tc>
        <w:tc>
          <w:tcPr>
            <w:tcW w:w="0" w:type="dxa"/>
          </w:tcPr>
          <w:p w14:paraId="4D54CDAF">
            <w:pPr>
              <w:spacing w:line="240" w:lineRule="auto"/>
              <w:jc w:val="right"/>
            </w:pPr>
            <w:r>
              <w:rPr>
                <w:rFonts w:ascii="宋体" w:hAnsi="宋体" w:eastAsia="宋体" w:cs="宋体"/>
                <w:b w:val="0"/>
              </w:rPr>
              <w:t>187,745.40</w:t>
            </w:r>
          </w:p>
        </w:tc>
        <w:tc>
          <w:tcPr>
            <w:tcW w:w="0" w:type="dxa"/>
          </w:tcPr>
          <w:p w14:paraId="37B96DA6">
            <w:pPr>
              <w:spacing w:line="240" w:lineRule="auto"/>
              <w:jc w:val="right"/>
            </w:pPr>
            <w:r>
              <w:rPr>
                <w:rFonts w:ascii="宋体" w:hAnsi="宋体" w:eastAsia="宋体" w:cs="宋体"/>
                <w:b w:val="0"/>
              </w:rPr>
              <w:t>1.59</w:t>
            </w:r>
          </w:p>
        </w:tc>
      </w:tr>
      <w:tr w14:paraId="6003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901CDB">
            <w:pPr>
              <w:spacing w:line="240" w:lineRule="auto"/>
              <w:jc w:val="center"/>
            </w:pPr>
            <w:r>
              <w:rPr>
                <w:rFonts w:ascii="宋体" w:hAnsi="宋体" w:eastAsia="宋体" w:cs="宋体"/>
                <w:b w:val="0"/>
              </w:rPr>
              <w:t>40</w:t>
            </w:r>
          </w:p>
        </w:tc>
        <w:tc>
          <w:tcPr>
            <w:tcW w:w="0" w:type="dxa"/>
          </w:tcPr>
          <w:p w14:paraId="22FD1AB9">
            <w:pPr>
              <w:spacing w:line="240" w:lineRule="auto"/>
              <w:jc w:val="left"/>
            </w:pPr>
            <w:r>
              <w:rPr>
                <w:rFonts w:ascii="宋体" w:hAnsi="宋体" w:eastAsia="宋体" w:cs="宋体"/>
                <w:b w:val="0"/>
              </w:rPr>
              <w:t>834058</w:t>
            </w:r>
          </w:p>
        </w:tc>
        <w:tc>
          <w:tcPr>
            <w:tcW w:w="0" w:type="dxa"/>
          </w:tcPr>
          <w:p w14:paraId="2DB3D56D">
            <w:pPr>
              <w:spacing w:line="240" w:lineRule="auto"/>
              <w:jc w:val="left"/>
            </w:pPr>
            <w:r>
              <w:rPr>
                <w:rFonts w:ascii="宋体" w:hAnsi="宋体" w:eastAsia="宋体" w:cs="宋体"/>
                <w:b w:val="0"/>
              </w:rPr>
              <w:t>华洋赛车</w:t>
            </w:r>
          </w:p>
        </w:tc>
        <w:tc>
          <w:tcPr>
            <w:tcW w:w="0" w:type="dxa"/>
          </w:tcPr>
          <w:p w14:paraId="659615DF">
            <w:pPr>
              <w:spacing w:line="240" w:lineRule="auto"/>
              <w:jc w:val="right"/>
            </w:pPr>
            <w:r>
              <w:rPr>
                <w:rFonts w:ascii="宋体" w:hAnsi="宋体" w:eastAsia="宋体" w:cs="宋体"/>
                <w:b w:val="0"/>
              </w:rPr>
              <w:t>5,025</w:t>
            </w:r>
          </w:p>
        </w:tc>
        <w:tc>
          <w:tcPr>
            <w:tcW w:w="0" w:type="dxa"/>
          </w:tcPr>
          <w:p w14:paraId="10771453">
            <w:pPr>
              <w:spacing w:line="240" w:lineRule="auto"/>
              <w:jc w:val="right"/>
            </w:pPr>
            <w:r>
              <w:rPr>
                <w:rFonts w:ascii="宋体" w:hAnsi="宋体" w:eastAsia="宋体" w:cs="宋体"/>
                <w:b w:val="0"/>
              </w:rPr>
              <w:t>187,734.00</w:t>
            </w:r>
          </w:p>
        </w:tc>
        <w:tc>
          <w:tcPr>
            <w:tcW w:w="0" w:type="dxa"/>
          </w:tcPr>
          <w:p w14:paraId="7CAC69F6">
            <w:pPr>
              <w:spacing w:line="240" w:lineRule="auto"/>
              <w:jc w:val="right"/>
            </w:pPr>
            <w:r>
              <w:rPr>
                <w:rFonts w:ascii="宋体" w:hAnsi="宋体" w:eastAsia="宋体" w:cs="宋体"/>
                <w:b w:val="0"/>
              </w:rPr>
              <w:t>1.59</w:t>
            </w:r>
          </w:p>
        </w:tc>
      </w:tr>
      <w:tr w14:paraId="53F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076D40">
            <w:pPr>
              <w:spacing w:line="240" w:lineRule="auto"/>
              <w:jc w:val="center"/>
            </w:pPr>
            <w:r>
              <w:rPr>
                <w:rFonts w:ascii="宋体" w:hAnsi="宋体" w:eastAsia="宋体" w:cs="宋体"/>
                <w:b w:val="0"/>
              </w:rPr>
              <w:t>41</w:t>
            </w:r>
          </w:p>
        </w:tc>
        <w:tc>
          <w:tcPr>
            <w:tcW w:w="0" w:type="dxa"/>
          </w:tcPr>
          <w:p w14:paraId="3A318675">
            <w:pPr>
              <w:spacing w:line="240" w:lineRule="auto"/>
              <w:jc w:val="left"/>
            </w:pPr>
            <w:r>
              <w:rPr>
                <w:rFonts w:ascii="宋体" w:hAnsi="宋体" w:eastAsia="宋体" w:cs="宋体"/>
                <w:b w:val="0"/>
              </w:rPr>
              <w:t>831856</w:t>
            </w:r>
          </w:p>
        </w:tc>
        <w:tc>
          <w:tcPr>
            <w:tcW w:w="0" w:type="dxa"/>
          </w:tcPr>
          <w:p w14:paraId="2CE89790">
            <w:pPr>
              <w:spacing w:line="240" w:lineRule="auto"/>
              <w:jc w:val="left"/>
            </w:pPr>
            <w:r>
              <w:rPr>
                <w:rFonts w:ascii="宋体" w:hAnsi="宋体" w:eastAsia="宋体" w:cs="宋体"/>
                <w:b w:val="0"/>
              </w:rPr>
              <w:t>浩淼科技</w:t>
            </w:r>
          </w:p>
        </w:tc>
        <w:tc>
          <w:tcPr>
            <w:tcW w:w="0" w:type="dxa"/>
          </w:tcPr>
          <w:p w14:paraId="3D8D41ED">
            <w:pPr>
              <w:spacing w:line="240" w:lineRule="auto"/>
              <w:jc w:val="right"/>
            </w:pPr>
            <w:r>
              <w:rPr>
                <w:rFonts w:ascii="宋体" w:hAnsi="宋体" w:eastAsia="宋体" w:cs="宋体"/>
                <w:b w:val="0"/>
              </w:rPr>
              <w:t>8,442</w:t>
            </w:r>
          </w:p>
        </w:tc>
        <w:tc>
          <w:tcPr>
            <w:tcW w:w="0" w:type="dxa"/>
          </w:tcPr>
          <w:p w14:paraId="6AECA94D">
            <w:pPr>
              <w:spacing w:line="240" w:lineRule="auto"/>
              <w:jc w:val="right"/>
            </w:pPr>
            <w:r>
              <w:rPr>
                <w:rFonts w:ascii="宋体" w:hAnsi="宋体" w:eastAsia="宋体" w:cs="宋体"/>
                <w:b w:val="0"/>
              </w:rPr>
              <w:t>187,496.82</w:t>
            </w:r>
          </w:p>
        </w:tc>
        <w:tc>
          <w:tcPr>
            <w:tcW w:w="0" w:type="dxa"/>
          </w:tcPr>
          <w:p w14:paraId="4D2FA992">
            <w:pPr>
              <w:spacing w:line="240" w:lineRule="auto"/>
              <w:jc w:val="right"/>
            </w:pPr>
            <w:r>
              <w:rPr>
                <w:rFonts w:ascii="宋体" w:hAnsi="宋体" w:eastAsia="宋体" w:cs="宋体"/>
                <w:b w:val="0"/>
              </w:rPr>
              <w:t>1.58</w:t>
            </w:r>
          </w:p>
        </w:tc>
      </w:tr>
      <w:tr w14:paraId="379C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CDBCA3">
            <w:pPr>
              <w:spacing w:line="240" w:lineRule="auto"/>
              <w:jc w:val="center"/>
            </w:pPr>
            <w:r>
              <w:rPr>
                <w:rFonts w:ascii="宋体" w:hAnsi="宋体" w:eastAsia="宋体" w:cs="宋体"/>
                <w:b w:val="0"/>
              </w:rPr>
              <w:t>42</w:t>
            </w:r>
          </w:p>
        </w:tc>
        <w:tc>
          <w:tcPr>
            <w:tcW w:w="0" w:type="dxa"/>
          </w:tcPr>
          <w:p w14:paraId="43F23A40">
            <w:pPr>
              <w:spacing w:line="240" w:lineRule="auto"/>
              <w:jc w:val="left"/>
            </w:pPr>
            <w:r>
              <w:rPr>
                <w:rFonts w:ascii="宋体" w:hAnsi="宋体" w:eastAsia="宋体" w:cs="宋体"/>
                <w:b w:val="0"/>
              </w:rPr>
              <w:t>871478</w:t>
            </w:r>
          </w:p>
        </w:tc>
        <w:tc>
          <w:tcPr>
            <w:tcW w:w="0" w:type="dxa"/>
          </w:tcPr>
          <w:p w14:paraId="1AB26422">
            <w:pPr>
              <w:spacing w:line="240" w:lineRule="auto"/>
              <w:jc w:val="left"/>
            </w:pPr>
            <w:r>
              <w:rPr>
                <w:rFonts w:ascii="宋体" w:hAnsi="宋体" w:eastAsia="宋体" w:cs="宋体"/>
                <w:b w:val="0"/>
              </w:rPr>
              <w:t>巨能股份</w:t>
            </w:r>
          </w:p>
        </w:tc>
        <w:tc>
          <w:tcPr>
            <w:tcW w:w="0" w:type="dxa"/>
          </w:tcPr>
          <w:p w14:paraId="22FD9FBF">
            <w:pPr>
              <w:spacing w:line="240" w:lineRule="auto"/>
              <w:jc w:val="right"/>
            </w:pPr>
            <w:r>
              <w:rPr>
                <w:rFonts w:ascii="宋体" w:hAnsi="宋体" w:eastAsia="宋体" w:cs="宋体"/>
                <w:b w:val="0"/>
              </w:rPr>
              <w:t>6,331</w:t>
            </w:r>
          </w:p>
        </w:tc>
        <w:tc>
          <w:tcPr>
            <w:tcW w:w="0" w:type="dxa"/>
          </w:tcPr>
          <w:p w14:paraId="62704068">
            <w:pPr>
              <w:spacing w:line="240" w:lineRule="auto"/>
              <w:jc w:val="right"/>
            </w:pPr>
            <w:r>
              <w:rPr>
                <w:rFonts w:ascii="宋体" w:hAnsi="宋体" w:eastAsia="宋体" w:cs="宋体"/>
                <w:b w:val="0"/>
              </w:rPr>
              <w:t>187,397.60</w:t>
            </w:r>
          </w:p>
        </w:tc>
        <w:tc>
          <w:tcPr>
            <w:tcW w:w="0" w:type="dxa"/>
          </w:tcPr>
          <w:p w14:paraId="6A5D2807">
            <w:pPr>
              <w:spacing w:line="240" w:lineRule="auto"/>
              <w:jc w:val="right"/>
            </w:pPr>
            <w:r>
              <w:rPr>
                <w:rFonts w:ascii="宋体" w:hAnsi="宋体" w:eastAsia="宋体" w:cs="宋体"/>
                <w:b w:val="0"/>
              </w:rPr>
              <w:t>1.58</w:t>
            </w:r>
          </w:p>
        </w:tc>
      </w:tr>
      <w:tr w14:paraId="036C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38304C">
            <w:pPr>
              <w:spacing w:line="240" w:lineRule="auto"/>
              <w:jc w:val="center"/>
            </w:pPr>
            <w:r>
              <w:rPr>
                <w:rFonts w:ascii="宋体" w:hAnsi="宋体" w:eastAsia="宋体" w:cs="宋体"/>
                <w:b w:val="0"/>
              </w:rPr>
              <w:t>43</w:t>
            </w:r>
          </w:p>
        </w:tc>
        <w:tc>
          <w:tcPr>
            <w:tcW w:w="0" w:type="dxa"/>
          </w:tcPr>
          <w:p w14:paraId="77C33E22">
            <w:pPr>
              <w:spacing w:line="240" w:lineRule="auto"/>
              <w:jc w:val="left"/>
            </w:pPr>
            <w:r>
              <w:rPr>
                <w:rFonts w:ascii="宋体" w:hAnsi="宋体" w:eastAsia="宋体" w:cs="宋体"/>
                <w:b w:val="0"/>
              </w:rPr>
              <w:t>832000</w:t>
            </w:r>
          </w:p>
        </w:tc>
        <w:tc>
          <w:tcPr>
            <w:tcW w:w="0" w:type="dxa"/>
          </w:tcPr>
          <w:p w14:paraId="68D5BEC3">
            <w:pPr>
              <w:spacing w:line="240" w:lineRule="auto"/>
              <w:jc w:val="left"/>
            </w:pPr>
            <w:r>
              <w:rPr>
                <w:rFonts w:ascii="宋体" w:hAnsi="宋体" w:eastAsia="宋体" w:cs="宋体"/>
                <w:b w:val="0"/>
              </w:rPr>
              <w:t>安徽凤凰</w:t>
            </w:r>
          </w:p>
        </w:tc>
        <w:tc>
          <w:tcPr>
            <w:tcW w:w="0" w:type="dxa"/>
          </w:tcPr>
          <w:p w14:paraId="4E38786A">
            <w:pPr>
              <w:spacing w:line="240" w:lineRule="auto"/>
              <w:jc w:val="right"/>
            </w:pPr>
            <w:r>
              <w:rPr>
                <w:rFonts w:ascii="宋体" w:hAnsi="宋体" w:eastAsia="宋体" w:cs="宋体"/>
                <w:b w:val="0"/>
              </w:rPr>
              <w:t>8,580</w:t>
            </w:r>
          </w:p>
        </w:tc>
        <w:tc>
          <w:tcPr>
            <w:tcW w:w="0" w:type="dxa"/>
          </w:tcPr>
          <w:p w14:paraId="62F5FA1E">
            <w:pPr>
              <w:spacing w:line="240" w:lineRule="auto"/>
              <w:jc w:val="right"/>
            </w:pPr>
            <w:r>
              <w:rPr>
                <w:rFonts w:ascii="宋体" w:hAnsi="宋体" w:eastAsia="宋体" w:cs="宋体"/>
                <w:b w:val="0"/>
              </w:rPr>
              <w:t>187,387.20</w:t>
            </w:r>
          </w:p>
        </w:tc>
        <w:tc>
          <w:tcPr>
            <w:tcW w:w="0" w:type="dxa"/>
          </w:tcPr>
          <w:p w14:paraId="16FAF512">
            <w:pPr>
              <w:spacing w:line="240" w:lineRule="auto"/>
              <w:jc w:val="right"/>
            </w:pPr>
            <w:r>
              <w:rPr>
                <w:rFonts w:ascii="宋体" w:hAnsi="宋体" w:eastAsia="宋体" w:cs="宋体"/>
                <w:b w:val="0"/>
              </w:rPr>
              <w:t>1.58</w:t>
            </w:r>
          </w:p>
        </w:tc>
      </w:tr>
      <w:tr w14:paraId="31CD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15153F">
            <w:pPr>
              <w:spacing w:line="240" w:lineRule="auto"/>
              <w:jc w:val="center"/>
            </w:pPr>
            <w:r>
              <w:rPr>
                <w:rFonts w:ascii="宋体" w:hAnsi="宋体" w:eastAsia="宋体" w:cs="宋体"/>
                <w:b w:val="0"/>
              </w:rPr>
              <w:t>44</w:t>
            </w:r>
          </w:p>
        </w:tc>
        <w:tc>
          <w:tcPr>
            <w:tcW w:w="0" w:type="dxa"/>
          </w:tcPr>
          <w:p w14:paraId="1EF61F23">
            <w:pPr>
              <w:spacing w:line="240" w:lineRule="auto"/>
              <w:jc w:val="left"/>
            </w:pPr>
            <w:r>
              <w:rPr>
                <w:rFonts w:ascii="宋体" w:hAnsi="宋体" w:eastAsia="宋体" w:cs="宋体"/>
                <w:b w:val="0"/>
              </w:rPr>
              <w:t>830832</w:t>
            </w:r>
          </w:p>
        </w:tc>
        <w:tc>
          <w:tcPr>
            <w:tcW w:w="0" w:type="dxa"/>
          </w:tcPr>
          <w:p w14:paraId="79B425DD">
            <w:pPr>
              <w:spacing w:line="240" w:lineRule="auto"/>
              <w:jc w:val="left"/>
            </w:pPr>
            <w:r>
              <w:rPr>
                <w:rFonts w:ascii="宋体" w:hAnsi="宋体" w:eastAsia="宋体" w:cs="宋体"/>
                <w:b w:val="0"/>
              </w:rPr>
              <w:t>齐鲁华信</w:t>
            </w:r>
          </w:p>
        </w:tc>
        <w:tc>
          <w:tcPr>
            <w:tcW w:w="0" w:type="dxa"/>
          </w:tcPr>
          <w:p w14:paraId="60EB8D03">
            <w:pPr>
              <w:spacing w:line="240" w:lineRule="auto"/>
              <w:jc w:val="right"/>
            </w:pPr>
            <w:r>
              <w:rPr>
                <w:rFonts w:ascii="宋体" w:hAnsi="宋体" w:eastAsia="宋体" w:cs="宋体"/>
                <w:b w:val="0"/>
              </w:rPr>
              <w:t>22,440</w:t>
            </w:r>
          </w:p>
        </w:tc>
        <w:tc>
          <w:tcPr>
            <w:tcW w:w="0" w:type="dxa"/>
          </w:tcPr>
          <w:p w14:paraId="69041270">
            <w:pPr>
              <w:spacing w:line="240" w:lineRule="auto"/>
              <w:jc w:val="right"/>
            </w:pPr>
            <w:r>
              <w:rPr>
                <w:rFonts w:ascii="宋体" w:hAnsi="宋体" w:eastAsia="宋体" w:cs="宋体"/>
                <w:b w:val="0"/>
              </w:rPr>
              <w:t>187,374.00</w:t>
            </w:r>
          </w:p>
        </w:tc>
        <w:tc>
          <w:tcPr>
            <w:tcW w:w="0" w:type="dxa"/>
          </w:tcPr>
          <w:p w14:paraId="4D71C4F7">
            <w:pPr>
              <w:spacing w:line="240" w:lineRule="auto"/>
              <w:jc w:val="right"/>
            </w:pPr>
            <w:r>
              <w:rPr>
                <w:rFonts w:ascii="宋体" w:hAnsi="宋体" w:eastAsia="宋体" w:cs="宋体"/>
                <w:b w:val="0"/>
              </w:rPr>
              <w:t>1.58</w:t>
            </w:r>
          </w:p>
        </w:tc>
      </w:tr>
      <w:tr w14:paraId="2E0C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C8F8BF">
            <w:pPr>
              <w:spacing w:line="240" w:lineRule="auto"/>
              <w:jc w:val="center"/>
            </w:pPr>
            <w:r>
              <w:rPr>
                <w:rFonts w:ascii="宋体" w:hAnsi="宋体" w:eastAsia="宋体" w:cs="宋体"/>
                <w:b w:val="0"/>
              </w:rPr>
              <w:t>45</w:t>
            </w:r>
          </w:p>
        </w:tc>
        <w:tc>
          <w:tcPr>
            <w:tcW w:w="0" w:type="dxa"/>
          </w:tcPr>
          <w:p w14:paraId="06CDB75F">
            <w:pPr>
              <w:spacing w:line="240" w:lineRule="auto"/>
              <w:jc w:val="left"/>
            </w:pPr>
            <w:r>
              <w:rPr>
                <w:rFonts w:ascii="宋体" w:hAnsi="宋体" w:eastAsia="宋体" w:cs="宋体"/>
                <w:b w:val="0"/>
              </w:rPr>
              <w:t>833455</w:t>
            </w:r>
          </w:p>
        </w:tc>
        <w:tc>
          <w:tcPr>
            <w:tcW w:w="0" w:type="dxa"/>
          </w:tcPr>
          <w:p w14:paraId="1BBE41D7">
            <w:pPr>
              <w:spacing w:line="240" w:lineRule="auto"/>
              <w:jc w:val="left"/>
            </w:pPr>
            <w:r>
              <w:rPr>
                <w:rFonts w:ascii="宋体" w:hAnsi="宋体" w:eastAsia="宋体" w:cs="宋体"/>
                <w:b w:val="0"/>
              </w:rPr>
              <w:t>汇隆活塞</w:t>
            </w:r>
          </w:p>
        </w:tc>
        <w:tc>
          <w:tcPr>
            <w:tcW w:w="0" w:type="dxa"/>
          </w:tcPr>
          <w:p w14:paraId="52429000">
            <w:pPr>
              <w:spacing w:line="240" w:lineRule="auto"/>
              <w:jc w:val="right"/>
            </w:pPr>
            <w:r>
              <w:rPr>
                <w:rFonts w:ascii="宋体" w:hAnsi="宋体" w:eastAsia="宋体" w:cs="宋体"/>
                <w:b w:val="0"/>
              </w:rPr>
              <w:t>17,319</w:t>
            </w:r>
          </w:p>
        </w:tc>
        <w:tc>
          <w:tcPr>
            <w:tcW w:w="0" w:type="dxa"/>
          </w:tcPr>
          <w:p w14:paraId="08D8A657">
            <w:pPr>
              <w:spacing w:line="240" w:lineRule="auto"/>
              <w:jc w:val="right"/>
            </w:pPr>
            <w:r>
              <w:rPr>
                <w:rFonts w:ascii="宋体" w:hAnsi="宋体" w:eastAsia="宋体" w:cs="宋体"/>
                <w:b w:val="0"/>
              </w:rPr>
              <w:t>187,045.20</w:t>
            </w:r>
          </w:p>
        </w:tc>
        <w:tc>
          <w:tcPr>
            <w:tcW w:w="0" w:type="dxa"/>
          </w:tcPr>
          <w:p w14:paraId="1A915A9F">
            <w:pPr>
              <w:spacing w:line="240" w:lineRule="auto"/>
              <w:jc w:val="right"/>
            </w:pPr>
            <w:r>
              <w:rPr>
                <w:rFonts w:ascii="宋体" w:hAnsi="宋体" w:eastAsia="宋体" w:cs="宋体"/>
                <w:b w:val="0"/>
              </w:rPr>
              <w:t>1.58</w:t>
            </w:r>
          </w:p>
        </w:tc>
      </w:tr>
      <w:tr w14:paraId="0C37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3ADD8A">
            <w:pPr>
              <w:spacing w:line="240" w:lineRule="auto"/>
              <w:jc w:val="center"/>
            </w:pPr>
            <w:r>
              <w:rPr>
                <w:rFonts w:ascii="宋体" w:hAnsi="宋体" w:eastAsia="宋体" w:cs="宋体"/>
                <w:b w:val="0"/>
              </w:rPr>
              <w:t>46</w:t>
            </w:r>
          </w:p>
        </w:tc>
        <w:tc>
          <w:tcPr>
            <w:tcW w:w="0" w:type="dxa"/>
          </w:tcPr>
          <w:p w14:paraId="5620FB75">
            <w:pPr>
              <w:spacing w:line="240" w:lineRule="auto"/>
              <w:jc w:val="left"/>
            </w:pPr>
            <w:r>
              <w:rPr>
                <w:rFonts w:ascii="宋体" w:hAnsi="宋体" w:eastAsia="宋体" w:cs="宋体"/>
                <w:b w:val="0"/>
              </w:rPr>
              <w:t>830809</w:t>
            </w:r>
          </w:p>
        </w:tc>
        <w:tc>
          <w:tcPr>
            <w:tcW w:w="0" w:type="dxa"/>
          </w:tcPr>
          <w:p w14:paraId="5079E639">
            <w:pPr>
              <w:spacing w:line="240" w:lineRule="auto"/>
              <w:jc w:val="left"/>
            </w:pPr>
            <w:r>
              <w:rPr>
                <w:rFonts w:ascii="宋体" w:hAnsi="宋体" w:eastAsia="宋体" w:cs="宋体"/>
                <w:b w:val="0"/>
              </w:rPr>
              <w:t>安达科技</w:t>
            </w:r>
          </w:p>
        </w:tc>
        <w:tc>
          <w:tcPr>
            <w:tcW w:w="0" w:type="dxa"/>
          </w:tcPr>
          <w:p w14:paraId="0A22060F">
            <w:pPr>
              <w:spacing w:line="240" w:lineRule="auto"/>
              <w:jc w:val="right"/>
            </w:pPr>
            <w:r>
              <w:rPr>
                <w:rFonts w:ascii="宋体" w:hAnsi="宋体" w:eastAsia="宋体" w:cs="宋体"/>
                <w:b w:val="0"/>
              </w:rPr>
              <w:t>30,706</w:t>
            </w:r>
          </w:p>
        </w:tc>
        <w:tc>
          <w:tcPr>
            <w:tcW w:w="0" w:type="dxa"/>
          </w:tcPr>
          <w:p w14:paraId="214D3259">
            <w:pPr>
              <w:spacing w:line="240" w:lineRule="auto"/>
              <w:jc w:val="right"/>
            </w:pPr>
            <w:r>
              <w:rPr>
                <w:rFonts w:ascii="宋体" w:hAnsi="宋体" w:eastAsia="宋体" w:cs="宋体"/>
                <w:b w:val="0"/>
              </w:rPr>
              <w:t>186,385.42</w:t>
            </w:r>
          </w:p>
        </w:tc>
        <w:tc>
          <w:tcPr>
            <w:tcW w:w="0" w:type="dxa"/>
          </w:tcPr>
          <w:p w14:paraId="15831FAE">
            <w:pPr>
              <w:spacing w:line="240" w:lineRule="auto"/>
              <w:jc w:val="right"/>
            </w:pPr>
            <w:r>
              <w:rPr>
                <w:rFonts w:ascii="宋体" w:hAnsi="宋体" w:eastAsia="宋体" w:cs="宋体"/>
                <w:b w:val="0"/>
              </w:rPr>
              <w:t>1.57</w:t>
            </w:r>
          </w:p>
        </w:tc>
      </w:tr>
      <w:tr w14:paraId="3458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805453">
            <w:pPr>
              <w:spacing w:line="240" w:lineRule="auto"/>
              <w:jc w:val="center"/>
            </w:pPr>
            <w:r>
              <w:rPr>
                <w:rFonts w:ascii="宋体" w:hAnsi="宋体" w:eastAsia="宋体" w:cs="宋体"/>
                <w:b w:val="0"/>
              </w:rPr>
              <w:t>47</w:t>
            </w:r>
          </w:p>
        </w:tc>
        <w:tc>
          <w:tcPr>
            <w:tcW w:w="0" w:type="dxa"/>
          </w:tcPr>
          <w:p w14:paraId="5B1C4218">
            <w:pPr>
              <w:spacing w:line="240" w:lineRule="auto"/>
              <w:jc w:val="left"/>
            </w:pPr>
            <w:r>
              <w:rPr>
                <w:rFonts w:ascii="宋体" w:hAnsi="宋体" w:eastAsia="宋体" w:cs="宋体"/>
                <w:b w:val="0"/>
              </w:rPr>
              <w:t>834261</w:t>
            </w:r>
          </w:p>
        </w:tc>
        <w:tc>
          <w:tcPr>
            <w:tcW w:w="0" w:type="dxa"/>
          </w:tcPr>
          <w:p w14:paraId="2BDC6A47">
            <w:pPr>
              <w:spacing w:line="240" w:lineRule="auto"/>
              <w:jc w:val="left"/>
            </w:pPr>
            <w:r>
              <w:rPr>
                <w:rFonts w:ascii="宋体" w:hAnsi="宋体" w:eastAsia="宋体" w:cs="宋体"/>
                <w:b w:val="0"/>
              </w:rPr>
              <w:t>一诺威</w:t>
            </w:r>
          </w:p>
        </w:tc>
        <w:tc>
          <w:tcPr>
            <w:tcW w:w="0" w:type="dxa"/>
          </w:tcPr>
          <w:p w14:paraId="2A6C709B">
            <w:pPr>
              <w:spacing w:line="240" w:lineRule="auto"/>
              <w:jc w:val="right"/>
            </w:pPr>
            <w:r>
              <w:rPr>
                <w:rFonts w:ascii="宋体" w:hAnsi="宋体" w:eastAsia="宋体" w:cs="宋体"/>
                <w:b w:val="0"/>
              </w:rPr>
              <w:t>12,297</w:t>
            </w:r>
          </w:p>
        </w:tc>
        <w:tc>
          <w:tcPr>
            <w:tcW w:w="0" w:type="dxa"/>
          </w:tcPr>
          <w:p w14:paraId="4EBD80F9">
            <w:pPr>
              <w:spacing w:line="240" w:lineRule="auto"/>
              <w:jc w:val="right"/>
            </w:pPr>
            <w:r>
              <w:rPr>
                <w:rFonts w:ascii="宋体" w:hAnsi="宋体" w:eastAsia="宋体" w:cs="宋体"/>
                <w:b w:val="0"/>
              </w:rPr>
              <w:t>186,299.55</w:t>
            </w:r>
          </w:p>
        </w:tc>
        <w:tc>
          <w:tcPr>
            <w:tcW w:w="0" w:type="dxa"/>
          </w:tcPr>
          <w:p w14:paraId="41FF2696">
            <w:pPr>
              <w:spacing w:line="240" w:lineRule="auto"/>
              <w:jc w:val="right"/>
            </w:pPr>
            <w:r>
              <w:rPr>
                <w:rFonts w:ascii="宋体" w:hAnsi="宋体" w:eastAsia="宋体" w:cs="宋体"/>
                <w:b w:val="0"/>
              </w:rPr>
              <w:t>1.57</w:t>
            </w:r>
          </w:p>
        </w:tc>
      </w:tr>
      <w:tr w14:paraId="3E91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42976D">
            <w:pPr>
              <w:spacing w:line="240" w:lineRule="auto"/>
              <w:jc w:val="center"/>
            </w:pPr>
            <w:r>
              <w:rPr>
                <w:rFonts w:ascii="宋体" w:hAnsi="宋体" w:eastAsia="宋体" w:cs="宋体"/>
                <w:b w:val="0"/>
              </w:rPr>
              <w:t>48</w:t>
            </w:r>
          </w:p>
        </w:tc>
        <w:tc>
          <w:tcPr>
            <w:tcW w:w="0" w:type="dxa"/>
          </w:tcPr>
          <w:p w14:paraId="0E859284">
            <w:pPr>
              <w:spacing w:line="240" w:lineRule="auto"/>
              <w:jc w:val="left"/>
            </w:pPr>
            <w:r>
              <w:rPr>
                <w:rFonts w:ascii="宋体" w:hAnsi="宋体" w:eastAsia="宋体" w:cs="宋体"/>
                <w:b w:val="0"/>
              </w:rPr>
              <w:t>831641</w:t>
            </w:r>
          </w:p>
        </w:tc>
        <w:tc>
          <w:tcPr>
            <w:tcW w:w="0" w:type="dxa"/>
          </w:tcPr>
          <w:p w14:paraId="0DE69E18">
            <w:pPr>
              <w:spacing w:line="240" w:lineRule="auto"/>
              <w:jc w:val="left"/>
            </w:pPr>
            <w:r>
              <w:rPr>
                <w:rFonts w:ascii="宋体" w:hAnsi="宋体" w:eastAsia="宋体" w:cs="宋体"/>
                <w:b w:val="0"/>
              </w:rPr>
              <w:t>格利尔</w:t>
            </w:r>
          </w:p>
        </w:tc>
        <w:tc>
          <w:tcPr>
            <w:tcW w:w="0" w:type="dxa"/>
          </w:tcPr>
          <w:p w14:paraId="1380D8A3">
            <w:pPr>
              <w:spacing w:line="240" w:lineRule="auto"/>
              <w:jc w:val="right"/>
            </w:pPr>
            <w:r>
              <w:rPr>
                <w:rFonts w:ascii="宋体" w:hAnsi="宋体" w:eastAsia="宋体" w:cs="宋体"/>
                <w:b w:val="0"/>
              </w:rPr>
              <w:t>10,003</w:t>
            </w:r>
          </w:p>
        </w:tc>
        <w:tc>
          <w:tcPr>
            <w:tcW w:w="0" w:type="dxa"/>
          </w:tcPr>
          <w:p w14:paraId="4639082A">
            <w:pPr>
              <w:spacing w:line="240" w:lineRule="auto"/>
              <w:jc w:val="right"/>
            </w:pPr>
            <w:r>
              <w:rPr>
                <w:rFonts w:ascii="宋体" w:hAnsi="宋体" w:eastAsia="宋体" w:cs="宋体"/>
                <w:b w:val="0"/>
              </w:rPr>
              <w:t>185,655.68</w:t>
            </w:r>
          </w:p>
        </w:tc>
        <w:tc>
          <w:tcPr>
            <w:tcW w:w="0" w:type="dxa"/>
          </w:tcPr>
          <w:p w14:paraId="020F309E">
            <w:pPr>
              <w:spacing w:line="240" w:lineRule="auto"/>
              <w:jc w:val="right"/>
            </w:pPr>
            <w:r>
              <w:rPr>
                <w:rFonts w:ascii="宋体" w:hAnsi="宋体" w:eastAsia="宋体" w:cs="宋体"/>
                <w:b w:val="0"/>
              </w:rPr>
              <w:t>1.57</w:t>
            </w:r>
          </w:p>
        </w:tc>
      </w:tr>
      <w:tr w14:paraId="6100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5B0469">
            <w:pPr>
              <w:spacing w:line="240" w:lineRule="auto"/>
              <w:jc w:val="center"/>
            </w:pPr>
            <w:r>
              <w:rPr>
                <w:rFonts w:ascii="宋体" w:hAnsi="宋体" w:eastAsia="宋体" w:cs="宋体"/>
                <w:b w:val="0"/>
              </w:rPr>
              <w:t>49</w:t>
            </w:r>
          </w:p>
        </w:tc>
        <w:tc>
          <w:tcPr>
            <w:tcW w:w="0" w:type="dxa"/>
          </w:tcPr>
          <w:p w14:paraId="6D1324A4">
            <w:pPr>
              <w:spacing w:line="240" w:lineRule="auto"/>
              <w:jc w:val="left"/>
            </w:pPr>
            <w:r>
              <w:rPr>
                <w:rFonts w:ascii="宋体" w:hAnsi="宋体" w:eastAsia="宋体" w:cs="宋体"/>
                <w:b w:val="0"/>
              </w:rPr>
              <w:t>920118</w:t>
            </w:r>
          </w:p>
        </w:tc>
        <w:tc>
          <w:tcPr>
            <w:tcW w:w="0" w:type="dxa"/>
          </w:tcPr>
          <w:p w14:paraId="11FEC0C9">
            <w:pPr>
              <w:spacing w:line="240" w:lineRule="auto"/>
              <w:jc w:val="left"/>
            </w:pPr>
            <w:r>
              <w:rPr>
                <w:rFonts w:ascii="宋体" w:hAnsi="宋体" w:eastAsia="宋体" w:cs="宋体"/>
                <w:b w:val="0"/>
              </w:rPr>
              <w:t>太湖远大</w:t>
            </w:r>
          </w:p>
        </w:tc>
        <w:tc>
          <w:tcPr>
            <w:tcW w:w="0" w:type="dxa"/>
          </w:tcPr>
          <w:p w14:paraId="13AB6769">
            <w:pPr>
              <w:spacing w:line="240" w:lineRule="auto"/>
              <w:jc w:val="right"/>
            </w:pPr>
            <w:r>
              <w:rPr>
                <w:rFonts w:ascii="宋体" w:hAnsi="宋体" w:eastAsia="宋体" w:cs="宋体"/>
                <w:b w:val="0"/>
              </w:rPr>
              <w:t>6,686</w:t>
            </w:r>
          </w:p>
        </w:tc>
        <w:tc>
          <w:tcPr>
            <w:tcW w:w="0" w:type="dxa"/>
          </w:tcPr>
          <w:p w14:paraId="5F1CA9CA">
            <w:pPr>
              <w:spacing w:line="240" w:lineRule="auto"/>
              <w:jc w:val="right"/>
            </w:pPr>
            <w:r>
              <w:rPr>
                <w:rFonts w:ascii="宋体" w:hAnsi="宋体" w:eastAsia="宋体" w:cs="宋体"/>
                <w:b w:val="0"/>
              </w:rPr>
              <w:t>185,001.62</w:t>
            </w:r>
          </w:p>
        </w:tc>
        <w:tc>
          <w:tcPr>
            <w:tcW w:w="0" w:type="dxa"/>
          </w:tcPr>
          <w:p w14:paraId="406A483F">
            <w:pPr>
              <w:spacing w:line="240" w:lineRule="auto"/>
              <w:jc w:val="right"/>
            </w:pPr>
            <w:r>
              <w:rPr>
                <w:rFonts w:ascii="宋体" w:hAnsi="宋体" w:eastAsia="宋体" w:cs="宋体"/>
                <w:b w:val="0"/>
              </w:rPr>
              <w:t>1.56</w:t>
            </w:r>
          </w:p>
        </w:tc>
      </w:tr>
      <w:tr w14:paraId="7334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BE9FB8">
            <w:pPr>
              <w:spacing w:line="240" w:lineRule="auto"/>
              <w:jc w:val="center"/>
            </w:pPr>
            <w:r>
              <w:rPr>
                <w:rFonts w:ascii="宋体" w:hAnsi="宋体" w:eastAsia="宋体" w:cs="宋体"/>
                <w:b w:val="0"/>
              </w:rPr>
              <w:t>50</w:t>
            </w:r>
          </w:p>
        </w:tc>
        <w:tc>
          <w:tcPr>
            <w:tcW w:w="0" w:type="dxa"/>
          </w:tcPr>
          <w:p w14:paraId="4C914CB9">
            <w:pPr>
              <w:spacing w:line="240" w:lineRule="auto"/>
              <w:jc w:val="left"/>
            </w:pPr>
            <w:r>
              <w:rPr>
                <w:rFonts w:ascii="宋体" w:hAnsi="宋体" w:eastAsia="宋体" w:cs="宋体"/>
                <w:b w:val="0"/>
              </w:rPr>
              <w:t>430718</w:t>
            </w:r>
          </w:p>
        </w:tc>
        <w:tc>
          <w:tcPr>
            <w:tcW w:w="0" w:type="dxa"/>
          </w:tcPr>
          <w:p w14:paraId="3AD20939">
            <w:pPr>
              <w:spacing w:line="240" w:lineRule="auto"/>
              <w:jc w:val="left"/>
            </w:pPr>
            <w:r>
              <w:rPr>
                <w:rFonts w:ascii="宋体" w:hAnsi="宋体" w:eastAsia="宋体" w:cs="宋体"/>
                <w:b w:val="0"/>
              </w:rPr>
              <w:t>合肥高科</w:t>
            </w:r>
          </w:p>
        </w:tc>
        <w:tc>
          <w:tcPr>
            <w:tcW w:w="0" w:type="dxa"/>
          </w:tcPr>
          <w:p w14:paraId="349669B0">
            <w:pPr>
              <w:spacing w:line="240" w:lineRule="auto"/>
              <w:jc w:val="right"/>
            </w:pPr>
            <w:r>
              <w:rPr>
                <w:rFonts w:ascii="宋体" w:hAnsi="宋体" w:eastAsia="宋体" w:cs="宋体"/>
                <w:b w:val="0"/>
              </w:rPr>
              <w:t>10,109</w:t>
            </w:r>
          </w:p>
        </w:tc>
        <w:tc>
          <w:tcPr>
            <w:tcW w:w="0" w:type="dxa"/>
          </w:tcPr>
          <w:p w14:paraId="3EFDE56B">
            <w:pPr>
              <w:spacing w:line="240" w:lineRule="auto"/>
              <w:jc w:val="right"/>
            </w:pPr>
            <w:r>
              <w:rPr>
                <w:rFonts w:ascii="宋体" w:hAnsi="宋体" w:eastAsia="宋体" w:cs="宋体"/>
                <w:b w:val="0"/>
              </w:rPr>
              <w:t>182,669.63</w:t>
            </w:r>
          </w:p>
        </w:tc>
        <w:tc>
          <w:tcPr>
            <w:tcW w:w="0" w:type="dxa"/>
          </w:tcPr>
          <w:p w14:paraId="30F996A9">
            <w:pPr>
              <w:spacing w:line="240" w:lineRule="auto"/>
              <w:jc w:val="right"/>
            </w:pPr>
            <w:r>
              <w:rPr>
                <w:rFonts w:ascii="宋体" w:hAnsi="宋体" w:eastAsia="宋体" w:cs="宋体"/>
                <w:b w:val="0"/>
              </w:rPr>
              <w:t>1.54</w:t>
            </w:r>
          </w:p>
        </w:tc>
      </w:tr>
      <w:tr w14:paraId="56CB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3460DA">
            <w:pPr>
              <w:spacing w:line="240" w:lineRule="auto"/>
              <w:jc w:val="center"/>
            </w:pPr>
            <w:r>
              <w:rPr>
                <w:rFonts w:ascii="宋体" w:hAnsi="宋体" w:eastAsia="宋体" w:cs="宋体"/>
                <w:b w:val="0"/>
              </w:rPr>
              <w:t>51</w:t>
            </w:r>
          </w:p>
        </w:tc>
        <w:tc>
          <w:tcPr>
            <w:tcW w:w="0" w:type="dxa"/>
          </w:tcPr>
          <w:p w14:paraId="575FF3BA">
            <w:pPr>
              <w:spacing w:line="240" w:lineRule="auto"/>
              <w:jc w:val="left"/>
            </w:pPr>
            <w:r>
              <w:rPr>
                <w:rFonts w:ascii="宋体" w:hAnsi="宋体" w:eastAsia="宋体" w:cs="宋体"/>
                <w:b w:val="0"/>
              </w:rPr>
              <w:t>873679</w:t>
            </w:r>
          </w:p>
        </w:tc>
        <w:tc>
          <w:tcPr>
            <w:tcW w:w="0" w:type="dxa"/>
          </w:tcPr>
          <w:p w14:paraId="55E2A49F">
            <w:pPr>
              <w:spacing w:line="240" w:lineRule="auto"/>
              <w:jc w:val="left"/>
            </w:pPr>
            <w:r>
              <w:rPr>
                <w:rFonts w:ascii="宋体" w:hAnsi="宋体" w:eastAsia="宋体" w:cs="宋体"/>
                <w:b w:val="0"/>
              </w:rPr>
              <w:t>前进科技</w:t>
            </w:r>
          </w:p>
        </w:tc>
        <w:tc>
          <w:tcPr>
            <w:tcW w:w="0" w:type="dxa"/>
          </w:tcPr>
          <w:p w14:paraId="1EAB7CA5">
            <w:pPr>
              <w:spacing w:line="240" w:lineRule="auto"/>
              <w:jc w:val="right"/>
            </w:pPr>
            <w:r>
              <w:rPr>
                <w:rFonts w:ascii="宋体" w:hAnsi="宋体" w:eastAsia="宋体" w:cs="宋体"/>
                <w:b w:val="0"/>
              </w:rPr>
              <w:t>8,804</w:t>
            </w:r>
          </w:p>
        </w:tc>
        <w:tc>
          <w:tcPr>
            <w:tcW w:w="0" w:type="dxa"/>
          </w:tcPr>
          <w:p w14:paraId="0C02FA85">
            <w:pPr>
              <w:spacing w:line="240" w:lineRule="auto"/>
              <w:jc w:val="right"/>
            </w:pPr>
            <w:r>
              <w:rPr>
                <w:rFonts w:ascii="宋体" w:hAnsi="宋体" w:eastAsia="宋体" w:cs="宋体"/>
                <w:b w:val="0"/>
              </w:rPr>
              <w:t>180,658.08</w:t>
            </w:r>
          </w:p>
        </w:tc>
        <w:tc>
          <w:tcPr>
            <w:tcW w:w="0" w:type="dxa"/>
          </w:tcPr>
          <w:p w14:paraId="7B239CB3">
            <w:pPr>
              <w:spacing w:line="240" w:lineRule="auto"/>
              <w:jc w:val="right"/>
            </w:pPr>
            <w:r>
              <w:rPr>
                <w:rFonts w:ascii="宋体" w:hAnsi="宋体" w:eastAsia="宋体" w:cs="宋体"/>
                <w:b w:val="0"/>
              </w:rPr>
              <w:t>1.53</w:t>
            </w:r>
          </w:p>
        </w:tc>
      </w:tr>
      <w:tr w14:paraId="3B28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57AE45">
            <w:pPr>
              <w:spacing w:line="240" w:lineRule="auto"/>
              <w:jc w:val="center"/>
            </w:pPr>
            <w:r>
              <w:rPr>
                <w:rFonts w:ascii="宋体" w:hAnsi="宋体" w:eastAsia="宋体" w:cs="宋体"/>
                <w:b w:val="0"/>
              </w:rPr>
              <w:t>52</w:t>
            </w:r>
          </w:p>
        </w:tc>
        <w:tc>
          <w:tcPr>
            <w:tcW w:w="0" w:type="dxa"/>
          </w:tcPr>
          <w:p w14:paraId="6FDDF233">
            <w:pPr>
              <w:spacing w:line="240" w:lineRule="auto"/>
              <w:jc w:val="left"/>
            </w:pPr>
            <w:r>
              <w:rPr>
                <w:rFonts w:ascii="宋体" w:hAnsi="宋体" w:eastAsia="宋体" w:cs="宋体"/>
                <w:b w:val="0"/>
              </w:rPr>
              <w:t>831855</w:t>
            </w:r>
          </w:p>
        </w:tc>
        <w:tc>
          <w:tcPr>
            <w:tcW w:w="0" w:type="dxa"/>
          </w:tcPr>
          <w:p w14:paraId="248E6F68">
            <w:pPr>
              <w:spacing w:line="240" w:lineRule="auto"/>
              <w:jc w:val="left"/>
            </w:pPr>
            <w:r>
              <w:rPr>
                <w:rFonts w:ascii="宋体" w:hAnsi="宋体" w:eastAsia="宋体" w:cs="宋体"/>
                <w:b w:val="0"/>
              </w:rPr>
              <w:t>浙江大农</w:t>
            </w:r>
          </w:p>
        </w:tc>
        <w:tc>
          <w:tcPr>
            <w:tcW w:w="0" w:type="dxa"/>
          </w:tcPr>
          <w:p w14:paraId="296E2DE2">
            <w:pPr>
              <w:spacing w:line="240" w:lineRule="auto"/>
              <w:jc w:val="right"/>
            </w:pPr>
            <w:r>
              <w:rPr>
                <w:rFonts w:ascii="宋体" w:hAnsi="宋体" w:eastAsia="宋体" w:cs="宋体"/>
                <w:b w:val="0"/>
              </w:rPr>
              <w:t>8,472</w:t>
            </w:r>
          </w:p>
        </w:tc>
        <w:tc>
          <w:tcPr>
            <w:tcW w:w="0" w:type="dxa"/>
          </w:tcPr>
          <w:p w14:paraId="2C318A22">
            <w:pPr>
              <w:spacing w:line="240" w:lineRule="auto"/>
              <w:jc w:val="right"/>
            </w:pPr>
            <w:r>
              <w:rPr>
                <w:rFonts w:ascii="宋体" w:hAnsi="宋体" w:eastAsia="宋体" w:cs="宋体"/>
                <w:b w:val="0"/>
              </w:rPr>
              <w:t>179,098.08</w:t>
            </w:r>
          </w:p>
        </w:tc>
        <w:tc>
          <w:tcPr>
            <w:tcW w:w="0" w:type="dxa"/>
          </w:tcPr>
          <w:p w14:paraId="33F4E17A">
            <w:pPr>
              <w:spacing w:line="240" w:lineRule="auto"/>
              <w:jc w:val="right"/>
            </w:pPr>
            <w:r>
              <w:rPr>
                <w:rFonts w:ascii="宋体" w:hAnsi="宋体" w:eastAsia="宋体" w:cs="宋体"/>
                <w:b w:val="0"/>
              </w:rPr>
              <w:t>1.51</w:t>
            </w:r>
          </w:p>
        </w:tc>
      </w:tr>
      <w:tr w14:paraId="3C6D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A816B5">
            <w:pPr>
              <w:spacing w:line="240" w:lineRule="auto"/>
              <w:jc w:val="center"/>
            </w:pPr>
            <w:r>
              <w:rPr>
                <w:rFonts w:ascii="宋体" w:hAnsi="宋体" w:eastAsia="宋体" w:cs="宋体"/>
                <w:b w:val="0"/>
              </w:rPr>
              <w:t>53</w:t>
            </w:r>
          </w:p>
        </w:tc>
        <w:tc>
          <w:tcPr>
            <w:tcW w:w="0" w:type="dxa"/>
          </w:tcPr>
          <w:p w14:paraId="0A56CB27">
            <w:pPr>
              <w:spacing w:line="240" w:lineRule="auto"/>
              <w:jc w:val="left"/>
            </w:pPr>
            <w:r>
              <w:rPr>
                <w:rFonts w:ascii="宋体" w:hAnsi="宋体" w:eastAsia="宋体" w:cs="宋体"/>
                <w:b w:val="0"/>
              </w:rPr>
              <w:t>836871</w:t>
            </w:r>
          </w:p>
        </w:tc>
        <w:tc>
          <w:tcPr>
            <w:tcW w:w="0" w:type="dxa"/>
          </w:tcPr>
          <w:p w14:paraId="2583B266">
            <w:pPr>
              <w:spacing w:line="240" w:lineRule="auto"/>
              <w:jc w:val="left"/>
            </w:pPr>
            <w:r>
              <w:rPr>
                <w:rFonts w:ascii="宋体" w:hAnsi="宋体" w:eastAsia="宋体" w:cs="宋体"/>
                <w:b w:val="0"/>
              </w:rPr>
              <w:t>派特尔</w:t>
            </w:r>
          </w:p>
        </w:tc>
        <w:tc>
          <w:tcPr>
            <w:tcW w:w="0" w:type="dxa"/>
          </w:tcPr>
          <w:p w14:paraId="295749F1">
            <w:pPr>
              <w:spacing w:line="240" w:lineRule="auto"/>
              <w:jc w:val="right"/>
            </w:pPr>
            <w:r>
              <w:rPr>
                <w:rFonts w:ascii="宋体" w:hAnsi="宋体" w:eastAsia="宋体" w:cs="宋体"/>
                <w:b w:val="0"/>
              </w:rPr>
              <w:t>5,136</w:t>
            </w:r>
          </w:p>
        </w:tc>
        <w:tc>
          <w:tcPr>
            <w:tcW w:w="0" w:type="dxa"/>
          </w:tcPr>
          <w:p w14:paraId="5681428E">
            <w:pPr>
              <w:spacing w:line="240" w:lineRule="auto"/>
              <w:jc w:val="right"/>
            </w:pPr>
            <w:r>
              <w:rPr>
                <w:rFonts w:ascii="宋体" w:hAnsi="宋体" w:eastAsia="宋体" w:cs="宋体"/>
                <w:b w:val="0"/>
              </w:rPr>
              <w:t>99,741.12</w:t>
            </w:r>
          </w:p>
        </w:tc>
        <w:tc>
          <w:tcPr>
            <w:tcW w:w="0" w:type="dxa"/>
          </w:tcPr>
          <w:p w14:paraId="3E28B7DB">
            <w:pPr>
              <w:spacing w:line="240" w:lineRule="auto"/>
              <w:jc w:val="right"/>
            </w:pPr>
            <w:r>
              <w:rPr>
                <w:rFonts w:ascii="宋体" w:hAnsi="宋体" w:eastAsia="宋体" w:cs="宋体"/>
                <w:b w:val="0"/>
              </w:rPr>
              <w:t>0.84</w:t>
            </w:r>
          </w:p>
        </w:tc>
      </w:tr>
    </w:tbl>
    <w:p w14:paraId="5D706868"/>
    <w:p w14:paraId="07602772">
      <w:pPr>
        <w:pStyle w:val="3"/>
        <w:jc w:val="left"/>
      </w:pPr>
      <w:bookmarkStart w:id="36" w:name="_Toc20742"/>
      <w:r>
        <w:rPr>
          <w:rFonts w:ascii="宋体" w:hAnsi="宋体" w:eastAsia="宋体" w:cs="宋体"/>
        </w:rPr>
        <w:t>7.4 报告期内股票投资组合的重大变动</w:t>
      </w:r>
      <w:bookmarkEnd w:id="36"/>
    </w:p>
    <w:p w14:paraId="499EBF4F">
      <w:r>
        <w:rPr>
          <w:rFonts w:ascii="宋体" w:hAnsi="宋体" w:eastAsia="宋体" w:cs="宋体"/>
          <w:b/>
        </w:rPr>
        <w:t>7.4.1 累计买入金额超出期末基金资产净值2%或前20名的股票明细</w:t>
      </w:r>
    </w:p>
    <w:p w14:paraId="4DBEBBD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5EA6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F5DBAE1">
            <w:pPr>
              <w:spacing w:line="240" w:lineRule="auto"/>
              <w:jc w:val="center"/>
            </w:pPr>
            <w:r>
              <w:rPr>
                <w:rFonts w:ascii="宋体" w:hAnsi="宋体" w:eastAsia="宋体" w:cs="宋体"/>
                <w:b w:val="0"/>
              </w:rPr>
              <w:t>序号</w:t>
            </w:r>
          </w:p>
        </w:tc>
        <w:tc>
          <w:tcPr>
            <w:tcW w:w="769" w:type="pct"/>
            <w:shd w:val="clear" w:color="auto" w:fill="D9D9D9"/>
            <w:vAlign w:val="center"/>
          </w:tcPr>
          <w:p w14:paraId="73D88544">
            <w:pPr>
              <w:spacing w:line="240" w:lineRule="auto"/>
              <w:jc w:val="center"/>
            </w:pPr>
            <w:r>
              <w:rPr>
                <w:rFonts w:ascii="宋体" w:hAnsi="宋体" w:eastAsia="宋体" w:cs="宋体"/>
                <w:b w:val="0"/>
              </w:rPr>
              <w:t>股票代码</w:t>
            </w:r>
          </w:p>
        </w:tc>
        <w:tc>
          <w:tcPr>
            <w:tcW w:w="769" w:type="pct"/>
            <w:shd w:val="clear" w:color="auto" w:fill="D9D9D9"/>
            <w:vAlign w:val="center"/>
          </w:tcPr>
          <w:p w14:paraId="24908D84">
            <w:pPr>
              <w:spacing w:line="240" w:lineRule="auto"/>
              <w:jc w:val="center"/>
            </w:pPr>
            <w:r>
              <w:rPr>
                <w:rFonts w:ascii="宋体" w:hAnsi="宋体" w:eastAsia="宋体" w:cs="宋体"/>
                <w:b w:val="0"/>
              </w:rPr>
              <w:t>股票名称</w:t>
            </w:r>
          </w:p>
        </w:tc>
        <w:tc>
          <w:tcPr>
            <w:tcW w:w="769" w:type="pct"/>
            <w:shd w:val="clear" w:color="auto" w:fill="D9D9D9"/>
            <w:vAlign w:val="center"/>
          </w:tcPr>
          <w:p w14:paraId="5BA5B2FC">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0622D778">
            <w:pPr>
              <w:spacing w:line="240" w:lineRule="auto"/>
              <w:jc w:val="center"/>
            </w:pPr>
            <w:r>
              <w:rPr>
                <w:rFonts w:ascii="宋体" w:hAnsi="宋体" w:eastAsia="宋体" w:cs="宋体"/>
                <w:b w:val="0"/>
              </w:rPr>
              <w:t>占期末基金资产净值比例（％）</w:t>
            </w:r>
          </w:p>
        </w:tc>
      </w:tr>
      <w:tr w14:paraId="469E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64845E">
            <w:pPr>
              <w:spacing w:line="240" w:lineRule="auto"/>
              <w:jc w:val="center"/>
            </w:pPr>
            <w:r>
              <w:rPr>
                <w:rFonts w:ascii="宋体" w:hAnsi="宋体" w:eastAsia="宋体" w:cs="宋体"/>
                <w:b w:val="0"/>
              </w:rPr>
              <w:t>1</w:t>
            </w:r>
          </w:p>
        </w:tc>
        <w:tc>
          <w:tcPr>
            <w:tcW w:w="0" w:type="dxa"/>
          </w:tcPr>
          <w:p w14:paraId="1AD7BE9E">
            <w:pPr>
              <w:spacing w:line="240" w:lineRule="auto"/>
              <w:jc w:val="left"/>
            </w:pPr>
            <w:r>
              <w:rPr>
                <w:rFonts w:ascii="宋体" w:hAnsi="宋体" w:eastAsia="宋体" w:cs="宋体"/>
                <w:b w:val="0"/>
              </w:rPr>
              <w:t>832982</w:t>
            </w:r>
          </w:p>
        </w:tc>
        <w:tc>
          <w:tcPr>
            <w:tcW w:w="0" w:type="dxa"/>
          </w:tcPr>
          <w:p w14:paraId="390FEF0C">
            <w:pPr>
              <w:spacing w:line="240" w:lineRule="auto"/>
              <w:jc w:val="left"/>
            </w:pPr>
            <w:r>
              <w:rPr>
                <w:rFonts w:ascii="宋体" w:hAnsi="宋体" w:eastAsia="宋体" w:cs="宋体"/>
                <w:b w:val="0"/>
              </w:rPr>
              <w:t>锦波生物</w:t>
            </w:r>
          </w:p>
        </w:tc>
        <w:tc>
          <w:tcPr>
            <w:tcW w:w="0" w:type="dxa"/>
          </w:tcPr>
          <w:p w14:paraId="448E7A33">
            <w:pPr>
              <w:spacing w:line="240" w:lineRule="auto"/>
              <w:jc w:val="right"/>
            </w:pPr>
            <w:r>
              <w:rPr>
                <w:rFonts w:ascii="宋体" w:hAnsi="宋体" w:eastAsia="宋体" w:cs="宋体"/>
                <w:b w:val="0"/>
              </w:rPr>
              <w:t>1,130,505.35</w:t>
            </w:r>
          </w:p>
        </w:tc>
        <w:tc>
          <w:tcPr>
            <w:tcW w:w="0" w:type="dxa"/>
          </w:tcPr>
          <w:p w14:paraId="369D6CCB">
            <w:pPr>
              <w:spacing w:line="240" w:lineRule="auto"/>
              <w:jc w:val="right"/>
            </w:pPr>
            <w:r>
              <w:rPr>
                <w:rFonts w:ascii="宋体" w:hAnsi="宋体" w:eastAsia="宋体" w:cs="宋体"/>
                <w:b w:val="0"/>
              </w:rPr>
              <w:t>9.55</w:t>
            </w:r>
          </w:p>
        </w:tc>
      </w:tr>
      <w:tr w14:paraId="0258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151187">
            <w:pPr>
              <w:spacing w:line="240" w:lineRule="auto"/>
              <w:jc w:val="center"/>
            </w:pPr>
            <w:r>
              <w:rPr>
                <w:rFonts w:ascii="宋体" w:hAnsi="宋体" w:eastAsia="宋体" w:cs="宋体"/>
                <w:b w:val="0"/>
              </w:rPr>
              <w:t>2</w:t>
            </w:r>
          </w:p>
        </w:tc>
        <w:tc>
          <w:tcPr>
            <w:tcW w:w="0" w:type="dxa"/>
          </w:tcPr>
          <w:p w14:paraId="52E0EEF0">
            <w:pPr>
              <w:spacing w:line="240" w:lineRule="auto"/>
              <w:jc w:val="left"/>
            </w:pPr>
            <w:r>
              <w:rPr>
                <w:rFonts w:ascii="宋体" w:hAnsi="宋体" w:eastAsia="宋体" w:cs="宋体"/>
                <w:b w:val="0"/>
              </w:rPr>
              <w:t>832978</w:t>
            </w:r>
          </w:p>
        </w:tc>
        <w:tc>
          <w:tcPr>
            <w:tcW w:w="0" w:type="dxa"/>
          </w:tcPr>
          <w:p w14:paraId="5E761C74">
            <w:pPr>
              <w:spacing w:line="240" w:lineRule="auto"/>
              <w:jc w:val="left"/>
            </w:pPr>
            <w:r>
              <w:rPr>
                <w:rFonts w:ascii="宋体" w:hAnsi="宋体" w:eastAsia="宋体" w:cs="宋体"/>
                <w:b w:val="0"/>
              </w:rPr>
              <w:t>开特股份</w:t>
            </w:r>
          </w:p>
        </w:tc>
        <w:tc>
          <w:tcPr>
            <w:tcW w:w="0" w:type="dxa"/>
          </w:tcPr>
          <w:p w14:paraId="28E78DEF">
            <w:pPr>
              <w:spacing w:line="240" w:lineRule="auto"/>
              <w:jc w:val="right"/>
            </w:pPr>
            <w:r>
              <w:rPr>
                <w:rFonts w:ascii="宋体" w:hAnsi="宋体" w:eastAsia="宋体" w:cs="宋体"/>
                <w:b w:val="0"/>
              </w:rPr>
              <w:t>1,053,270.39</w:t>
            </w:r>
          </w:p>
        </w:tc>
        <w:tc>
          <w:tcPr>
            <w:tcW w:w="0" w:type="dxa"/>
          </w:tcPr>
          <w:p w14:paraId="6E2F256B">
            <w:pPr>
              <w:spacing w:line="240" w:lineRule="auto"/>
              <w:jc w:val="right"/>
            </w:pPr>
            <w:r>
              <w:rPr>
                <w:rFonts w:ascii="宋体" w:hAnsi="宋体" w:eastAsia="宋体" w:cs="宋体"/>
                <w:b w:val="0"/>
              </w:rPr>
              <w:t>8.90</w:t>
            </w:r>
          </w:p>
        </w:tc>
      </w:tr>
      <w:tr w14:paraId="5E65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5C3E40">
            <w:pPr>
              <w:spacing w:line="240" w:lineRule="auto"/>
              <w:jc w:val="center"/>
            </w:pPr>
            <w:r>
              <w:rPr>
                <w:rFonts w:ascii="宋体" w:hAnsi="宋体" w:eastAsia="宋体" w:cs="宋体"/>
                <w:b w:val="0"/>
              </w:rPr>
              <w:t>3</w:t>
            </w:r>
          </w:p>
        </w:tc>
        <w:tc>
          <w:tcPr>
            <w:tcW w:w="0" w:type="dxa"/>
          </w:tcPr>
          <w:p w14:paraId="269B9610">
            <w:pPr>
              <w:spacing w:line="240" w:lineRule="auto"/>
              <w:jc w:val="left"/>
            </w:pPr>
            <w:r>
              <w:rPr>
                <w:rFonts w:ascii="宋体" w:hAnsi="宋体" w:eastAsia="宋体" w:cs="宋体"/>
                <w:b w:val="0"/>
              </w:rPr>
              <w:t>832419</w:t>
            </w:r>
          </w:p>
        </w:tc>
        <w:tc>
          <w:tcPr>
            <w:tcW w:w="0" w:type="dxa"/>
          </w:tcPr>
          <w:p w14:paraId="6386A4B5">
            <w:pPr>
              <w:spacing w:line="240" w:lineRule="auto"/>
              <w:jc w:val="left"/>
            </w:pPr>
            <w:r>
              <w:rPr>
                <w:rFonts w:ascii="宋体" w:hAnsi="宋体" w:eastAsia="宋体" w:cs="宋体"/>
                <w:b w:val="0"/>
              </w:rPr>
              <w:t>路斯股份</w:t>
            </w:r>
          </w:p>
        </w:tc>
        <w:tc>
          <w:tcPr>
            <w:tcW w:w="0" w:type="dxa"/>
          </w:tcPr>
          <w:p w14:paraId="1EE19ECA">
            <w:pPr>
              <w:spacing w:line="240" w:lineRule="auto"/>
              <w:jc w:val="right"/>
            </w:pPr>
            <w:r>
              <w:rPr>
                <w:rFonts w:ascii="宋体" w:hAnsi="宋体" w:eastAsia="宋体" w:cs="宋体"/>
                <w:b w:val="0"/>
              </w:rPr>
              <w:t>942,740.61</w:t>
            </w:r>
          </w:p>
        </w:tc>
        <w:tc>
          <w:tcPr>
            <w:tcW w:w="0" w:type="dxa"/>
          </w:tcPr>
          <w:p w14:paraId="46DD7390">
            <w:pPr>
              <w:spacing w:line="240" w:lineRule="auto"/>
              <w:jc w:val="right"/>
            </w:pPr>
            <w:r>
              <w:rPr>
                <w:rFonts w:ascii="宋体" w:hAnsi="宋体" w:eastAsia="宋体" w:cs="宋体"/>
                <w:b w:val="0"/>
              </w:rPr>
              <w:t>7.96</w:t>
            </w:r>
          </w:p>
        </w:tc>
      </w:tr>
      <w:tr w14:paraId="76EC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8A0445">
            <w:pPr>
              <w:spacing w:line="240" w:lineRule="auto"/>
              <w:jc w:val="center"/>
            </w:pPr>
            <w:r>
              <w:rPr>
                <w:rFonts w:ascii="宋体" w:hAnsi="宋体" w:eastAsia="宋体" w:cs="宋体"/>
                <w:b w:val="0"/>
              </w:rPr>
              <w:t>4</w:t>
            </w:r>
          </w:p>
        </w:tc>
        <w:tc>
          <w:tcPr>
            <w:tcW w:w="0" w:type="dxa"/>
          </w:tcPr>
          <w:p w14:paraId="458DB0E3">
            <w:pPr>
              <w:spacing w:line="240" w:lineRule="auto"/>
              <w:jc w:val="left"/>
            </w:pPr>
            <w:r>
              <w:rPr>
                <w:rFonts w:ascii="宋体" w:hAnsi="宋体" w:eastAsia="宋体" w:cs="宋体"/>
                <w:b w:val="0"/>
              </w:rPr>
              <w:t>837403</w:t>
            </w:r>
          </w:p>
        </w:tc>
        <w:tc>
          <w:tcPr>
            <w:tcW w:w="0" w:type="dxa"/>
          </w:tcPr>
          <w:p w14:paraId="49B408C3">
            <w:pPr>
              <w:spacing w:line="240" w:lineRule="auto"/>
              <w:jc w:val="left"/>
            </w:pPr>
            <w:r>
              <w:rPr>
                <w:rFonts w:ascii="宋体" w:hAnsi="宋体" w:eastAsia="宋体" w:cs="宋体"/>
                <w:b w:val="0"/>
              </w:rPr>
              <w:t>康农种业</w:t>
            </w:r>
          </w:p>
        </w:tc>
        <w:tc>
          <w:tcPr>
            <w:tcW w:w="0" w:type="dxa"/>
          </w:tcPr>
          <w:p w14:paraId="5BCC96F6">
            <w:pPr>
              <w:spacing w:line="240" w:lineRule="auto"/>
              <w:jc w:val="right"/>
            </w:pPr>
            <w:r>
              <w:rPr>
                <w:rFonts w:ascii="宋体" w:hAnsi="宋体" w:eastAsia="宋体" w:cs="宋体"/>
                <w:b w:val="0"/>
              </w:rPr>
              <w:t>862,191.85</w:t>
            </w:r>
          </w:p>
        </w:tc>
        <w:tc>
          <w:tcPr>
            <w:tcW w:w="0" w:type="dxa"/>
          </w:tcPr>
          <w:p w14:paraId="54D2036C">
            <w:pPr>
              <w:spacing w:line="240" w:lineRule="auto"/>
              <w:jc w:val="right"/>
            </w:pPr>
            <w:r>
              <w:rPr>
                <w:rFonts w:ascii="宋体" w:hAnsi="宋体" w:eastAsia="宋体" w:cs="宋体"/>
                <w:b w:val="0"/>
              </w:rPr>
              <w:t>7.28</w:t>
            </w:r>
          </w:p>
        </w:tc>
      </w:tr>
      <w:tr w14:paraId="6B8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7C1276">
            <w:pPr>
              <w:spacing w:line="240" w:lineRule="auto"/>
              <w:jc w:val="center"/>
            </w:pPr>
            <w:r>
              <w:rPr>
                <w:rFonts w:ascii="宋体" w:hAnsi="宋体" w:eastAsia="宋体" w:cs="宋体"/>
                <w:b w:val="0"/>
              </w:rPr>
              <w:t>5</w:t>
            </w:r>
          </w:p>
        </w:tc>
        <w:tc>
          <w:tcPr>
            <w:tcW w:w="0" w:type="dxa"/>
          </w:tcPr>
          <w:p w14:paraId="3B33F544">
            <w:pPr>
              <w:spacing w:line="240" w:lineRule="auto"/>
              <w:jc w:val="left"/>
            </w:pPr>
            <w:r>
              <w:rPr>
                <w:rFonts w:ascii="宋体" w:hAnsi="宋体" w:eastAsia="宋体" w:cs="宋体"/>
                <w:b w:val="0"/>
              </w:rPr>
              <w:t>833429</w:t>
            </w:r>
          </w:p>
        </w:tc>
        <w:tc>
          <w:tcPr>
            <w:tcW w:w="0" w:type="dxa"/>
          </w:tcPr>
          <w:p w14:paraId="4C222DD6">
            <w:pPr>
              <w:spacing w:line="240" w:lineRule="auto"/>
              <w:jc w:val="left"/>
            </w:pPr>
            <w:r>
              <w:rPr>
                <w:rFonts w:ascii="宋体" w:hAnsi="宋体" w:eastAsia="宋体" w:cs="宋体"/>
                <w:b w:val="0"/>
              </w:rPr>
              <w:t>康比特</w:t>
            </w:r>
          </w:p>
        </w:tc>
        <w:tc>
          <w:tcPr>
            <w:tcW w:w="0" w:type="dxa"/>
          </w:tcPr>
          <w:p w14:paraId="4732E818">
            <w:pPr>
              <w:spacing w:line="240" w:lineRule="auto"/>
              <w:jc w:val="right"/>
            </w:pPr>
            <w:r>
              <w:rPr>
                <w:rFonts w:ascii="宋体" w:hAnsi="宋体" w:eastAsia="宋体" w:cs="宋体"/>
                <w:b w:val="0"/>
              </w:rPr>
              <w:t>768,087.42</w:t>
            </w:r>
          </w:p>
        </w:tc>
        <w:tc>
          <w:tcPr>
            <w:tcW w:w="0" w:type="dxa"/>
          </w:tcPr>
          <w:p w14:paraId="3091E2C2">
            <w:pPr>
              <w:spacing w:line="240" w:lineRule="auto"/>
              <w:jc w:val="right"/>
            </w:pPr>
            <w:r>
              <w:rPr>
                <w:rFonts w:ascii="宋体" w:hAnsi="宋体" w:eastAsia="宋体" w:cs="宋体"/>
                <w:b w:val="0"/>
              </w:rPr>
              <w:t>6.49</w:t>
            </w:r>
          </w:p>
        </w:tc>
      </w:tr>
      <w:tr w14:paraId="24CC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AF7C4">
            <w:pPr>
              <w:spacing w:line="240" w:lineRule="auto"/>
              <w:jc w:val="center"/>
            </w:pPr>
            <w:r>
              <w:rPr>
                <w:rFonts w:ascii="宋体" w:hAnsi="宋体" w:eastAsia="宋体" w:cs="宋体"/>
                <w:b w:val="0"/>
              </w:rPr>
              <w:t>6</w:t>
            </w:r>
          </w:p>
        </w:tc>
        <w:tc>
          <w:tcPr>
            <w:tcW w:w="0" w:type="dxa"/>
          </w:tcPr>
          <w:p w14:paraId="32072F4B">
            <w:pPr>
              <w:spacing w:line="240" w:lineRule="auto"/>
              <w:jc w:val="left"/>
            </w:pPr>
            <w:r>
              <w:rPr>
                <w:rFonts w:ascii="宋体" w:hAnsi="宋体" w:eastAsia="宋体" w:cs="宋体"/>
                <w:b w:val="0"/>
              </w:rPr>
              <w:t>836208</w:t>
            </w:r>
          </w:p>
        </w:tc>
        <w:tc>
          <w:tcPr>
            <w:tcW w:w="0" w:type="dxa"/>
          </w:tcPr>
          <w:p w14:paraId="411E149E">
            <w:pPr>
              <w:spacing w:line="240" w:lineRule="auto"/>
              <w:jc w:val="left"/>
            </w:pPr>
            <w:r>
              <w:rPr>
                <w:rFonts w:ascii="宋体" w:hAnsi="宋体" w:eastAsia="宋体" w:cs="宋体"/>
                <w:b w:val="0"/>
              </w:rPr>
              <w:t>青矩技术</w:t>
            </w:r>
          </w:p>
        </w:tc>
        <w:tc>
          <w:tcPr>
            <w:tcW w:w="0" w:type="dxa"/>
          </w:tcPr>
          <w:p w14:paraId="0ED4D040">
            <w:pPr>
              <w:spacing w:line="240" w:lineRule="auto"/>
              <w:jc w:val="right"/>
            </w:pPr>
            <w:r>
              <w:rPr>
                <w:rFonts w:ascii="宋体" w:hAnsi="宋体" w:eastAsia="宋体" w:cs="宋体"/>
                <w:b w:val="0"/>
              </w:rPr>
              <w:t>629,738.83</w:t>
            </w:r>
          </w:p>
        </w:tc>
        <w:tc>
          <w:tcPr>
            <w:tcW w:w="0" w:type="dxa"/>
          </w:tcPr>
          <w:p w14:paraId="7CA8F038">
            <w:pPr>
              <w:spacing w:line="240" w:lineRule="auto"/>
              <w:jc w:val="right"/>
            </w:pPr>
            <w:r>
              <w:rPr>
                <w:rFonts w:ascii="宋体" w:hAnsi="宋体" w:eastAsia="宋体" w:cs="宋体"/>
                <w:b w:val="0"/>
              </w:rPr>
              <w:t>5.32</w:t>
            </w:r>
          </w:p>
        </w:tc>
      </w:tr>
      <w:tr w14:paraId="7999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6E03C6">
            <w:pPr>
              <w:spacing w:line="240" w:lineRule="auto"/>
              <w:jc w:val="center"/>
            </w:pPr>
            <w:r>
              <w:rPr>
                <w:rFonts w:ascii="宋体" w:hAnsi="宋体" w:eastAsia="宋体" w:cs="宋体"/>
                <w:b w:val="0"/>
              </w:rPr>
              <w:t>7</w:t>
            </w:r>
          </w:p>
        </w:tc>
        <w:tc>
          <w:tcPr>
            <w:tcW w:w="0" w:type="dxa"/>
          </w:tcPr>
          <w:p w14:paraId="5379BB2F">
            <w:pPr>
              <w:spacing w:line="240" w:lineRule="auto"/>
              <w:jc w:val="left"/>
            </w:pPr>
            <w:r>
              <w:rPr>
                <w:rFonts w:ascii="宋体" w:hAnsi="宋体" w:eastAsia="宋体" w:cs="宋体"/>
                <w:b w:val="0"/>
              </w:rPr>
              <w:t>871396</w:t>
            </w:r>
          </w:p>
        </w:tc>
        <w:tc>
          <w:tcPr>
            <w:tcW w:w="0" w:type="dxa"/>
          </w:tcPr>
          <w:p w14:paraId="6219DBD8">
            <w:pPr>
              <w:spacing w:line="240" w:lineRule="auto"/>
              <w:jc w:val="left"/>
            </w:pPr>
            <w:r>
              <w:rPr>
                <w:rFonts w:ascii="宋体" w:hAnsi="宋体" w:eastAsia="宋体" w:cs="宋体"/>
                <w:b w:val="0"/>
              </w:rPr>
              <w:t>常辅股份</w:t>
            </w:r>
          </w:p>
        </w:tc>
        <w:tc>
          <w:tcPr>
            <w:tcW w:w="0" w:type="dxa"/>
          </w:tcPr>
          <w:p w14:paraId="3CA55B3E">
            <w:pPr>
              <w:spacing w:line="240" w:lineRule="auto"/>
              <w:jc w:val="right"/>
            </w:pPr>
            <w:r>
              <w:rPr>
                <w:rFonts w:ascii="宋体" w:hAnsi="宋体" w:eastAsia="宋体" w:cs="宋体"/>
                <w:b w:val="0"/>
              </w:rPr>
              <w:t>539,782.98</w:t>
            </w:r>
          </w:p>
        </w:tc>
        <w:tc>
          <w:tcPr>
            <w:tcW w:w="0" w:type="dxa"/>
          </w:tcPr>
          <w:p w14:paraId="45D076AD">
            <w:pPr>
              <w:spacing w:line="240" w:lineRule="auto"/>
              <w:jc w:val="right"/>
            </w:pPr>
            <w:r>
              <w:rPr>
                <w:rFonts w:ascii="宋体" w:hAnsi="宋体" w:eastAsia="宋体" w:cs="宋体"/>
                <w:b w:val="0"/>
              </w:rPr>
              <w:t>4.56</w:t>
            </w:r>
          </w:p>
        </w:tc>
      </w:tr>
      <w:tr w14:paraId="6F3B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758C89">
            <w:pPr>
              <w:spacing w:line="240" w:lineRule="auto"/>
              <w:jc w:val="center"/>
            </w:pPr>
            <w:r>
              <w:rPr>
                <w:rFonts w:ascii="宋体" w:hAnsi="宋体" w:eastAsia="宋体" w:cs="宋体"/>
                <w:b w:val="0"/>
              </w:rPr>
              <w:t>8</w:t>
            </w:r>
          </w:p>
        </w:tc>
        <w:tc>
          <w:tcPr>
            <w:tcW w:w="0" w:type="dxa"/>
          </w:tcPr>
          <w:p w14:paraId="731D11CE">
            <w:pPr>
              <w:spacing w:line="240" w:lineRule="auto"/>
              <w:jc w:val="left"/>
            </w:pPr>
            <w:r>
              <w:rPr>
                <w:rFonts w:ascii="宋体" w:hAnsi="宋体" w:eastAsia="宋体" w:cs="宋体"/>
                <w:b w:val="0"/>
              </w:rPr>
              <w:t>833394</w:t>
            </w:r>
          </w:p>
        </w:tc>
        <w:tc>
          <w:tcPr>
            <w:tcW w:w="0" w:type="dxa"/>
          </w:tcPr>
          <w:p w14:paraId="5B3AA034">
            <w:pPr>
              <w:spacing w:line="240" w:lineRule="auto"/>
              <w:jc w:val="left"/>
            </w:pPr>
            <w:r>
              <w:rPr>
                <w:rFonts w:ascii="宋体" w:hAnsi="宋体" w:eastAsia="宋体" w:cs="宋体"/>
                <w:b w:val="0"/>
              </w:rPr>
              <w:t>民士达</w:t>
            </w:r>
          </w:p>
        </w:tc>
        <w:tc>
          <w:tcPr>
            <w:tcW w:w="0" w:type="dxa"/>
          </w:tcPr>
          <w:p w14:paraId="79C7134F">
            <w:pPr>
              <w:spacing w:line="240" w:lineRule="auto"/>
              <w:jc w:val="right"/>
            </w:pPr>
            <w:r>
              <w:rPr>
                <w:rFonts w:ascii="宋体" w:hAnsi="宋体" w:eastAsia="宋体" w:cs="宋体"/>
                <w:b w:val="0"/>
              </w:rPr>
              <w:t>489,233.99</w:t>
            </w:r>
          </w:p>
        </w:tc>
        <w:tc>
          <w:tcPr>
            <w:tcW w:w="0" w:type="dxa"/>
          </w:tcPr>
          <w:p w14:paraId="37BBCEF9">
            <w:pPr>
              <w:spacing w:line="240" w:lineRule="auto"/>
              <w:jc w:val="right"/>
            </w:pPr>
            <w:r>
              <w:rPr>
                <w:rFonts w:ascii="宋体" w:hAnsi="宋体" w:eastAsia="宋体" w:cs="宋体"/>
                <w:b w:val="0"/>
              </w:rPr>
              <w:t>4.13</w:t>
            </w:r>
          </w:p>
        </w:tc>
      </w:tr>
      <w:tr w14:paraId="7628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D97ABD">
            <w:pPr>
              <w:spacing w:line="240" w:lineRule="auto"/>
              <w:jc w:val="center"/>
            </w:pPr>
            <w:r>
              <w:rPr>
                <w:rFonts w:ascii="宋体" w:hAnsi="宋体" w:eastAsia="宋体" w:cs="宋体"/>
                <w:b w:val="0"/>
              </w:rPr>
              <w:t>9</w:t>
            </w:r>
          </w:p>
        </w:tc>
        <w:tc>
          <w:tcPr>
            <w:tcW w:w="0" w:type="dxa"/>
          </w:tcPr>
          <w:p w14:paraId="2CC07BE4">
            <w:pPr>
              <w:spacing w:line="240" w:lineRule="auto"/>
              <w:jc w:val="left"/>
            </w:pPr>
            <w:r>
              <w:rPr>
                <w:rFonts w:ascii="宋体" w:hAnsi="宋体" w:eastAsia="宋体" w:cs="宋体"/>
                <w:b w:val="0"/>
              </w:rPr>
              <w:t>835174</w:t>
            </w:r>
          </w:p>
        </w:tc>
        <w:tc>
          <w:tcPr>
            <w:tcW w:w="0" w:type="dxa"/>
          </w:tcPr>
          <w:p w14:paraId="4B92A8C1">
            <w:pPr>
              <w:spacing w:line="240" w:lineRule="auto"/>
              <w:jc w:val="left"/>
            </w:pPr>
            <w:r>
              <w:rPr>
                <w:rFonts w:ascii="宋体" w:hAnsi="宋体" w:eastAsia="宋体" w:cs="宋体"/>
                <w:b w:val="0"/>
              </w:rPr>
              <w:t>五新隧装</w:t>
            </w:r>
          </w:p>
        </w:tc>
        <w:tc>
          <w:tcPr>
            <w:tcW w:w="0" w:type="dxa"/>
          </w:tcPr>
          <w:p w14:paraId="33648EBE">
            <w:pPr>
              <w:spacing w:line="240" w:lineRule="auto"/>
              <w:jc w:val="right"/>
            </w:pPr>
            <w:r>
              <w:rPr>
                <w:rFonts w:ascii="宋体" w:hAnsi="宋体" w:eastAsia="宋体" w:cs="宋体"/>
                <w:b w:val="0"/>
              </w:rPr>
              <w:t>439,682.35</w:t>
            </w:r>
          </w:p>
        </w:tc>
        <w:tc>
          <w:tcPr>
            <w:tcW w:w="0" w:type="dxa"/>
          </w:tcPr>
          <w:p w14:paraId="24AA853F">
            <w:pPr>
              <w:spacing w:line="240" w:lineRule="auto"/>
              <w:jc w:val="right"/>
            </w:pPr>
            <w:r>
              <w:rPr>
                <w:rFonts w:ascii="宋体" w:hAnsi="宋体" w:eastAsia="宋体" w:cs="宋体"/>
                <w:b w:val="0"/>
              </w:rPr>
              <w:t>3.71</w:t>
            </w:r>
          </w:p>
        </w:tc>
      </w:tr>
      <w:tr w14:paraId="7C9F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B22B04">
            <w:pPr>
              <w:spacing w:line="240" w:lineRule="auto"/>
              <w:jc w:val="center"/>
            </w:pPr>
            <w:r>
              <w:rPr>
                <w:rFonts w:ascii="宋体" w:hAnsi="宋体" w:eastAsia="宋体" w:cs="宋体"/>
                <w:b w:val="0"/>
              </w:rPr>
              <w:t>10</w:t>
            </w:r>
          </w:p>
        </w:tc>
        <w:tc>
          <w:tcPr>
            <w:tcW w:w="0" w:type="dxa"/>
          </w:tcPr>
          <w:p w14:paraId="24B8DCEF">
            <w:pPr>
              <w:spacing w:line="240" w:lineRule="auto"/>
              <w:jc w:val="left"/>
            </w:pPr>
            <w:r>
              <w:rPr>
                <w:rFonts w:ascii="宋体" w:hAnsi="宋体" w:eastAsia="宋体" w:cs="宋体"/>
                <w:b w:val="0"/>
              </w:rPr>
              <w:t>920099</w:t>
            </w:r>
          </w:p>
        </w:tc>
        <w:tc>
          <w:tcPr>
            <w:tcW w:w="0" w:type="dxa"/>
          </w:tcPr>
          <w:p w14:paraId="2362C538">
            <w:pPr>
              <w:spacing w:line="240" w:lineRule="auto"/>
              <w:jc w:val="left"/>
            </w:pPr>
            <w:r>
              <w:rPr>
                <w:rFonts w:ascii="宋体" w:hAnsi="宋体" w:eastAsia="宋体" w:cs="宋体"/>
                <w:b w:val="0"/>
              </w:rPr>
              <w:t>瑞华技术</w:t>
            </w:r>
          </w:p>
        </w:tc>
        <w:tc>
          <w:tcPr>
            <w:tcW w:w="0" w:type="dxa"/>
          </w:tcPr>
          <w:p w14:paraId="44F422F1">
            <w:pPr>
              <w:spacing w:line="240" w:lineRule="auto"/>
              <w:jc w:val="right"/>
            </w:pPr>
            <w:r>
              <w:rPr>
                <w:rFonts w:ascii="宋体" w:hAnsi="宋体" w:eastAsia="宋体" w:cs="宋体"/>
                <w:b w:val="0"/>
              </w:rPr>
              <w:t>417,301.16</w:t>
            </w:r>
          </w:p>
        </w:tc>
        <w:tc>
          <w:tcPr>
            <w:tcW w:w="0" w:type="dxa"/>
          </w:tcPr>
          <w:p w14:paraId="05800565">
            <w:pPr>
              <w:spacing w:line="240" w:lineRule="auto"/>
              <w:jc w:val="right"/>
            </w:pPr>
            <w:r>
              <w:rPr>
                <w:rFonts w:ascii="宋体" w:hAnsi="宋体" w:eastAsia="宋体" w:cs="宋体"/>
                <w:b w:val="0"/>
              </w:rPr>
              <w:t>3.52</w:t>
            </w:r>
          </w:p>
        </w:tc>
      </w:tr>
      <w:tr w14:paraId="00D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2C339B">
            <w:pPr>
              <w:spacing w:line="240" w:lineRule="auto"/>
              <w:jc w:val="center"/>
            </w:pPr>
            <w:r>
              <w:rPr>
                <w:rFonts w:ascii="宋体" w:hAnsi="宋体" w:eastAsia="宋体" w:cs="宋体"/>
                <w:b w:val="0"/>
              </w:rPr>
              <w:t>11</w:t>
            </w:r>
          </w:p>
        </w:tc>
        <w:tc>
          <w:tcPr>
            <w:tcW w:w="0" w:type="dxa"/>
          </w:tcPr>
          <w:p w14:paraId="33940D55">
            <w:pPr>
              <w:spacing w:line="240" w:lineRule="auto"/>
              <w:jc w:val="left"/>
            </w:pPr>
            <w:r>
              <w:rPr>
                <w:rFonts w:ascii="宋体" w:hAnsi="宋体" w:eastAsia="宋体" w:cs="宋体"/>
                <w:b w:val="0"/>
              </w:rPr>
              <w:t>834599</w:t>
            </w:r>
          </w:p>
        </w:tc>
        <w:tc>
          <w:tcPr>
            <w:tcW w:w="0" w:type="dxa"/>
          </w:tcPr>
          <w:p w14:paraId="1C880E60">
            <w:pPr>
              <w:spacing w:line="240" w:lineRule="auto"/>
              <w:jc w:val="left"/>
            </w:pPr>
            <w:r>
              <w:rPr>
                <w:rFonts w:ascii="宋体" w:hAnsi="宋体" w:eastAsia="宋体" w:cs="宋体"/>
                <w:b w:val="0"/>
              </w:rPr>
              <w:t>同力股份</w:t>
            </w:r>
          </w:p>
        </w:tc>
        <w:tc>
          <w:tcPr>
            <w:tcW w:w="0" w:type="dxa"/>
          </w:tcPr>
          <w:p w14:paraId="13943607">
            <w:pPr>
              <w:spacing w:line="240" w:lineRule="auto"/>
              <w:jc w:val="right"/>
            </w:pPr>
            <w:r>
              <w:rPr>
                <w:rFonts w:ascii="宋体" w:hAnsi="宋体" w:eastAsia="宋体" w:cs="宋体"/>
                <w:b w:val="0"/>
              </w:rPr>
              <w:t>374,868.64</w:t>
            </w:r>
          </w:p>
        </w:tc>
        <w:tc>
          <w:tcPr>
            <w:tcW w:w="0" w:type="dxa"/>
          </w:tcPr>
          <w:p w14:paraId="7CCF5981">
            <w:pPr>
              <w:spacing w:line="240" w:lineRule="auto"/>
              <w:jc w:val="right"/>
            </w:pPr>
            <w:r>
              <w:rPr>
                <w:rFonts w:ascii="宋体" w:hAnsi="宋体" w:eastAsia="宋体" w:cs="宋体"/>
                <w:b w:val="0"/>
              </w:rPr>
              <w:t>3.17</w:t>
            </w:r>
          </w:p>
        </w:tc>
      </w:tr>
      <w:tr w14:paraId="26D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17CE7F">
            <w:pPr>
              <w:spacing w:line="240" w:lineRule="auto"/>
              <w:jc w:val="center"/>
            </w:pPr>
            <w:r>
              <w:rPr>
                <w:rFonts w:ascii="宋体" w:hAnsi="宋体" w:eastAsia="宋体" w:cs="宋体"/>
                <w:b w:val="0"/>
              </w:rPr>
              <w:t>12</w:t>
            </w:r>
          </w:p>
        </w:tc>
        <w:tc>
          <w:tcPr>
            <w:tcW w:w="0" w:type="dxa"/>
          </w:tcPr>
          <w:p w14:paraId="4553A4C0">
            <w:pPr>
              <w:spacing w:line="240" w:lineRule="auto"/>
              <w:jc w:val="left"/>
            </w:pPr>
            <w:r>
              <w:rPr>
                <w:rFonts w:ascii="宋体" w:hAnsi="宋体" w:eastAsia="宋体" w:cs="宋体"/>
                <w:b w:val="0"/>
              </w:rPr>
              <w:t>430476</w:t>
            </w:r>
          </w:p>
        </w:tc>
        <w:tc>
          <w:tcPr>
            <w:tcW w:w="0" w:type="dxa"/>
          </w:tcPr>
          <w:p w14:paraId="36EC1E0E">
            <w:pPr>
              <w:spacing w:line="240" w:lineRule="auto"/>
              <w:jc w:val="left"/>
            </w:pPr>
            <w:r>
              <w:rPr>
                <w:rFonts w:ascii="宋体" w:hAnsi="宋体" w:eastAsia="宋体" w:cs="宋体"/>
                <w:b w:val="0"/>
              </w:rPr>
              <w:t>海能技术</w:t>
            </w:r>
          </w:p>
        </w:tc>
        <w:tc>
          <w:tcPr>
            <w:tcW w:w="0" w:type="dxa"/>
          </w:tcPr>
          <w:p w14:paraId="353DB964">
            <w:pPr>
              <w:spacing w:line="240" w:lineRule="auto"/>
              <w:jc w:val="right"/>
            </w:pPr>
            <w:r>
              <w:rPr>
                <w:rFonts w:ascii="宋体" w:hAnsi="宋体" w:eastAsia="宋体" w:cs="宋体"/>
                <w:b w:val="0"/>
              </w:rPr>
              <w:t>353,119.56</w:t>
            </w:r>
          </w:p>
        </w:tc>
        <w:tc>
          <w:tcPr>
            <w:tcW w:w="0" w:type="dxa"/>
          </w:tcPr>
          <w:p w14:paraId="40B15F45">
            <w:pPr>
              <w:spacing w:line="240" w:lineRule="auto"/>
              <w:jc w:val="right"/>
            </w:pPr>
            <w:r>
              <w:rPr>
                <w:rFonts w:ascii="宋体" w:hAnsi="宋体" w:eastAsia="宋体" w:cs="宋体"/>
                <w:b w:val="0"/>
              </w:rPr>
              <w:t>2.98</w:t>
            </w:r>
          </w:p>
        </w:tc>
      </w:tr>
      <w:tr w14:paraId="6EA4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1BE7E1">
            <w:pPr>
              <w:spacing w:line="240" w:lineRule="auto"/>
              <w:jc w:val="center"/>
            </w:pPr>
            <w:r>
              <w:rPr>
                <w:rFonts w:ascii="宋体" w:hAnsi="宋体" w:eastAsia="宋体" w:cs="宋体"/>
                <w:b w:val="0"/>
              </w:rPr>
              <w:t>13</w:t>
            </w:r>
          </w:p>
        </w:tc>
        <w:tc>
          <w:tcPr>
            <w:tcW w:w="0" w:type="dxa"/>
          </w:tcPr>
          <w:p w14:paraId="4271DECB">
            <w:pPr>
              <w:spacing w:line="240" w:lineRule="auto"/>
              <w:jc w:val="left"/>
            </w:pPr>
            <w:r>
              <w:rPr>
                <w:rFonts w:ascii="宋体" w:hAnsi="宋体" w:eastAsia="宋体" w:cs="宋体"/>
                <w:b w:val="0"/>
              </w:rPr>
              <w:t>830839</w:t>
            </w:r>
          </w:p>
        </w:tc>
        <w:tc>
          <w:tcPr>
            <w:tcW w:w="0" w:type="dxa"/>
          </w:tcPr>
          <w:p w14:paraId="5FA7EC5A">
            <w:pPr>
              <w:spacing w:line="240" w:lineRule="auto"/>
              <w:jc w:val="left"/>
            </w:pPr>
            <w:r>
              <w:rPr>
                <w:rFonts w:ascii="宋体" w:hAnsi="宋体" w:eastAsia="宋体" w:cs="宋体"/>
                <w:b w:val="0"/>
              </w:rPr>
              <w:t>万通液压</w:t>
            </w:r>
          </w:p>
        </w:tc>
        <w:tc>
          <w:tcPr>
            <w:tcW w:w="0" w:type="dxa"/>
          </w:tcPr>
          <w:p w14:paraId="4E224211">
            <w:pPr>
              <w:spacing w:line="240" w:lineRule="auto"/>
              <w:jc w:val="right"/>
            </w:pPr>
            <w:r>
              <w:rPr>
                <w:rFonts w:ascii="宋体" w:hAnsi="宋体" w:eastAsia="宋体" w:cs="宋体"/>
                <w:b w:val="0"/>
              </w:rPr>
              <w:t>346,439.94</w:t>
            </w:r>
          </w:p>
        </w:tc>
        <w:tc>
          <w:tcPr>
            <w:tcW w:w="0" w:type="dxa"/>
          </w:tcPr>
          <w:p w14:paraId="6FE3320B">
            <w:pPr>
              <w:spacing w:line="240" w:lineRule="auto"/>
              <w:jc w:val="right"/>
            </w:pPr>
            <w:r>
              <w:rPr>
                <w:rFonts w:ascii="宋体" w:hAnsi="宋体" w:eastAsia="宋体" w:cs="宋体"/>
                <w:b w:val="0"/>
              </w:rPr>
              <w:t>2.93</w:t>
            </w:r>
          </w:p>
        </w:tc>
      </w:tr>
      <w:tr w14:paraId="51CA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986751">
            <w:pPr>
              <w:spacing w:line="240" w:lineRule="auto"/>
              <w:jc w:val="center"/>
            </w:pPr>
            <w:r>
              <w:rPr>
                <w:rFonts w:ascii="宋体" w:hAnsi="宋体" w:eastAsia="宋体" w:cs="宋体"/>
                <w:b w:val="0"/>
              </w:rPr>
              <w:t>14</w:t>
            </w:r>
          </w:p>
        </w:tc>
        <w:tc>
          <w:tcPr>
            <w:tcW w:w="0" w:type="dxa"/>
          </w:tcPr>
          <w:p w14:paraId="686EC31E">
            <w:pPr>
              <w:spacing w:line="240" w:lineRule="auto"/>
              <w:jc w:val="left"/>
            </w:pPr>
            <w:r>
              <w:rPr>
                <w:rFonts w:ascii="宋体" w:hAnsi="宋体" w:eastAsia="宋体" w:cs="宋体"/>
                <w:b w:val="0"/>
              </w:rPr>
              <w:t>835185</w:t>
            </w:r>
          </w:p>
        </w:tc>
        <w:tc>
          <w:tcPr>
            <w:tcW w:w="0" w:type="dxa"/>
          </w:tcPr>
          <w:p w14:paraId="12ABB90C">
            <w:pPr>
              <w:spacing w:line="240" w:lineRule="auto"/>
              <w:jc w:val="left"/>
            </w:pPr>
            <w:r>
              <w:rPr>
                <w:rFonts w:ascii="宋体" w:hAnsi="宋体" w:eastAsia="宋体" w:cs="宋体"/>
                <w:b w:val="0"/>
              </w:rPr>
              <w:t>贝特瑞</w:t>
            </w:r>
          </w:p>
        </w:tc>
        <w:tc>
          <w:tcPr>
            <w:tcW w:w="0" w:type="dxa"/>
          </w:tcPr>
          <w:p w14:paraId="4556EC1A">
            <w:pPr>
              <w:spacing w:line="240" w:lineRule="auto"/>
              <w:jc w:val="right"/>
            </w:pPr>
            <w:r>
              <w:rPr>
                <w:rFonts w:ascii="宋体" w:hAnsi="宋体" w:eastAsia="宋体" w:cs="宋体"/>
                <w:b w:val="0"/>
              </w:rPr>
              <w:t>284,756.42</w:t>
            </w:r>
          </w:p>
        </w:tc>
        <w:tc>
          <w:tcPr>
            <w:tcW w:w="0" w:type="dxa"/>
          </w:tcPr>
          <w:p w14:paraId="732A80F4">
            <w:pPr>
              <w:spacing w:line="240" w:lineRule="auto"/>
              <w:jc w:val="right"/>
            </w:pPr>
            <w:r>
              <w:rPr>
                <w:rFonts w:ascii="宋体" w:hAnsi="宋体" w:eastAsia="宋体" w:cs="宋体"/>
                <w:b w:val="0"/>
              </w:rPr>
              <w:t>2.40</w:t>
            </w:r>
          </w:p>
        </w:tc>
      </w:tr>
      <w:tr w14:paraId="5E10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5337D5">
            <w:pPr>
              <w:spacing w:line="240" w:lineRule="auto"/>
              <w:jc w:val="center"/>
            </w:pPr>
            <w:r>
              <w:rPr>
                <w:rFonts w:ascii="宋体" w:hAnsi="宋体" w:eastAsia="宋体" w:cs="宋体"/>
                <w:b w:val="0"/>
              </w:rPr>
              <w:t>15</w:t>
            </w:r>
          </w:p>
        </w:tc>
        <w:tc>
          <w:tcPr>
            <w:tcW w:w="0" w:type="dxa"/>
          </w:tcPr>
          <w:p w14:paraId="7A69F732">
            <w:pPr>
              <w:spacing w:line="240" w:lineRule="auto"/>
              <w:jc w:val="left"/>
            </w:pPr>
            <w:r>
              <w:rPr>
                <w:rFonts w:ascii="宋体" w:hAnsi="宋体" w:eastAsia="宋体" w:cs="宋体"/>
                <w:b w:val="0"/>
              </w:rPr>
              <w:t>830809</w:t>
            </w:r>
          </w:p>
        </w:tc>
        <w:tc>
          <w:tcPr>
            <w:tcW w:w="0" w:type="dxa"/>
          </w:tcPr>
          <w:p w14:paraId="7CEA7918">
            <w:pPr>
              <w:spacing w:line="240" w:lineRule="auto"/>
              <w:jc w:val="left"/>
            </w:pPr>
            <w:r>
              <w:rPr>
                <w:rFonts w:ascii="宋体" w:hAnsi="宋体" w:eastAsia="宋体" w:cs="宋体"/>
                <w:b w:val="0"/>
              </w:rPr>
              <w:t>安达科技</w:t>
            </w:r>
          </w:p>
        </w:tc>
        <w:tc>
          <w:tcPr>
            <w:tcW w:w="0" w:type="dxa"/>
          </w:tcPr>
          <w:p w14:paraId="097A8768">
            <w:pPr>
              <w:spacing w:line="240" w:lineRule="auto"/>
              <w:jc w:val="right"/>
            </w:pPr>
            <w:r>
              <w:rPr>
                <w:rFonts w:ascii="宋体" w:hAnsi="宋体" w:eastAsia="宋体" w:cs="宋体"/>
                <w:b w:val="0"/>
              </w:rPr>
              <w:t>201,671.94</w:t>
            </w:r>
          </w:p>
        </w:tc>
        <w:tc>
          <w:tcPr>
            <w:tcW w:w="0" w:type="dxa"/>
          </w:tcPr>
          <w:p w14:paraId="1C81B0D3">
            <w:pPr>
              <w:spacing w:line="240" w:lineRule="auto"/>
              <w:jc w:val="right"/>
            </w:pPr>
            <w:r>
              <w:rPr>
                <w:rFonts w:ascii="宋体" w:hAnsi="宋体" w:eastAsia="宋体" w:cs="宋体"/>
                <w:b w:val="0"/>
              </w:rPr>
              <w:t>1.70</w:t>
            </w:r>
          </w:p>
        </w:tc>
      </w:tr>
      <w:tr w14:paraId="77FD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D7D424">
            <w:pPr>
              <w:spacing w:line="240" w:lineRule="auto"/>
              <w:jc w:val="center"/>
            </w:pPr>
            <w:r>
              <w:rPr>
                <w:rFonts w:ascii="宋体" w:hAnsi="宋体" w:eastAsia="宋体" w:cs="宋体"/>
                <w:b w:val="0"/>
              </w:rPr>
              <w:t>16</w:t>
            </w:r>
          </w:p>
        </w:tc>
        <w:tc>
          <w:tcPr>
            <w:tcW w:w="0" w:type="dxa"/>
          </w:tcPr>
          <w:p w14:paraId="08B08861">
            <w:pPr>
              <w:spacing w:line="240" w:lineRule="auto"/>
              <w:jc w:val="left"/>
            </w:pPr>
            <w:r>
              <w:rPr>
                <w:rFonts w:ascii="宋体" w:hAnsi="宋体" w:eastAsia="宋体" w:cs="宋体"/>
                <w:b w:val="0"/>
              </w:rPr>
              <w:t>836239</w:t>
            </w:r>
          </w:p>
        </w:tc>
        <w:tc>
          <w:tcPr>
            <w:tcW w:w="0" w:type="dxa"/>
          </w:tcPr>
          <w:p w14:paraId="43F0C92E">
            <w:pPr>
              <w:spacing w:line="240" w:lineRule="auto"/>
              <w:jc w:val="left"/>
            </w:pPr>
            <w:r>
              <w:rPr>
                <w:rFonts w:ascii="宋体" w:hAnsi="宋体" w:eastAsia="宋体" w:cs="宋体"/>
                <w:b w:val="0"/>
              </w:rPr>
              <w:t>长虹能源</w:t>
            </w:r>
          </w:p>
        </w:tc>
        <w:tc>
          <w:tcPr>
            <w:tcW w:w="0" w:type="dxa"/>
          </w:tcPr>
          <w:p w14:paraId="0C886A12">
            <w:pPr>
              <w:spacing w:line="240" w:lineRule="auto"/>
              <w:jc w:val="right"/>
            </w:pPr>
            <w:r>
              <w:rPr>
                <w:rFonts w:ascii="宋体" w:hAnsi="宋体" w:eastAsia="宋体" w:cs="宋体"/>
                <w:b w:val="0"/>
              </w:rPr>
              <w:t>197,006.22</w:t>
            </w:r>
          </w:p>
        </w:tc>
        <w:tc>
          <w:tcPr>
            <w:tcW w:w="0" w:type="dxa"/>
          </w:tcPr>
          <w:p w14:paraId="2BFCACED">
            <w:pPr>
              <w:spacing w:line="240" w:lineRule="auto"/>
              <w:jc w:val="right"/>
            </w:pPr>
            <w:r>
              <w:rPr>
                <w:rFonts w:ascii="宋体" w:hAnsi="宋体" w:eastAsia="宋体" w:cs="宋体"/>
                <w:b w:val="0"/>
              </w:rPr>
              <w:t>1.66</w:t>
            </w:r>
          </w:p>
        </w:tc>
      </w:tr>
      <w:tr w14:paraId="571D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CB94BB">
            <w:pPr>
              <w:spacing w:line="240" w:lineRule="auto"/>
              <w:jc w:val="center"/>
            </w:pPr>
            <w:r>
              <w:rPr>
                <w:rFonts w:ascii="宋体" w:hAnsi="宋体" w:eastAsia="宋体" w:cs="宋体"/>
                <w:b w:val="0"/>
              </w:rPr>
              <w:t>17</w:t>
            </w:r>
          </w:p>
        </w:tc>
        <w:tc>
          <w:tcPr>
            <w:tcW w:w="0" w:type="dxa"/>
          </w:tcPr>
          <w:p w14:paraId="67981FB7">
            <w:pPr>
              <w:spacing w:line="240" w:lineRule="auto"/>
              <w:jc w:val="left"/>
            </w:pPr>
            <w:r>
              <w:rPr>
                <w:rFonts w:ascii="宋体" w:hAnsi="宋体" w:eastAsia="宋体" w:cs="宋体"/>
                <w:b w:val="0"/>
              </w:rPr>
              <w:t>838701</w:t>
            </w:r>
          </w:p>
        </w:tc>
        <w:tc>
          <w:tcPr>
            <w:tcW w:w="0" w:type="dxa"/>
          </w:tcPr>
          <w:p w14:paraId="14F90518">
            <w:pPr>
              <w:spacing w:line="240" w:lineRule="auto"/>
              <w:jc w:val="left"/>
            </w:pPr>
            <w:r>
              <w:rPr>
                <w:rFonts w:ascii="宋体" w:hAnsi="宋体" w:eastAsia="宋体" w:cs="宋体"/>
                <w:b w:val="0"/>
              </w:rPr>
              <w:t>豪声电子</w:t>
            </w:r>
          </w:p>
        </w:tc>
        <w:tc>
          <w:tcPr>
            <w:tcW w:w="0" w:type="dxa"/>
          </w:tcPr>
          <w:p w14:paraId="2A3C0BD9">
            <w:pPr>
              <w:spacing w:line="240" w:lineRule="auto"/>
              <w:jc w:val="right"/>
            </w:pPr>
            <w:r>
              <w:rPr>
                <w:rFonts w:ascii="宋体" w:hAnsi="宋体" w:eastAsia="宋体" w:cs="宋体"/>
                <w:b w:val="0"/>
              </w:rPr>
              <w:t>194,433.18</w:t>
            </w:r>
          </w:p>
        </w:tc>
        <w:tc>
          <w:tcPr>
            <w:tcW w:w="0" w:type="dxa"/>
          </w:tcPr>
          <w:p w14:paraId="1C0E65C9">
            <w:pPr>
              <w:spacing w:line="240" w:lineRule="auto"/>
              <w:jc w:val="right"/>
            </w:pPr>
            <w:r>
              <w:rPr>
                <w:rFonts w:ascii="宋体" w:hAnsi="宋体" w:eastAsia="宋体" w:cs="宋体"/>
                <w:b w:val="0"/>
              </w:rPr>
              <w:t>1.64</w:t>
            </w:r>
          </w:p>
        </w:tc>
      </w:tr>
      <w:tr w14:paraId="0EB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29D708">
            <w:pPr>
              <w:spacing w:line="240" w:lineRule="auto"/>
              <w:jc w:val="center"/>
            </w:pPr>
            <w:r>
              <w:rPr>
                <w:rFonts w:ascii="宋体" w:hAnsi="宋体" w:eastAsia="宋体" w:cs="宋体"/>
                <w:b w:val="0"/>
              </w:rPr>
              <w:t>18</w:t>
            </w:r>
          </w:p>
        </w:tc>
        <w:tc>
          <w:tcPr>
            <w:tcW w:w="0" w:type="dxa"/>
          </w:tcPr>
          <w:p w14:paraId="01806D75">
            <w:pPr>
              <w:spacing w:line="240" w:lineRule="auto"/>
              <w:jc w:val="left"/>
            </w:pPr>
            <w:r>
              <w:rPr>
                <w:rFonts w:ascii="宋体" w:hAnsi="宋体" w:eastAsia="宋体" w:cs="宋体"/>
                <w:b w:val="0"/>
              </w:rPr>
              <w:t>831726</w:t>
            </w:r>
          </w:p>
        </w:tc>
        <w:tc>
          <w:tcPr>
            <w:tcW w:w="0" w:type="dxa"/>
          </w:tcPr>
          <w:p w14:paraId="1F0FCEB6">
            <w:pPr>
              <w:spacing w:line="240" w:lineRule="auto"/>
              <w:jc w:val="left"/>
            </w:pPr>
            <w:r>
              <w:rPr>
                <w:rFonts w:ascii="宋体" w:hAnsi="宋体" w:eastAsia="宋体" w:cs="宋体"/>
                <w:b w:val="0"/>
              </w:rPr>
              <w:t>朱老六</w:t>
            </w:r>
          </w:p>
        </w:tc>
        <w:tc>
          <w:tcPr>
            <w:tcW w:w="0" w:type="dxa"/>
          </w:tcPr>
          <w:p w14:paraId="518BC4CD">
            <w:pPr>
              <w:spacing w:line="240" w:lineRule="auto"/>
              <w:jc w:val="right"/>
            </w:pPr>
            <w:r>
              <w:rPr>
                <w:rFonts w:ascii="宋体" w:hAnsi="宋体" w:eastAsia="宋体" w:cs="宋体"/>
                <w:b w:val="0"/>
              </w:rPr>
              <w:t>193,741.25</w:t>
            </w:r>
          </w:p>
        </w:tc>
        <w:tc>
          <w:tcPr>
            <w:tcW w:w="0" w:type="dxa"/>
          </w:tcPr>
          <w:p w14:paraId="4697B249">
            <w:pPr>
              <w:spacing w:line="240" w:lineRule="auto"/>
              <w:jc w:val="right"/>
            </w:pPr>
            <w:r>
              <w:rPr>
                <w:rFonts w:ascii="宋体" w:hAnsi="宋体" w:eastAsia="宋体" w:cs="宋体"/>
                <w:b w:val="0"/>
              </w:rPr>
              <w:t>1.64</w:t>
            </w:r>
          </w:p>
        </w:tc>
      </w:tr>
      <w:tr w14:paraId="1541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5F289F">
            <w:pPr>
              <w:spacing w:line="240" w:lineRule="auto"/>
              <w:jc w:val="center"/>
            </w:pPr>
            <w:r>
              <w:rPr>
                <w:rFonts w:ascii="宋体" w:hAnsi="宋体" w:eastAsia="宋体" w:cs="宋体"/>
                <w:b w:val="0"/>
              </w:rPr>
              <w:t>19</w:t>
            </w:r>
          </w:p>
        </w:tc>
        <w:tc>
          <w:tcPr>
            <w:tcW w:w="0" w:type="dxa"/>
          </w:tcPr>
          <w:p w14:paraId="7B626647">
            <w:pPr>
              <w:spacing w:line="240" w:lineRule="auto"/>
              <w:jc w:val="left"/>
            </w:pPr>
            <w:r>
              <w:rPr>
                <w:rFonts w:ascii="宋体" w:hAnsi="宋体" w:eastAsia="宋体" w:cs="宋体"/>
                <w:b w:val="0"/>
              </w:rPr>
              <w:t>836260</w:t>
            </w:r>
          </w:p>
        </w:tc>
        <w:tc>
          <w:tcPr>
            <w:tcW w:w="0" w:type="dxa"/>
          </w:tcPr>
          <w:p w14:paraId="0812E519">
            <w:pPr>
              <w:spacing w:line="240" w:lineRule="auto"/>
              <w:jc w:val="left"/>
            </w:pPr>
            <w:r>
              <w:rPr>
                <w:rFonts w:ascii="宋体" w:hAnsi="宋体" w:eastAsia="宋体" w:cs="宋体"/>
                <w:b w:val="0"/>
              </w:rPr>
              <w:t>中寰股份</w:t>
            </w:r>
          </w:p>
        </w:tc>
        <w:tc>
          <w:tcPr>
            <w:tcW w:w="0" w:type="dxa"/>
          </w:tcPr>
          <w:p w14:paraId="1718B9EC">
            <w:pPr>
              <w:spacing w:line="240" w:lineRule="auto"/>
              <w:jc w:val="right"/>
            </w:pPr>
            <w:r>
              <w:rPr>
                <w:rFonts w:ascii="宋体" w:hAnsi="宋体" w:eastAsia="宋体" w:cs="宋体"/>
                <w:b w:val="0"/>
              </w:rPr>
              <w:t>193,694.58</w:t>
            </w:r>
          </w:p>
        </w:tc>
        <w:tc>
          <w:tcPr>
            <w:tcW w:w="0" w:type="dxa"/>
          </w:tcPr>
          <w:p w14:paraId="00F4F00C">
            <w:pPr>
              <w:spacing w:line="240" w:lineRule="auto"/>
              <w:jc w:val="right"/>
            </w:pPr>
            <w:r>
              <w:rPr>
                <w:rFonts w:ascii="宋体" w:hAnsi="宋体" w:eastAsia="宋体" w:cs="宋体"/>
                <w:b w:val="0"/>
              </w:rPr>
              <w:t>1.64</w:t>
            </w:r>
          </w:p>
        </w:tc>
      </w:tr>
      <w:tr w14:paraId="43C9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FED7FA">
            <w:pPr>
              <w:spacing w:line="240" w:lineRule="auto"/>
              <w:jc w:val="center"/>
            </w:pPr>
            <w:r>
              <w:rPr>
                <w:rFonts w:ascii="宋体" w:hAnsi="宋体" w:eastAsia="宋体" w:cs="宋体"/>
                <w:b w:val="0"/>
              </w:rPr>
              <w:t>20</w:t>
            </w:r>
          </w:p>
        </w:tc>
        <w:tc>
          <w:tcPr>
            <w:tcW w:w="0" w:type="dxa"/>
          </w:tcPr>
          <w:p w14:paraId="26D636D1">
            <w:pPr>
              <w:spacing w:line="240" w:lineRule="auto"/>
              <w:jc w:val="left"/>
            </w:pPr>
            <w:r>
              <w:rPr>
                <w:rFonts w:ascii="宋体" w:hAnsi="宋体" w:eastAsia="宋体" w:cs="宋体"/>
                <w:b w:val="0"/>
              </w:rPr>
              <w:t>870508</w:t>
            </w:r>
          </w:p>
        </w:tc>
        <w:tc>
          <w:tcPr>
            <w:tcW w:w="0" w:type="dxa"/>
          </w:tcPr>
          <w:p w14:paraId="326AB943">
            <w:pPr>
              <w:spacing w:line="240" w:lineRule="auto"/>
              <w:jc w:val="left"/>
            </w:pPr>
            <w:r>
              <w:rPr>
                <w:rFonts w:ascii="宋体" w:hAnsi="宋体" w:eastAsia="宋体" w:cs="宋体"/>
                <w:b w:val="0"/>
              </w:rPr>
              <w:t>丰安股份</w:t>
            </w:r>
          </w:p>
        </w:tc>
        <w:tc>
          <w:tcPr>
            <w:tcW w:w="0" w:type="dxa"/>
          </w:tcPr>
          <w:p w14:paraId="70A93874">
            <w:pPr>
              <w:spacing w:line="240" w:lineRule="auto"/>
              <w:jc w:val="right"/>
            </w:pPr>
            <w:r>
              <w:rPr>
                <w:rFonts w:ascii="宋体" w:hAnsi="宋体" w:eastAsia="宋体" w:cs="宋体"/>
                <w:b w:val="0"/>
              </w:rPr>
              <w:t>193,217.14</w:t>
            </w:r>
          </w:p>
        </w:tc>
        <w:tc>
          <w:tcPr>
            <w:tcW w:w="0" w:type="dxa"/>
          </w:tcPr>
          <w:p w14:paraId="7DBB953E">
            <w:pPr>
              <w:spacing w:line="240" w:lineRule="auto"/>
              <w:jc w:val="right"/>
            </w:pPr>
            <w:r>
              <w:rPr>
                <w:rFonts w:ascii="宋体" w:hAnsi="宋体" w:eastAsia="宋体" w:cs="宋体"/>
                <w:b w:val="0"/>
              </w:rPr>
              <w:t>1.63</w:t>
            </w:r>
          </w:p>
        </w:tc>
      </w:tr>
    </w:tbl>
    <w:p w14:paraId="4FE97B4F">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7D5A8DEF"/>
    <w:p w14:paraId="5DF5BF3D">
      <w:r>
        <w:rPr>
          <w:rFonts w:ascii="宋体" w:hAnsi="宋体" w:eastAsia="宋体" w:cs="宋体"/>
          <w:b/>
        </w:rPr>
        <w:t>7.4.2 累计卖出金额超出期末基金资产净值2%或前20名的股票明细</w:t>
      </w:r>
    </w:p>
    <w:p w14:paraId="4D18409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5DD3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F75003D">
            <w:pPr>
              <w:spacing w:line="240" w:lineRule="auto"/>
              <w:jc w:val="center"/>
            </w:pPr>
            <w:r>
              <w:rPr>
                <w:rFonts w:ascii="宋体" w:hAnsi="宋体" w:eastAsia="宋体" w:cs="宋体"/>
                <w:b w:val="0"/>
              </w:rPr>
              <w:t>序号</w:t>
            </w:r>
          </w:p>
        </w:tc>
        <w:tc>
          <w:tcPr>
            <w:tcW w:w="769" w:type="pct"/>
            <w:shd w:val="clear" w:color="auto" w:fill="D9D9D9"/>
            <w:vAlign w:val="center"/>
          </w:tcPr>
          <w:p w14:paraId="6D8066E7">
            <w:pPr>
              <w:spacing w:line="240" w:lineRule="auto"/>
              <w:jc w:val="center"/>
            </w:pPr>
            <w:r>
              <w:rPr>
                <w:rFonts w:ascii="宋体" w:hAnsi="宋体" w:eastAsia="宋体" w:cs="宋体"/>
                <w:b w:val="0"/>
              </w:rPr>
              <w:t>股票代码</w:t>
            </w:r>
          </w:p>
        </w:tc>
        <w:tc>
          <w:tcPr>
            <w:tcW w:w="769" w:type="pct"/>
            <w:shd w:val="clear" w:color="auto" w:fill="D9D9D9"/>
            <w:vAlign w:val="center"/>
          </w:tcPr>
          <w:p w14:paraId="52D029C0">
            <w:pPr>
              <w:spacing w:line="240" w:lineRule="auto"/>
              <w:jc w:val="center"/>
            </w:pPr>
            <w:r>
              <w:rPr>
                <w:rFonts w:ascii="宋体" w:hAnsi="宋体" w:eastAsia="宋体" w:cs="宋体"/>
                <w:b w:val="0"/>
              </w:rPr>
              <w:t>股票名称</w:t>
            </w:r>
          </w:p>
        </w:tc>
        <w:tc>
          <w:tcPr>
            <w:tcW w:w="769" w:type="pct"/>
            <w:shd w:val="clear" w:color="auto" w:fill="D9D9D9"/>
            <w:vAlign w:val="center"/>
          </w:tcPr>
          <w:p w14:paraId="59C108EF">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0B600039">
            <w:pPr>
              <w:spacing w:line="240" w:lineRule="auto"/>
              <w:jc w:val="center"/>
            </w:pPr>
            <w:r>
              <w:rPr>
                <w:rFonts w:ascii="宋体" w:hAnsi="宋体" w:eastAsia="宋体" w:cs="宋体"/>
                <w:b w:val="0"/>
              </w:rPr>
              <w:t>占期末基金资产净值比例（％）</w:t>
            </w:r>
          </w:p>
        </w:tc>
      </w:tr>
      <w:tr w14:paraId="1D12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0EFB31">
            <w:pPr>
              <w:spacing w:line="240" w:lineRule="auto"/>
              <w:jc w:val="center"/>
            </w:pPr>
            <w:r>
              <w:rPr>
                <w:rFonts w:ascii="宋体" w:hAnsi="宋体" w:eastAsia="宋体" w:cs="宋体"/>
                <w:b w:val="0"/>
              </w:rPr>
              <w:t>1</w:t>
            </w:r>
          </w:p>
        </w:tc>
        <w:tc>
          <w:tcPr>
            <w:tcW w:w="0" w:type="dxa"/>
          </w:tcPr>
          <w:p w14:paraId="72B4EE98">
            <w:pPr>
              <w:spacing w:line="240" w:lineRule="auto"/>
              <w:jc w:val="left"/>
            </w:pPr>
            <w:r>
              <w:rPr>
                <w:rFonts w:ascii="宋体" w:hAnsi="宋体" w:eastAsia="宋体" w:cs="宋体"/>
                <w:b w:val="0"/>
              </w:rPr>
              <w:t>837403</w:t>
            </w:r>
          </w:p>
        </w:tc>
        <w:tc>
          <w:tcPr>
            <w:tcW w:w="0" w:type="dxa"/>
          </w:tcPr>
          <w:p w14:paraId="2A84D4B0">
            <w:pPr>
              <w:spacing w:line="240" w:lineRule="auto"/>
              <w:jc w:val="left"/>
            </w:pPr>
            <w:r>
              <w:rPr>
                <w:rFonts w:ascii="宋体" w:hAnsi="宋体" w:eastAsia="宋体" w:cs="宋体"/>
                <w:b w:val="0"/>
              </w:rPr>
              <w:t>康农种业</w:t>
            </w:r>
          </w:p>
        </w:tc>
        <w:tc>
          <w:tcPr>
            <w:tcW w:w="0" w:type="dxa"/>
          </w:tcPr>
          <w:p w14:paraId="2CFEC6A0">
            <w:pPr>
              <w:spacing w:line="240" w:lineRule="auto"/>
              <w:jc w:val="right"/>
            </w:pPr>
            <w:r>
              <w:rPr>
                <w:rFonts w:ascii="宋体" w:hAnsi="宋体" w:eastAsia="宋体" w:cs="宋体"/>
                <w:b w:val="0"/>
              </w:rPr>
              <w:t>863,624.48</w:t>
            </w:r>
          </w:p>
        </w:tc>
        <w:tc>
          <w:tcPr>
            <w:tcW w:w="0" w:type="dxa"/>
          </w:tcPr>
          <w:p w14:paraId="6EE475CC">
            <w:pPr>
              <w:spacing w:line="240" w:lineRule="auto"/>
              <w:jc w:val="right"/>
            </w:pPr>
            <w:r>
              <w:rPr>
                <w:rFonts w:ascii="宋体" w:hAnsi="宋体" w:eastAsia="宋体" w:cs="宋体"/>
                <w:b w:val="0"/>
              </w:rPr>
              <w:t>7.29</w:t>
            </w:r>
          </w:p>
        </w:tc>
      </w:tr>
      <w:tr w14:paraId="10A4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552F90">
            <w:pPr>
              <w:spacing w:line="240" w:lineRule="auto"/>
              <w:jc w:val="center"/>
            </w:pPr>
            <w:r>
              <w:rPr>
                <w:rFonts w:ascii="宋体" w:hAnsi="宋体" w:eastAsia="宋体" w:cs="宋体"/>
                <w:b w:val="0"/>
              </w:rPr>
              <w:t>2</w:t>
            </w:r>
          </w:p>
        </w:tc>
        <w:tc>
          <w:tcPr>
            <w:tcW w:w="0" w:type="dxa"/>
          </w:tcPr>
          <w:p w14:paraId="63DB0232">
            <w:pPr>
              <w:spacing w:line="240" w:lineRule="auto"/>
              <w:jc w:val="left"/>
            </w:pPr>
            <w:r>
              <w:rPr>
                <w:rFonts w:ascii="宋体" w:hAnsi="宋体" w:eastAsia="宋体" w:cs="宋体"/>
                <w:b w:val="0"/>
              </w:rPr>
              <w:t>832419</w:t>
            </w:r>
          </w:p>
        </w:tc>
        <w:tc>
          <w:tcPr>
            <w:tcW w:w="0" w:type="dxa"/>
          </w:tcPr>
          <w:p w14:paraId="7DFC67B1">
            <w:pPr>
              <w:spacing w:line="240" w:lineRule="auto"/>
              <w:jc w:val="left"/>
            </w:pPr>
            <w:r>
              <w:rPr>
                <w:rFonts w:ascii="宋体" w:hAnsi="宋体" w:eastAsia="宋体" w:cs="宋体"/>
                <w:b w:val="0"/>
              </w:rPr>
              <w:t>路斯股份</w:t>
            </w:r>
          </w:p>
        </w:tc>
        <w:tc>
          <w:tcPr>
            <w:tcW w:w="0" w:type="dxa"/>
          </w:tcPr>
          <w:p w14:paraId="134D4A9D">
            <w:pPr>
              <w:spacing w:line="240" w:lineRule="auto"/>
              <w:jc w:val="right"/>
            </w:pPr>
            <w:r>
              <w:rPr>
                <w:rFonts w:ascii="宋体" w:hAnsi="宋体" w:eastAsia="宋体" w:cs="宋体"/>
                <w:b w:val="0"/>
              </w:rPr>
              <w:t>850,217.29</w:t>
            </w:r>
          </w:p>
        </w:tc>
        <w:tc>
          <w:tcPr>
            <w:tcW w:w="0" w:type="dxa"/>
          </w:tcPr>
          <w:p w14:paraId="081AE7C4">
            <w:pPr>
              <w:spacing w:line="240" w:lineRule="auto"/>
              <w:jc w:val="right"/>
            </w:pPr>
            <w:r>
              <w:rPr>
                <w:rFonts w:ascii="宋体" w:hAnsi="宋体" w:eastAsia="宋体" w:cs="宋体"/>
                <w:b w:val="0"/>
              </w:rPr>
              <w:t>7.18</w:t>
            </w:r>
          </w:p>
        </w:tc>
      </w:tr>
      <w:tr w14:paraId="68AA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B82AEA">
            <w:pPr>
              <w:spacing w:line="240" w:lineRule="auto"/>
              <w:jc w:val="center"/>
            </w:pPr>
            <w:r>
              <w:rPr>
                <w:rFonts w:ascii="宋体" w:hAnsi="宋体" w:eastAsia="宋体" w:cs="宋体"/>
                <w:b w:val="0"/>
              </w:rPr>
              <w:t>3</w:t>
            </w:r>
          </w:p>
        </w:tc>
        <w:tc>
          <w:tcPr>
            <w:tcW w:w="0" w:type="dxa"/>
          </w:tcPr>
          <w:p w14:paraId="48531771">
            <w:pPr>
              <w:spacing w:line="240" w:lineRule="auto"/>
              <w:jc w:val="left"/>
            </w:pPr>
            <w:r>
              <w:rPr>
                <w:rFonts w:ascii="宋体" w:hAnsi="宋体" w:eastAsia="宋体" w:cs="宋体"/>
                <w:b w:val="0"/>
              </w:rPr>
              <w:t>832978</w:t>
            </w:r>
          </w:p>
        </w:tc>
        <w:tc>
          <w:tcPr>
            <w:tcW w:w="0" w:type="dxa"/>
          </w:tcPr>
          <w:p w14:paraId="642C5DCE">
            <w:pPr>
              <w:spacing w:line="240" w:lineRule="auto"/>
              <w:jc w:val="left"/>
            </w:pPr>
            <w:r>
              <w:rPr>
                <w:rFonts w:ascii="宋体" w:hAnsi="宋体" w:eastAsia="宋体" w:cs="宋体"/>
                <w:b w:val="0"/>
              </w:rPr>
              <w:t>开特股份</w:t>
            </w:r>
          </w:p>
        </w:tc>
        <w:tc>
          <w:tcPr>
            <w:tcW w:w="0" w:type="dxa"/>
          </w:tcPr>
          <w:p w14:paraId="2DE4BF6A">
            <w:pPr>
              <w:spacing w:line="240" w:lineRule="auto"/>
              <w:jc w:val="right"/>
            </w:pPr>
            <w:r>
              <w:rPr>
                <w:rFonts w:ascii="宋体" w:hAnsi="宋体" w:eastAsia="宋体" w:cs="宋体"/>
                <w:b w:val="0"/>
              </w:rPr>
              <w:t>706,614.06</w:t>
            </w:r>
          </w:p>
        </w:tc>
        <w:tc>
          <w:tcPr>
            <w:tcW w:w="0" w:type="dxa"/>
          </w:tcPr>
          <w:p w14:paraId="6205273B">
            <w:pPr>
              <w:spacing w:line="240" w:lineRule="auto"/>
              <w:jc w:val="right"/>
            </w:pPr>
            <w:r>
              <w:rPr>
                <w:rFonts w:ascii="宋体" w:hAnsi="宋体" w:eastAsia="宋体" w:cs="宋体"/>
                <w:b w:val="0"/>
              </w:rPr>
              <w:t>5.97</w:t>
            </w:r>
          </w:p>
        </w:tc>
      </w:tr>
      <w:tr w14:paraId="0BFE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976A4C">
            <w:pPr>
              <w:spacing w:line="240" w:lineRule="auto"/>
              <w:jc w:val="center"/>
            </w:pPr>
            <w:r>
              <w:rPr>
                <w:rFonts w:ascii="宋体" w:hAnsi="宋体" w:eastAsia="宋体" w:cs="宋体"/>
                <w:b w:val="0"/>
              </w:rPr>
              <w:t>4</w:t>
            </w:r>
          </w:p>
        </w:tc>
        <w:tc>
          <w:tcPr>
            <w:tcW w:w="0" w:type="dxa"/>
          </w:tcPr>
          <w:p w14:paraId="3AEBE8E4">
            <w:pPr>
              <w:spacing w:line="240" w:lineRule="auto"/>
              <w:jc w:val="left"/>
            </w:pPr>
            <w:r>
              <w:rPr>
                <w:rFonts w:ascii="宋体" w:hAnsi="宋体" w:eastAsia="宋体" w:cs="宋体"/>
                <w:b w:val="0"/>
              </w:rPr>
              <w:t>832982</w:t>
            </w:r>
          </w:p>
        </w:tc>
        <w:tc>
          <w:tcPr>
            <w:tcW w:w="0" w:type="dxa"/>
          </w:tcPr>
          <w:p w14:paraId="1EC9B424">
            <w:pPr>
              <w:spacing w:line="240" w:lineRule="auto"/>
              <w:jc w:val="left"/>
            </w:pPr>
            <w:r>
              <w:rPr>
                <w:rFonts w:ascii="宋体" w:hAnsi="宋体" w:eastAsia="宋体" w:cs="宋体"/>
                <w:b w:val="0"/>
              </w:rPr>
              <w:t>锦波生物</w:t>
            </w:r>
          </w:p>
        </w:tc>
        <w:tc>
          <w:tcPr>
            <w:tcW w:w="0" w:type="dxa"/>
          </w:tcPr>
          <w:p w14:paraId="27770A6C">
            <w:pPr>
              <w:spacing w:line="240" w:lineRule="auto"/>
              <w:jc w:val="right"/>
            </w:pPr>
            <w:r>
              <w:rPr>
                <w:rFonts w:ascii="宋体" w:hAnsi="宋体" w:eastAsia="宋体" w:cs="宋体"/>
                <w:b w:val="0"/>
              </w:rPr>
              <w:t>655,452.90</w:t>
            </w:r>
          </w:p>
        </w:tc>
        <w:tc>
          <w:tcPr>
            <w:tcW w:w="0" w:type="dxa"/>
          </w:tcPr>
          <w:p w14:paraId="6986F71A">
            <w:pPr>
              <w:spacing w:line="240" w:lineRule="auto"/>
              <w:jc w:val="right"/>
            </w:pPr>
            <w:r>
              <w:rPr>
                <w:rFonts w:ascii="宋体" w:hAnsi="宋体" w:eastAsia="宋体" w:cs="宋体"/>
                <w:b w:val="0"/>
              </w:rPr>
              <w:t>5.54</w:t>
            </w:r>
          </w:p>
        </w:tc>
      </w:tr>
      <w:tr w14:paraId="7E3E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6583ED">
            <w:pPr>
              <w:spacing w:line="240" w:lineRule="auto"/>
              <w:jc w:val="center"/>
            </w:pPr>
            <w:r>
              <w:rPr>
                <w:rFonts w:ascii="宋体" w:hAnsi="宋体" w:eastAsia="宋体" w:cs="宋体"/>
                <w:b w:val="0"/>
              </w:rPr>
              <w:t>5</w:t>
            </w:r>
          </w:p>
        </w:tc>
        <w:tc>
          <w:tcPr>
            <w:tcW w:w="0" w:type="dxa"/>
          </w:tcPr>
          <w:p w14:paraId="7FB1653B">
            <w:pPr>
              <w:spacing w:line="240" w:lineRule="auto"/>
              <w:jc w:val="left"/>
            </w:pPr>
            <w:r>
              <w:rPr>
                <w:rFonts w:ascii="宋体" w:hAnsi="宋体" w:eastAsia="宋体" w:cs="宋体"/>
                <w:b w:val="0"/>
              </w:rPr>
              <w:t>833429</w:t>
            </w:r>
          </w:p>
        </w:tc>
        <w:tc>
          <w:tcPr>
            <w:tcW w:w="0" w:type="dxa"/>
          </w:tcPr>
          <w:p w14:paraId="6C86404E">
            <w:pPr>
              <w:spacing w:line="240" w:lineRule="auto"/>
              <w:jc w:val="left"/>
            </w:pPr>
            <w:r>
              <w:rPr>
                <w:rFonts w:ascii="宋体" w:hAnsi="宋体" w:eastAsia="宋体" w:cs="宋体"/>
                <w:b w:val="0"/>
              </w:rPr>
              <w:t>康比特</w:t>
            </w:r>
          </w:p>
        </w:tc>
        <w:tc>
          <w:tcPr>
            <w:tcW w:w="0" w:type="dxa"/>
          </w:tcPr>
          <w:p w14:paraId="6E1C149D">
            <w:pPr>
              <w:spacing w:line="240" w:lineRule="auto"/>
              <w:jc w:val="right"/>
            </w:pPr>
            <w:r>
              <w:rPr>
                <w:rFonts w:ascii="宋体" w:hAnsi="宋体" w:eastAsia="宋体" w:cs="宋体"/>
                <w:b w:val="0"/>
              </w:rPr>
              <w:t>640,730.68</w:t>
            </w:r>
          </w:p>
        </w:tc>
        <w:tc>
          <w:tcPr>
            <w:tcW w:w="0" w:type="dxa"/>
          </w:tcPr>
          <w:p w14:paraId="4832AE48">
            <w:pPr>
              <w:spacing w:line="240" w:lineRule="auto"/>
              <w:jc w:val="right"/>
            </w:pPr>
            <w:r>
              <w:rPr>
                <w:rFonts w:ascii="宋体" w:hAnsi="宋体" w:eastAsia="宋体" w:cs="宋体"/>
                <w:b w:val="0"/>
              </w:rPr>
              <w:t>5.41</w:t>
            </w:r>
          </w:p>
        </w:tc>
      </w:tr>
      <w:tr w14:paraId="581F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9A09C9">
            <w:pPr>
              <w:spacing w:line="240" w:lineRule="auto"/>
              <w:jc w:val="center"/>
            </w:pPr>
            <w:r>
              <w:rPr>
                <w:rFonts w:ascii="宋体" w:hAnsi="宋体" w:eastAsia="宋体" w:cs="宋体"/>
                <w:b w:val="0"/>
              </w:rPr>
              <w:t>6</w:t>
            </w:r>
          </w:p>
        </w:tc>
        <w:tc>
          <w:tcPr>
            <w:tcW w:w="0" w:type="dxa"/>
          </w:tcPr>
          <w:p w14:paraId="318A5D26">
            <w:pPr>
              <w:spacing w:line="240" w:lineRule="auto"/>
              <w:jc w:val="left"/>
            </w:pPr>
            <w:r>
              <w:rPr>
                <w:rFonts w:ascii="宋体" w:hAnsi="宋体" w:eastAsia="宋体" w:cs="宋体"/>
                <w:b w:val="0"/>
              </w:rPr>
              <w:t>836208</w:t>
            </w:r>
          </w:p>
        </w:tc>
        <w:tc>
          <w:tcPr>
            <w:tcW w:w="0" w:type="dxa"/>
          </w:tcPr>
          <w:p w14:paraId="5C77C184">
            <w:pPr>
              <w:spacing w:line="240" w:lineRule="auto"/>
              <w:jc w:val="left"/>
            </w:pPr>
            <w:r>
              <w:rPr>
                <w:rFonts w:ascii="宋体" w:hAnsi="宋体" w:eastAsia="宋体" w:cs="宋体"/>
                <w:b w:val="0"/>
              </w:rPr>
              <w:t>青矩技术</w:t>
            </w:r>
          </w:p>
        </w:tc>
        <w:tc>
          <w:tcPr>
            <w:tcW w:w="0" w:type="dxa"/>
          </w:tcPr>
          <w:p w14:paraId="1054D067">
            <w:pPr>
              <w:spacing w:line="240" w:lineRule="auto"/>
              <w:jc w:val="right"/>
            </w:pPr>
            <w:r>
              <w:rPr>
                <w:rFonts w:ascii="宋体" w:hAnsi="宋体" w:eastAsia="宋体" w:cs="宋体"/>
                <w:b w:val="0"/>
              </w:rPr>
              <w:t>629,601.18</w:t>
            </w:r>
          </w:p>
        </w:tc>
        <w:tc>
          <w:tcPr>
            <w:tcW w:w="0" w:type="dxa"/>
          </w:tcPr>
          <w:p w14:paraId="35E510EC">
            <w:pPr>
              <w:spacing w:line="240" w:lineRule="auto"/>
              <w:jc w:val="right"/>
            </w:pPr>
            <w:r>
              <w:rPr>
                <w:rFonts w:ascii="宋体" w:hAnsi="宋体" w:eastAsia="宋体" w:cs="宋体"/>
                <w:b w:val="0"/>
              </w:rPr>
              <w:t>5.32</w:t>
            </w:r>
          </w:p>
        </w:tc>
      </w:tr>
      <w:tr w14:paraId="3FE9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77F6F8">
            <w:pPr>
              <w:spacing w:line="240" w:lineRule="auto"/>
              <w:jc w:val="center"/>
            </w:pPr>
            <w:r>
              <w:rPr>
                <w:rFonts w:ascii="宋体" w:hAnsi="宋体" w:eastAsia="宋体" w:cs="宋体"/>
                <w:b w:val="0"/>
              </w:rPr>
              <w:t>7</w:t>
            </w:r>
          </w:p>
        </w:tc>
        <w:tc>
          <w:tcPr>
            <w:tcW w:w="0" w:type="dxa"/>
          </w:tcPr>
          <w:p w14:paraId="57D3648A">
            <w:pPr>
              <w:spacing w:line="240" w:lineRule="auto"/>
              <w:jc w:val="left"/>
            </w:pPr>
            <w:r>
              <w:rPr>
                <w:rFonts w:ascii="宋体" w:hAnsi="宋体" w:eastAsia="宋体" w:cs="宋体"/>
                <w:b w:val="0"/>
              </w:rPr>
              <w:t>833394</w:t>
            </w:r>
          </w:p>
        </w:tc>
        <w:tc>
          <w:tcPr>
            <w:tcW w:w="0" w:type="dxa"/>
          </w:tcPr>
          <w:p w14:paraId="10034E1E">
            <w:pPr>
              <w:spacing w:line="240" w:lineRule="auto"/>
              <w:jc w:val="left"/>
            </w:pPr>
            <w:r>
              <w:rPr>
                <w:rFonts w:ascii="宋体" w:hAnsi="宋体" w:eastAsia="宋体" w:cs="宋体"/>
                <w:b w:val="0"/>
              </w:rPr>
              <w:t>民士达</w:t>
            </w:r>
          </w:p>
        </w:tc>
        <w:tc>
          <w:tcPr>
            <w:tcW w:w="0" w:type="dxa"/>
          </w:tcPr>
          <w:p w14:paraId="195283A3">
            <w:pPr>
              <w:spacing w:line="240" w:lineRule="auto"/>
              <w:jc w:val="right"/>
            </w:pPr>
            <w:r>
              <w:rPr>
                <w:rFonts w:ascii="宋体" w:hAnsi="宋体" w:eastAsia="宋体" w:cs="宋体"/>
                <w:b w:val="0"/>
              </w:rPr>
              <w:t>530,888.56</w:t>
            </w:r>
          </w:p>
        </w:tc>
        <w:tc>
          <w:tcPr>
            <w:tcW w:w="0" w:type="dxa"/>
          </w:tcPr>
          <w:p w14:paraId="477A35DA">
            <w:pPr>
              <w:spacing w:line="240" w:lineRule="auto"/>
              <w:jc w:val="right"/>
            </w:pPr>
            <w:r>
              <w:rPr>
                <w:rFonts w:ascii="宋体" w:hAnsi="宋体" w:eastAsia="宋体" w:cs="宋体"/>
                <w:b w:val="0"/>
              </w:rPr>
              <w:t>4.48</w:t>
            </w:r>
          </w:p>
        </w:tc>
      </w:tr>
      <w:tr w14:paraId="048A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6BFDAC">
            <w:pPr>
              <w:spacing w:line="240" w:lineRule="auto"/>
              <w:jc w:val="center"/>
            </w:pPr>
            <w:r>
              <w:rPr>
                <w:rFonts w:ascii="宋体" w:hAnsi="宋体" w:eastAsia="宋体" w:cs="宋体"/>
                <w:b w:val="0"/>
              </w:rPr>
              <w:t>8</w:t>
            </w:r>
          </w:p>
        </w:tc>
        <w:tc>
          <w:tcPr>
            <w:tcW w:w="0" w:type="dxa"/>
          </w:tcPr>
          <w:p w14:paraId="70A19EF6">
            <w:pPr>
              <w:spacing w:line="240" w:lineRule="auto"/>
              <w:jc w:val="left"/>
            </w:pPr>
            <w:r>
              <w:rPr>
                <w:rFonts w:ascii="宋体" w:hAnsi="宋体" w:eastAsia="宋体" w:cs="宋体"/>
                <w:b w:val="0"/>
              </w:rPr>
              <w:t>871396</w:t>
            </w:r>
          </w:p>
        </w:tc>
        <w:tc>
          <w:tcPr>
            <w:tcW w:w="0" w:type="dxa"/>
          </w:tcPr>
          <w:p w14:paraId="3227F13D">
            <w:pPr>
              <w:spacing w:line="240" w:lineRule="auto"/>
              <w:jc w:val="left"/>
            </w:pPr>
            <w:r>
              <w:rPr>
                <w:rFonts w:ascii="宋体" w:hAnsi="宋体" w:eastAsia="宋体" w:cs="宋体"/>
                <w:b w:val="0"/>
              </w:rPr>
              <w:t>常辅股份</w:t>
            </w:r>
          </w:p>
        </w:tc>
        <w:tc>
          <w:tcPr>
            <w:tcW w:w="0" w:type="dxa"/>
          </w:tcPr>
          <w:p w14:paraId="7884B84E">
            <w:pPr>
              <w:spacing w:line="240" w:lineRule="auto"/>
              <w:jc w:val="right"/>
            </w:pPr>
            <w:r>
              <w:rPr>
                <w:rFonts w:ascii="宋体" w:hAnsi="宋体" w:eastAsia="宋体" w:cs="宋体"/>
                <w:b w:val="0"/>
              </w:rPr>
              <w:t>509,493.01</w:t>
            </w:r>
          </w:p>
        </w:tc>
        <w:tc>
          <w:tcPr>
            <w:tcW w:w="0" w:type="dxa"/>
          </w:tcPr>
          <w:p w14:paraId="292AD0FC">
            <w:pPr>
              <w:spacing w:line="240" w:lineRule="auto"/>
              <w:jc w:val="right"/>
            </w:pPr>
            <w:r>
              <w:rPr>
                <w:rFonts w:ascii="宋体" w:hAnsi="宋体" w:eastAsia="宋体" w:cs="宋体"/>
                <w:b w:val="0"/>
              </w:rPr>
              <w:t>4.30</w:t>
            </w:r>
          </w:p>
        </w:tc>
      </w:tr>
      <w:tr w14:paraId="790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5AA0B3">
            <w:pPr>
              <w:spacing w:line="240" w:lineRule="auto"/>
              <w:jc w:val="center"/>
            </w:pPr>
            <w:r>
              <w:rPr>
                <w:rFonts w:ascii="宋体" w:hAnsi="宋体" w:eastAsia="宋体" w:cs="宋体"/>
                <w:b w:val="0"/>
              </w:rPr>
              <w:t>9</w:t>
            </w:r>
          </w:p>
        </w:tc>
        <w:tc>
          <w:tcPr>
            <w:tcW w:w="0" w:type="dxa"/>
          </w:tcPr>
          <w:p w14:paraId="64D992CD">
            <w:pPr>
              <w:spacing w:line="240" w:lineRule="auto"/>
              <w:jc w:val="left"/>
            </w:pPr>
            <w:r>
              <w:rPr>
                <w:rFonts w:ascii="宋体" w:hAnsi="宋体" w:eastAsia="宋体" w:cs="宋体"/>
                <w:b w:val="0"/>
              </w:rPr>
              <w:t>835174</w:t>
            </w:r>
          </w:p>
        </w:tc>
        <w:tc>
          <w:tcPr>
            <w:tcW w:w="0" w:type="dxa"/>
          </w:tcPr>
          <w:p w14:paraId="474412D7">
            <w:pPr>
              <w:spacing w:line="240" w:lineRule="auto"/>
              <w:jc w:val="left"/>
            </w:pPr>
            <w:r>
              <w:rPr>
                <w:rFonts w:ascii="宋体" w:hAnsi="宋体" w:eastAsia="宋体" w:cs="宋体"/>
                <w:b w:val="0"/>
              </w:rPr>
              <w:t>五新隧装</w:t>
            </w:r>
          </w:p>
        </w:tc>
        <w:tc>
          <w:tcPr>
            <w:tcW w:w="0" w:type="dxa"/>
          </w:tcPr>
          <w:p w14:paraId="338480A7">
            <w:pPr>
              <w:spacing w:line="240" w:lineRule="auto"/>
              <w:jc w:val="right"/>
            </w:pPr>
            <w:r>
              <w:rPr>
                <w:rFonts w:ascii="宋体" w:hAnsi="宋体" w:eastAsia="宋体" w:cs="宋体"/>
                <w:b w:val="0"/>
              </w:rPr>
              <w:t>430,358.67</w:t>
            </w:r>
          </w:p>
        </w:tc>
        <w:tc>
          <w:tcPr>
            <w:tcW w:w="0" w:type="dxa"/>
          </w:tcPr>
          <w:p w14:paraId="37EA760D">
            <w:pPr>
              <w:spacing w:line="240" w:lineRule="auto"/>
              <w:jc w:val="right"/>
            </w:pPr>
            <w:r>
              <w:rPr>
                <w:rFonts w:ascii="宋体" w:hAnsi="宋体" w:eastAsia="宋体" w:cs="宋体"/>
                <w:b w:val="0"/>
              </w:rPr>
              <w:t>3.63</w:t>
            </w:r>
          </w:p>
        </w:tc>
      </w:tr>
      <w:tr w14:paraId="446B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24D587">
            <w:pPr>
              <w:spacing w:line="240" w:lineRule="auto"/>
              <w:jc w:val="center"/>
            </w:pPr>
            <w:r>
              <w:rPr>
                <w:rFonts w:ascii="宋体" w:hAnsi="宋体" w:eastAsia="宋体" w:cs="宋体"/>
                <w:b w:val="0"/>
              </w:rPr>
              <w:t>10</w:t>
            </w:r>
          </w:p>
        </w:tc>
        <w:tc>
          <w:tcPr>
            <w:tcW w:w="0" w:type="dxa"/>
          </w:tcPr>
          <w:p w14:paraId="1A4166AD">
            <w:pPr>
              <w:spacing w:line="240" w:lineRule="auto"/>
              <w:jc w:val="left"/>
            </w:pPr>
            <w:r>
              <w:rPr>
                <w:rFonts w:ascii="宋体" w:hAnsi="宋体" w:eastAsia="宋体" w:cs="宋体"/>
                <w:b w:val="0"/>
              </w:rPr>
              <w:t>920099</w:t>
            </w:r>
          </w:p>
        </w:tc>
        <w:tc>
          <w:tcPr>
            <w:tcW w:w="0" w:type="dxa"/>
          </w:tcPr>
          <w:p w14:paraId="67F28AA9">
            <w:pPr>
              <w:spacing w:line="240" w:lineRule="auto"/>
              <w:jc w:val="left"/>
            </w:pPr>
            <w:r>
              <w:rPr>
                <w:rFonts w:ascii="宋体" w:hAnsi="宋体" w:eastAsia="宋体" w:cs="宋体"/>
                <w:b w:val="0"/>
              </w:rPr>
              <w:t>瑞华技术</w:t>
            </w:r>
          </w:p>
        </w:tc>
        <w:tc>
          <w:tcPr>
            <w:tcW w:w="0" w:type="dxa"/>
          </w:tcPr>
          <w:p w14:paraId="0CDD7BC8">
            <w:pPr>
              <w:spacing w:line="240" w:lineRule="auto"/>
              <w:jc w:val="right"/>
            </w:pPr>
            <w:r>
              <w:rPr>
                <w:rFonts w:ascii="宋体" w:hAnsi="宋体" w:eastAsia="宋体" w:cs="宋体"/>
                <w:b w:val="0"/>
              </w:rPr>
              <w:t>429,964.45</w:t>
            </w:r>
          </w:p>
        </w:tc>
        <w:tc>
          <w:tcPr>
            <w:tcW w:w="0" w:type="dxa"/>
          </w:tcPr>
          <w:p w14:paraId="6F88D072">
            <w:pPr>
              <w:spacing w:line="240" w:lineRule="auto"/>
              <w:jc w:val="right"/>
            </w:pPr>
            <w:r>
              <w:rPr>
                <w:rFonts w:ascii="宋体" w:hAnsi="宋体" w:eastAsia="宋体" w:cs="宋体"/>
                <w:b w:val="0"/>
              </w:rPr>
              <w:t>3.63</w:t>
            </w:r>
          </w:p>
        </w:tc>
      </w:tr>
      <w:tr w14:paraId="02F1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A45BA4">
            <w:pPr>
              <w:spacing w:line="240" w:lineRule="auto"/>
              <w:jc w:val="center"/>
            </w:pPr>
            <w:r>
              <w:rPr>
                <w:rFonts w:ascii="宋体" w:hAnsi="宋体" w:eastAsia="宋体" w:cs="宋体"/>
                <w:b w:val="0"/>
              </w:rPr>
              <w:t>11</w:t>
            </w:r>
          </w:p>
        </w:tc>
        <w:tc>
          <w:tcPr>
            <w:tcW w:w="0" w:type="dxa"/>
          </w:tcPr>
          <w:p w14:paraId="35165DBE">
            <w:pPr>
              <w:spacing w:line="240" w:lineRule="auto"/>
              <w:jc w:val="left"/>
            </w:pPr>
            <w:r>
              <w:rPr>
                <w:rFonts w:ascii="宋体" w:hAnsi="宋体" w:eastAsia="宋体" w:cs="宋体"/>
                <w:b w:val="0"/>
              </w:rPr>
              <w:t>835185</w:t>
            </w:r>
          </w:p>
        </w:tc>
        <w:tc>
          <w:tcPr>
            <w:tcW w:w="0" w:type="dxa"/>
          </w:tcPr>
          <w:p w14:paraId="1089E529">
            <w:pPr>
              <w:spacing w:line="240" w:lineRule="auto"/>
              <w:jc w:val="left"/>
            </w:pPr>
            <w:r>
              <w:rPr>
                <w:rFonts w:ascii="宋体" w:hAnsi="宋体" w:eastAsia="宋体" w:cs="宋体"/>
                <w:b w:val="0"/>
              </w:rPr>
              <w:t>贝特瑞</w:t>
            </w:r>
          </w:p>
        </w:tc>
        <w:tc>
          <w:tcPr>
            <w:tcW w:w="0" w:type="dxa"/>
          </w:tcPr>
          <w:p w14:paraId="4E7A9D82">
            <w:pPr>
              <w:spacing w:line="240" w:lineRule="auto"/>
              <w:jc w:val="right"/>
            </w:pPr>
            <w:r>
              <w:rPr>
                <w:rFonts w:ascii="宋体" w:hAnsi="宋体" w:eastAsia="宋体" w:cs="宋体"/>
                <w:b w:val="0"/>
              </w:rPr>
              <w:t>304,981.47</w:t>
            </w:r>
          </w:p>
        </w:tc>
        <w:tc>
          <w:tcPr>
            <w:tcW w:w="0" w:type="dxa"/>
          </w:tcPr>
          <w:p w14:paraId="3507E508">
            <w:pPr>
              <w:spacing w:line="240" w:lineRule="auto"/>
              <w:jc w:val="right"/>
            </w:pPr>
            <w:r>
              <w:rPr>
                <w:rFonts w:ascii="宋体" w:hAnsi="宋体" w:eastAsia="宋体" w:cs="宋体"/>
                <w:b w:val="0"/>
              </w:rPr>
              <w:t>2.58</w:t>
            </w:r>
          </w:p>
        </w:tc>
      </w:tr>
      <w:tr w14:paraId="3CE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F13ADA">
            <w:pPr>
              <w:spacing w:line="240" w:lineRule="auto"/>
              <w:jc w:val="center"/>
            </w:pPr>
            <w:r>
              <w:rPr>
                <w:rFonts w:ascii="宋体" w:hAnsi="宋体" w:eastAsia="宋体" w:cs="宋体"/>
                <w:b w:val="0"/>
              </w:rPr>
              <w:t>12</w:t>
            </w:r>
          </w:p>
        </w:tc>
        <w:tc>
          <w:tcPr>
            <w:tcW w:w="0" w:type="dxa"/>
          </w:tcPr>
          <w:p w14:paraId="79986A47">
            <w:pPr>
              <w:spacing w:line="240" w:lineRule="auto"/>
              <w:jc w:val="left"/>
            </w:pPr>
            <w:r>
              <w:rPr>
                <w:rFonts w:ascii="宋体" w:hAnsi="宋体" w:eastAsia="宋体" w:cs="宋体"/>
                <w:b w:val="0"/>
              </w:rPr>
              <w:t>920799</w:t>
            </w:r>
          </w:p>
        </w:tc>
        <w:tc>
          <w:tcPr>
            <w:tcW w:w="0" w:type="dxa"/>
          </w:tcPr>
          <w:p w14:paraId="7870F8F7">
            <w:pPr>
              <w:spacing w:line="240" w:lineRule="auto"/>
              <w:jc w:val="left"/>
            </w:pPr>
            <w:r>
              <w:rPr>
                <w:rFonts w:ascii="宋体" w:hAnsi="宋体" w:eastAsia="宋体" w:cs="宋体"/>
                <w:b w:val="0"/>
              </w:rPr>
              <w:t>艾融软件</w:t>
            </w:r>
          </w:p>
        </w:tc>
        <w:tc>
          <w:tcPr>
            <w:tcW w:w="0" w:type="dxa"/>
          </w:tcPr>
          <w:p w14:paraId="6C1E9FA8">
            <w:pPr>
              <w:spacing w:line="240" w:lineRule="auto"/>
              <w:jc w:val="right"/>
            </w:pPr>
            <w:r>
              <w:rPr>
                <w:rFonts w:ascii="宋体" w:hAnsi="宋体" w:eastAsia="宋体" w:cs="宋体"/>
                <w:b w:val="0"/>
              </w:rPr>
              <w:t>199,575.71</w:t>
            </w:r>
          </w:p>
        </w:tc>
        <w:tc>
          <w:tcPr>
            <w:tcW w:w="0" w:type="dxa"/>
          </w:tcPr>
          <w:p w14:paraId="563C3453">
            <w:pPr>
              <w:spacing w:line="240" w:lineRule="auto"/>
              <w:jc w:val="right"/>
            </w:pPr>
            <w:r>
              <w:rPr>
                <w:rFonts w:ascii="宋体" w:hAnsi="宋体" w:eastAsia="宋体" w:cs="宋体"/>
                <w:b w:val="0"/>
              </w:rPr>
              <w:t>1.69</w:t>
            </w:r>
          </w:p>
        </w:tc>
      </w:tr>
      <w:tr w14:paraId="24AE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018CBC">
            <w:pPr>
              <w:spacing w:line="240" w:lineRule="auto"/>
              <w:jc w:val="center"/>
            </w:pPr>
            <w:r>
              <w:rPr>
                <w:rFonts w:ascii="宋体" w:hAnsi="宋体" w:eastAsia="宋体" w:cs="宋体"/>
                <w:b w:val="0"/>
              </w:rPr>
              <w:t>13</w:t>
            </w:r>
          </w:p>
        </w:tc>
        <w:tc>
          <w:tcPr>
            <w:tcW w:w="0" w:type="dxa"/>
          </w:tcPr>
          <w:p w14:paraId="7C861A02">
            <w:pPr>
              <w:spacing w:line="240" w:lineRule="auto"/>
              <w:jc w:val="left"/>
            </w:pPr>
            <w:r>
              <w:rPr>
                <w:rFonts w:ascii="宋体" w:hAnsi="宋体" w:eastAsia="宋体" w:cs="宋体"/>
                <w:b w:val="0"/>
              </w:rPr>
              <w:t>832522</w:t>
            </w:r>
          </w:p>
        </w:tc>
        <w:tc>
          <w:tcPr>
            <w:tcW w:w="0" w:type="dxa"/>
          </w:tcPr>
          <w:p w14:paraId="7A680AC7">
            <w:pPr>
              <w:spacing w:line="240" w:lineRule="auto"/>
              <w:jc w:val="left"/>
            </w:pPr>
            <w:r>
              <w:rPr>
                <w:rFonts w:ascii="宋体" w:hAnsi="宋体" w:eastAsia="宋体" w:cs="宋体"/>
                <w:b w:val="0"/>
              </w:rPr>
              <w:t>纳科诺尔</w:t>
            </w:r>
          </w:p>
        </w:tc>
        <w:tc>
          <w:tcPr>
            <w:tcW w:w="0" w:type="dxa"/>
          </w:tcPr>
          <w:p w14:paraId="4456FEEF">
            <w:pPr>
              <w:spacing w:line="240" w:lineRule="auto"/>
              <w:jc w:val="right"/>
            </w:pPr>
            <w:r>
              <w:rPr>
                <w:rFonts w:ascii="宋体" w:hAnsi="宋体" w:eastAsia="宋体" w:cs="宋体"/>
                <w:b w:val="0"/>
              </w:rPr>
              <w:t>160,270.49</w:t>
            </w:r>
          </w:p>
        </w:tc>
        <w:tc>
          <w:tcPr>
            <w:tcW w:w="0" w:type="dxa"/>
          </w:tcPr>
          <w:p w14:paraId="4A87B81F">
            <w:pPr>
              <w:spacing w:line="240" w:lineRule="auto"/>
              <w:jc w:val="right"/>
            </w:pPr>
            <w:r>
              <w:rPr>
                <w:rFonts w:ascii="宋体" w:hAnsi="宋体" w:eastAsia="宋体" w:cs="宋体"/>
                <w:b w:val="0"/>
              </w:rPr>
              <w:t>1.35</w:t>
            </w:r>
          </w:p>
        </w:tc>
      </w:tr>
      <w:tr w14:paraId="44E6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6DD178">
            <w:pPr>
              <w:spacing w:line="240" w:lineRule="auto"/>
              <w:jc w:val="center"/>
            </w:pPr>
            <w:r>
              <w:rPr>
                <w:rFonts w:ascii="宋体" w:hAnsi="宋体" w:eastAsia="宋体" w:cs="宋体"/>
                <w:b w:val="0"/>
              </w:rPr>
              <w:t>14</w:t>
            </w:r>
          </w:p>
        </w:tc>
        <w:tc>
          <w:tcPr>
            <w:tcW w:w="0" w:type="dxa"/>
          </w:tcPr>
          <w:p w14:paraId="585DE088">
            <w:pPr>
              <w:spacing w:line="240" w:lineRule="auto"/>
              <w:jc w:val="left"/>
            </w:pPr>
            <w:r>
              <w:rPr>
                <w:rFonts w:ascii="宋体" w:hAnsi="宋体" w:eastAsia="宋体" w:cs="宋体"/>
                <w:b w:val="0"/>
              </w:rPr>
              <w:t>835368</w:t>
            </w:r>
          </w:p>
        </w:tc>
        <w:tc>
          <w:tcPr>
            <w:tcW w:w="0" w:type="dxa"/>
          </w:tcPr>
          <w:p w14:paraId="4D2BBC66">
            <w:pPr>
              <w:spacing w:line="240" w:lineRule="auto"/>
              <w:jc w:val="left"/>
            </w:pPr>
            <w:r>
              <w:rPr>
                <w:rFonts w:ascii="宋体" w:hAnsi="宋体" w:eastAsia="宋体" w:cs="宋体"/>
                <w:b w:val="0"/>
              </w:rPr>
              <w:t>连城数控</w:t>
            </w:r>
          </w:p>
        </w:tc>
        <w:tc>
          <w:tcPr>
            <w:tcW w:w="0" w:type="dxa"/>
          </w:tcPr>
          <w:p w14:paraId="63611142">
            <w:pPr>
              <w:spacing w:line="240" w:lineRule="auto"/>
              <w:jc w:val="right"/>
            </w:pPr>
            <w:r>
              <w:rPr>
                <w:rFonts w:ascii="宋体" w:hAnsi="宋体" w:eastAsia="宋体" w:cs="宋体"/>
                <w:b w:val="0"/>
              </w:rPr>
              <w:t>150,673.07</w:t>
            </w:r>
          </w:p>
        </w:tc>
        <w:tc>
          <w:tcPr>
            <w:tcW w:w="0" w:type="dxa"/>
          </w:tcPr>
          <w:p w14:paraId="36865FE5">
            <w:pPr>
              <w:spacing w:line="240" w:lineRule="auto"/>
              <w:jc w:val="right"/>
            </w:pPr>
            <w:r>
              <w:rPr>
                <w:rFonts w:ascii="宋体" w:hAnsi="宋体" w:eastAsia="宋体" w:cs="宋体"/>
                <w:b w:val="0"/>
              </w:rPr>
              <w:t>1.27</w:t>
            </w:r>
          </w:p>
        </w:tc>
      </w:tr>
      <w:tr w14:paraId="393E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7F489C">
            <w:pPr>
              <w:spacing w:line="240" w:lineRule="auto"/>
              <w:jc w:val="center"/>
            </w:pPr>
            <w:r>
              <w:rPr>
                <w:rFonts w:ascii="宋体" w:hAnsi="宋体" w:eastAsia="宋体" w:cs="宋体"/>
                <w:b w:val="0"/>
              </w:rPr>
              <w:t>15</w:t>
            </w:r>
          </w:p>
        </w:tc>
        <w:tc>
          <w:tcPr>
            <w:tcW w:w="0" w:type="dxa"/>
          </w:tcPr>
          <w:p w14:paraId="5E8B09A8">
            <w:pPr>
              <w:spacing w:line="240" w:lineRule="auto"/>
              <w:jc w:val="left"/>
            </w:pPr>
            <w:r>
              <w:rPr>
                <w:rFonts w:ascii="宋体" w:hAnsi="宋体" w:eastAsia="宋体" w:cs="宋体"/>
                <w:b w:val="0"/>
              </w:rPr>
              <w:t>839493</w:t>
            </w:r>
          </w:p>
        </w:tc>
        <w:tc>
          <w:tcPr>
            <w:tcW w:w="0" w:type="dxa"/>
          </w:tcPr>
          <w:p w14:paraId="7A4CBBB2">
            <w:pPr>
              <w:spacing w:line="240" w:lineRule="auto"/>
              <w:jc w:val="left"/>
            </w:pPr>
            <w:r>
              <w:rPr>
                <w:rFonts w:ascii="宋体" w:hAnsi="宋体" w:eastAsia="宋体" w:cs="宋体"/>
                <w:b w:val="0"/>
              </w:rPr>
              <w:t>并行科技</w:t>
            </w:r>
          </w:p>
        </w:tc>
        <w:tc>
          <w:tcPr>
            <w:tcW w:w="0" w:type="dxa"/>
          </w:tcPr>
          <w:p w14:paraId="136097C7">
            <w:pPr>
              <w:spacing w:line="240" w:lineRule="auto"/>
              <w:jc w:val="right"/>
            </w:pPr>
            <w:r>
              <w:rPr>
                <w:rFonts w:ascii="宋体" w:hAnsi="宋体" w:eastAsia="宋体" w:cs="宋体"/>
                <w:b w:val="0"/>
              </w:rPr>
              <w:t>146,712.76</w:t>
            </w:r>
          </w:p>
        </w:tc>
        <w:tc>
          <w:tcPr>
            <w:tcW w:w="0" w:type="dxa"/>
          </w:tcPr>
          <w:p w14:paraId="626D8A72">
            <w:pPr>
              <w:spacing w:line="240" w:lineRule="auto"/>
              <w:jc w:val="right"/>
            </w:pPr>
            <w:r>
              <w:rPr>
                <w:rFonts w:ascii="宋体" w:hAnsi="宋体" w:eastAsia="宋体" w:cs="宋体"/>
                <w:b w:val="0"/>
              </w:rPr>
              <w:t>1.24</w:t>
            </w:r>
          </w:p>
        </w:tc>
      </w:tr>
      <w:tr w14:paraId="3B61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47AB30">
            <w:pPr>
              <w:spacing w:line="240" w:lineRule="auto"/>
              <w:jc w:val="center"/>
            </w:pPr>
            <w:r>
              <w:rPr>
                <w:rFonts w:ascii="宋体" w:hAnsi="宋体" w:eastAsia="宋体" w:cs="宋体"/>
                <w:b w:val="0"/>
              </w:rPr>
              <w:t>16</w:t>
            </w:r>
          </w:p>
        </w:tc>
        <w:tc>
          <w:tcPr>
            <w:tcW w:w="0" w:type="dxa"/>
          </w:tcPr>
          <w:p w14:paraId="60647E00">
            <w:pPr>
              <w:spacing w:line="240" w:lineRule="auto"/>
              <w:jc w:val="left"/>
            </w:pPr>
            <w:r>
              <w:rPr>
                <w:rFonts w:ascii="宋体" w:hAnsi="宋体" w:eastAsia="宋体" w:cs="宋体"/>
                <w:b w:val="0"/>
              </w:rPr>
              <w:t>430047</w:t>
            </w:r>
          </w:p>
        </w:tc>
        <w:tc>
          <w:tcPr>
            <w:tcW w:w="0" w:type="dxa"/>
          </w:tcPr>
          <w:p w14:paraId="40064CD9">
            <w:pPr>
              <w:spacing w:line="240" w:lineRule="auto"/>
              <w:jc w:val="left"/>
            </w:pPr>
            <w:r>
              <w:rPr>
                <w:rFonts w:ascii="宋体" w:hAnsi="宋体" w:eastAsia="宋体" w:cs="宋体"/>
                <w:b w:val="0"/>
              </w:rPr>
              <w:t>诺思兰德</w:t>
            </w:r>
          </w:p>
        </w:tc>
        <w:tc>
          <w:tcPr>
            <w:tcW w:w="0" w:type="dxa"/>
          </w:tcPr>
          <w:p w14:paraId="2487A95F">
            <w:pPr>
              <w:spacing w:line="240" w:lineRule="auto"/>
              <w:jc w:val="right"/>
            </w:pPr>
            <w:r>
              <w:rPr>
                <w:rFonts w:ascii="宋体" w:hAnsi="宋体" w:eastAsia="宋体" w:cs="宋体"/>
                <w:b w:val="0"/>
              </w:rPr>
              <w:t>139,047.91</w:t>
            </w:r>
          </w:p>
        </w:tc>
        <w:tc>
          <w:tcPr>
            <w:tcW w:w="0" w:type="dxa"/>
          </w:tcPr>
          <w:p w14:paraId="5E3B8000">
            <w:pPr>
              <w:spacing w:line="240" w:lineRule="auto"/>
              <w:jc w:val="right"/>
            </w:pPr>
            <w:r>
              <w:rPr>
                <w:rFonts w:ascii="宋体" w:hAnsi="宋体" w:eastAsia="宋体" w:cs="宋体"/>
                <w:b w:val="0"/>
              </w:rPr>
              <w:t>1.17</w:t>
            </w:r>
          </w:p>
        </w:tc>
      </w:tr>
      <w:tr w14:paraId="6F11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3F42D2">
            <w:pPr>
              <w:spacing w:line="240" w:lineRule="auto"/>
              <w:jc w:val="center"/>
            </w:pPr>
            <w:r>
              <w:rPr>
                <w:rFonts w:ascii="宋体" w:hAnsi="宋体" w:eastAsia="宋体" w:cs="宋体"/>
                <w:b w:val="0"/>
              </w:rPr>
              <w:t>17</w:t>
            </w:r>
          </w:p>
        </w:tc>
        <w:tc>
          <w:tcPr>
            <w:tcW w:w="0" w:type="dxa"/>
          </w:tcPr>
          <w:p w14:paraId="721BAAE1">
            <w:pPr>
              <w:spacing w:line="240" w:lineRule="auto"/>
              <w:jc w:val="left"/>
            </w:pPr>
            <w:r>
              <w:rPr>
                <w:rFonts w:ascii="宋体" w:hAnsi="宋体" w:eastAsia="宋体" w:cs="宋体"/>
                <w:b w:val="0"/>
              </w:rPr>
              <w:t>430139</w:t>
            </w:r>
          </w:p>
        </w:tc>
        <w:tc>
          <w:tcPr>
            <w:tcW w:w="0" w:type="dxa"/>
          </w:tcPr>
          <w:p w14:paraId="3F93DD27">
            <w:pPr>
              <w:spacing w:line="240" w:lineRule="auto"/>
              <w:jc w:val="left"/>
            </w:pPr>
            <w:r>
              <w:rPr>
                <w:rFonts w:ascii="宋体" w:hAnsi="宋体" w:eastAsia="宋体" w:cs="宋体"/>
                <w:b w:val="0"/>
              </w:rPr>
              <w:t>华岭股份</w:t>
            </w:r>
          </w:p>
        </w:tc>
        <w:tc>
          <w:tcPr>
            <w:tcW w:w="0" w:type="dxa"/>
          </w:tcPr>
          <w:p w14:paraId="4FBC1173">
            <w:pPr>
              <w:spacing w:line="240" w:lineRule="auto"/>
              <w:jc w:val="right"/>
            </w:pPr>
            <w:r>
              <w:rPr>
                <w:rFonts w:ascii="宋体" w:hAnsi="宋体" w:eastAsia="宋体" w:cs="宋体"/>
                <w:b w:val="0"/>
              </w:rPr>
              <w:t>135,110.51</w:t>
            </w:r>
          </w:p>
        </w:tc>
        <w:tc>
          <w:tcPr>
            <w:tcW w:w="0" w:type="dxa"/>
          </w:tcPr>
          <w:p w14:paraId="51BF2B0E">
            <w:pPr>
              <w:spacing w:line="240" w:lineRule="auto"/>
              <w:jc w:val="right"/>
            </w:pPr>
            <w:r>
              <w:rPr>
                <w:rFonts w:ascii="宋体" w:hAnsi="宋体" w:eastAsia="宋体" w:cs="宋体"/>
                <w:b w:val="0"/>
              </w:rPr>
              <w:t>1.14</w:t>
            </w:r>
          </w:p>
        </w:tc>
      </w:tr>
      <w:tr w14:paraId="4C13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5F24AF">
            <w:pPr>
              <w:spacing w:line="240" w:lineRule="auto"/>
              <w:jc w:val="center"/>
            </w:pPr>
            <w:r>
              <w:rPr>
                <w:rFonts w:ascii="宋体" w:hAnsi="宋体" w:eastAsia="宋体" w:cs="宋体"/>
                <w:b w:val="0"/>
              </w:rPr>
              <w:t>18</w:t>
            </w:r>
          </w:p>
        </w:tc>
        <w:tc>
          <w:tcPr>
            <w:tcW w:w="0" w:type="dxa"/>
          </w:tcPr>
          <w:p w14:paraId="3109DF6C">
            <w:pPr>
              <w:spacing w:line="240" w:lineRule="auto"/>
              <w:jc w:val="left"/>
            </w:pPr>
            <w:r>
              <w:rPr>
                <w:rFonts w:ascii="宋体" w:hAnsi="宋体" w:eastAsia="宋体" w:cs="宋体"/>
                <w:b w:val="0"/>
              </w:rPr>
              <w:t>873593</w:t>
            </w:r>
          </w:p>
        </w:tc>
        <w:tc>
          <w:tcPr>
            <w:tcW w:w="0" w:type="dxa"/>
          </w:tcPr>
          <w:p w14:paraId="69CF8C68">
            <w:pPr>
              <w:spacing w:line="240" w:lineRule="auto"/>
              <w:jc w:val="left"/>
            </w:pPr>
            <w:r>
              <w:rPr>
                <w:rFonts w:ascii="宋体" w:hAnsi="宋体" w:eastAsia="宋体" w:cs="宋体"/>
                <w:b w:val="0"/>
              </w:rPr>
              <w:t>鼎智科技</w:t>
            </w:r>
          </w:p>
        </w:tc>
        <w:tc>
          <w:tcPr>
            <w:tcW w:w="0" w:type="dxa"/>
          </w:tcPr>
          <w:p w14:paraId="5B7C85D1">
            <w:pPr>
              <w:spacing w:line="240" w:lineRule="auto"/>
              <w:jc w:val="right"/>
            </w:pPr>
            <w:r>
              <w:rPr>
                <w:rFonts w:ascii="宋体" w:hAnsi="宋体" w:eastAsia="宋体" w:cs="宋体"/>
                <w:b w:val="0"/>
              </w:rPr>
              <w:t>131,900.78</w:t>
            </w:r>
          </w:p>
        </w:tc>
        <w:tc>
          <w:tcPr>
            <w:tcW w:w="0" w:type="dxa"/>
          </w:tcPr>
          <w:p w14:paraId="1FADC31B">
            <w:pPr>
              <w:spacing w:line="240" w:lineRule="auto"/>
              <w:jc w:val="right"/>
            </w:pPr>
            <w:r>
              <w:rPr>
                <w:rFonts w:ascii="宋体" w:hAnsi="宋体" w:eastAsia="宋体" w:cs="宋体"/>
                <w:b w:val="0"/>
              </w:rPr>
              <w:t>1.11</w:t>
            </w:r>
          </w:p>
        </w:tc>
      </w:tr>
      <w:tr w14:paraId="5E97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1DAB4A">
            <w:pPr>
              <w:spacing w:line="240" w:lineRule="auto"/>
              <w:jc w:val="center"/>
            </w:pPr>
            <w:r>
              <w:rPr>
                <w:rFonts w:ascii="宋体" w:hAnsi="宋体" w:eastAsia="宋体" w:cs="宋体"/>
                <w:b w:val="0"/>
              </w:rPr>
              <w:t>19</w:t>
            </w:r>
          </w:p>
        </w:tc>
        <w:tc>
          <w:tcPr>
            <w:tcW w:w="0" w:type="dxa"/>
          </w:tcPr>
          <w:p w14:paraId="3CFFFC09">
            <w:pPr>
              <w:spacing w:line="240" w:lineRule="auto"/>
              <w:jc w:val="left"/>
            </w:pPr>
            <w:r>
              <w:rPr>
                <w:rFonts w:ascii="宋体" w:hAnsi="宋体" w:eastAsia="宋体" w:cs="宋体"/>
                <w:b w:val="0"/>
              </w:rPr>
              <w:t>832491</w:t>
            </w:r>
          </w:p>
        </w:tc>
        <w:tc>
          <w:tcPr>
            <w:tcW w:w="0" w:type="dxa"/>
          </w:tcPr>
          <w:p w14:paraId="01404CB3">
            <w:pPr>
              <w:spacing w:line="240" w:lineRule="auto"/>
              <w:jc w:val="left"/>
            </w:pPr>
            <w:r>
              <w:rPr>
                <w:rFonts w:ascii="宋体" w:hAnsi="宋体" w:eastAsia="宋体" w:cs="宋体"/>
                <w:b w:val="0"/>
              </w:rPr>
              <w:t>奥迪威</w:t>
            </w:r>
          </w:p>
        </w:tc>
        <w:tc>
          <w:tcPr>
            <w:tcW w:w="0" w:type="dxa"/>
          </w:tcPr>
          <w:p w14:paraId="1B377045">
            <w:pPr>
              <w:spacing w:line="240" w:lineRule="auto"/>
              <w:jc w:val="right"/>
            </w:pPr>
            <w:r>
              <w:rPr>
                <w:rFonts w:ascii="宋体" w:hAnsi="宋体" w:eastAsia="宋体" w:cs="宋体"/>
                <w:b w:val="0"/>
              </w:rPr>
              <w:t>128,645.04</w:t>
            </w:r>
          </w:p>
        </w:tc>
        <w:tc>
          <w:tcPr>
            <w:tcW w:w="0" w:type="dxa"/>
          </w:tcPr>
          <w:p w14:paraId="2485054D">
            <w:pPr>
              <w:spacing w:line="240" w:lineRule="auto"/>
              <w:jc w:val="right"/>
            </w:pPr>
            <w:r>
              <w:rPr>
                <w:rFonts w:ascii="宋体" w:hAnsi="宋体" w:eastAsia="宋体" w:cs="宋体"/>
                <w:b w:val="0"/>
              </w:rPr>
              <w:t>1.09</w:t>
            </w:r>
          </w:p>
        </w:tc>
      </w:tr>
      <w:tr w14:paraId="79FB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85AFF3">
            <w:pPr>
              <w:spacing w:line="240" w:lineRule="auto"/>
              <w:jc w:val="center"/>
            </w:pPr>
            <w:r>
              <w:rPr>
                <w:rFonts w:ascii="宋体" w:hAnsi="宋体" w:eastAsia="宋体" w:cs="宋体"/>
                <w:b w:val="0"/>
              </w:rPr>
              <w:t>20</w:t>
            </w:r>
          </w:p>
        </w:tc>
        <w:tc>
          <w:tcPr>
            <w:tcW w:w="0" w:type="dxa"/>
          </w:tcPr>
          <w:p w14:paraId="1935D5DC">
            <w:pPr>
              <w:spacing w:line="240" w:lineRule="auto"/>
              <w:jc w:val="left"/>
            </w:pPr>
            <w:r>
              <w:rPr>
                <w:rFonts w:ascii="宋体" w:hAnsi="宋体" w:eastAsia="宋体" w:cs="宋体"/>
                <w:b w:val="0"/>
              </w:rPr>
              <w:t>836077</w:t>
            </w:r>
          </w:p>
        </w:tc>
        <w:tc>
          <w:tcPr>
            <w:tcW w:w="0" w:type="dxa"/>
          </w:tcPr>
          <w:p w14:paraId="0D1A0760">
            <w:pPr>
              <w:spacing w:line="240" w:lineRule="auto"/>
              <w:jc w:val="left"/>
            </w:pPr>
            <w:r>
              <w:rPr>
                <w:rFonts w:ascii="宋体" w:hAnsi="宋体" w:eastAsia="宋体" w:cs="宋体"/>
                <w:b w:val="0"/>
              </w:rPr>
              <w:t>吉林碳谷</w:t>
            </w:r>
          </w:p>
        </w:tc>
        <w:tc>
          <w:tcPr>
            <w:tcW w:w="0" w:type="dxa"/>
          </w:tcPr>
          <w:p w14:paraId="3D34699B">
            <w:pPr>
              <w:spacing w:line="240" w:lineRule="auto"/>
              <w:jc w:val="right"/>
            </w:pPr>
            <w:r>
              <w:rPr>
                <w:rFonts w:ascii="宋体" w:hAnsi="宋体" w:eastAsia="宋体" w:cs="宋体"/>
                <w:b w:val="0"/>
              </w:rPr>
              <w:t>128,604.51</w:t>
            </w:r>
          </w:p>
        </w:tc>
        <w:tc>
          <w:tcPr>
            <w:tcW w:w="0" w:type="dxa"/>
          </w:tcPr>
          <w:p w14:paraId="7F616E6B">
            <w:pPr>
              <w:spacing w:line="240" w:lineRule="auto"/>
              <w:jc w:val="right"/>
            </w:pPr>
            <w:r>
              <w:rPr>
                <w:rFonts w:ascii="宋体" w:hAnsi="宋体" w:eastAsia="宋体" w:cs="宋体"/>
                <w:b w:val="0"/>
              </w:rPr>
              <w:t>1.09</w:t>
            </w:r>
          </w:p>
        </w:tc>
      </w:tr>
    </w:tbl>
    <w:p w14:paraId="1F7EF152">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66014566"/>
    <w:p w14:paraId="7E1691A3">
      <w:r>
        <w:rPr>
          <w:rFonts w:ascii="宋体" w:hAnsi="宋体" w:eastAsia="宋体" w:cs="宋体"/>
          <w:b/>
        </w:rPr>
        <w:t>7.4.3 买入股票的成本总额及卖出股票的收入总额</w:t>
      </w:r>
    </w:p>
    <w:p w14:paraId="209614A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206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77744034">
            <w:pPr>
              <w:spacing w:line="240" w:lineRule="auto"/>
              <w:jc w:val="left"/>
            </w:pPr>
            <w:r>
              <w:rPr>
                <w:rFonts w:ascii="宋体" w:hAnsi="宋体" w:eastAsia="宋体" w:cs="宋体"/>
                <w:b w:val="0"/>
              </w:rPr>
              <w:t>买入股票成本（成交）总额</w:t>
            </w:r>
          </w:p>
        </w:tc>
        <w:tc>
          <w:tcPr>
            <w:tcW w:w="2308" w:type="pct"/>
            <w:vAlign w:val="center"/>
          </w:tcPr>
          <w:p w14:paraId="6F2FC228">
            <w:pPr>
              <w:spacing w:line="240" w:lineRule="auto"/>
              <w:jc w:val="right"/>
            </w:pPr>
            <w:r>
              <w:rPr>
                <w:rFonts w:ascii="宋体" w:hAnsi="宋体" w:eastAsia="宋体" w:cs="宋体"/>
                <w:b w:val="0"/>
              </w:rPr>
              <w:t>20,903,744.12</w:t>
            </w:r>
          </w:p>
        </w:tc>
      </w:tr>
      <w:tr w14:paraId="78CC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F39122">
            <w:pPr>
              <w:spacing w:line="240" w:lineRule="auto"/>
              <w:jc w:val="left"/>
            </w:pPr>
            <w:r>
              <w:rPr>
                <w:rFonts w:ascii="宋体" w:hAnsi="宋体" w:eastAsia="宋体" w:cs="宋体"/>
                <w:b w:val="0"/>
              </w:rPr>
              <w:t>卖出股票收入（成交）总额</w:t>
            </w:r>
          </w:p>
        </w:tc>
        <w:tc>
          <w:tcPr>
            <w:tcW w:w="0" w:type="dxa"/>
          </w:tcPr>
          <w:p w14:paraId="5880D24C">
            <w:pPr>
              <w:spacing w:line="240" w:lineRule="auto"/>
              <w:jc w:val="right"/>
            </w:pPr>
            <w:r>
              <w:rPr>
                <w:rFonts w:ascii="宋体" w:hAnsi="宋体" w:eastAsia="宋体" w:cs="宋体"/>
                <w:b w:val="0"/>
              </w:rPr>
              <w:t>9,898,361.32</w:t>
            </w:r>
          </w:p>
        </w:tc>
      </w:tr>
    </w:tbl>
    <w:p w14:paraId="4F34A86A">
      <w:r>
        <w:rPr>
          <w:rFonts w:ascii="宋体" w:hAnsi="宋体" w:eastAsia="宋体" w:cs="宋体"/>
          <w:b w:val="0"/>
        </w:rPr>
        <w:t>注：本项 "买入股票成本"、 "卖出股票收入"均按买卖成交金额（成交单价乘以成交数量）填列，不考虑相关交易费用。</w:t>
      </w:r>
    </w:p>
    <w:p w14:paraId="32D43325"/>
    <w:p w14:paraId="4F9D2F8A">
      <w:pPr>
        <w:pStyle w:val="3"/>
        <w:jc w:val="left"/>
      </w:pPr>
      <w:bookmarkStart w:id="37" w:name="_Toc10772"/>
      <w:r>
        <w:rPr>
          <w:rFonts w:ascii="宋体" w:hAnsi="宋体" w:eastAsia="宋体" w:cs="宋体"/>
        </w:rPr>
        <w:t>7.5 期末按债券品种分类的债券投资组合</w:t>
      </w:r>
      <w:bookmarkEnd w:id="37"/>
    </w:p>
    <w:p w14:paraId="6D49026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786"/>
        <w:gridCol w:w="1857"/>
        <w:gridCol w:w="2786"/>
      </w:tblGrid>
      <w:tr w14:paraId="3342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tcPr>
          <w:p w14:paraId="4AC9B232">
            <w:pPr>
              <w:spacing w:line="240" w:lineRule="auto"/>
              <w:jc w:val="center"/>
            </w:pPr>
            <w:r>
              <w:rPr>
                <w:rFonts w:ascii="宋体" w:hAnsi="宋体" w:eastAsia="宋体" w:cs="宋体"/>
                <w:b w:val="0"/>
              </w:rPr>
              <w:t>序号</w:t>
            </w:r>
          </w:p>
        </w:tc>
        <w:tc>
          <w:tcPr>
            <w:tcW w:w="1154" w:type="pct"/>
            <w:shd w:val="clear" w:color="auto" w:fill="D9D9D9"/>
          </w:tcPr>
          <w:p w14:paraId="03AC6422">
            <w:pPr>
              <w:spacing w:line="240" w:lineRule="auto"/>
              <w:jc w:val="center"/>
            </w:pPr>
            <w:r>
              <w:rPr>
                <w:rFonts w:ascii="宋体" w:hAnsi="宋体" w:eastAsia="宋体" w:cs="宋体"/>
                <w:b w:val="0"/>
              </w:rPr>
              <w:t>债券品种</w:t>
            </w:r>
          </w:p>
        </w:tc>
        <w:tc>
          <w:tcPr>
            <w:tcW w:w="769" w:type="pct"/>
            <w:shd w:val="clear" w:color="auto" w:fill="D9D9D9"/>
          </w:tcPr>
          <w:p w14:paraId="5544AA1C">
            <w:pPr>
              <w:spacing w:line="240" w:lineRule="auto"/>
              <w:jc w:val="center"/>
            </w:pPr>
            <w:r>
              <w:rPr>
                <w:rFonts w:ascii="宋体" w:hAnsi="宋体" w:eastAsia="宋体" w:cs="宋体"/>
                <w:b w:val="0"/>
              </w:rPr>
              <w:t>公允价值</w:t>
            </w:r>
          </w:p>
        </w:tc>
        <w:tc>
          <w:tcPr>
            <w:tcW w:w="1154" w:type="pct"/>
            <w:shd w:val="clear" w:color="auto" w:fill="D9D9D9"/>
          </w:tcPr>
          <w:p w14:paraId="3B8F7A25">
            <w:pPr>
              <w:spacing w:line="240" w:lineRule="auto"/>
              <w:jc w:val="center"/>
            </w:pPr>
            <w:r>
              <w:rPr>
                <w:rFonts w:ascii="宋体" w:hAnsi="宋体" w:eastAsia="宋体" w:cs="宋体"/>
                <w:b w:val="0"/>
              </w:rPr>
              <w:t>占基金资产净值比例(%)</w:t>
            </w:r>
          </w:p>
        </w:tc>
      </w:tr>
      <w:tr w14:paraId="254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589D13">
            <w:pPr>
              <w:spacing w:line="240" w:lineRule="auto"/>
              <w:jc w:val="center"/>
            </w:pPr>
            <w:r>
              <w:rPr>
                <w:rFonts w:ascii="宋体" w:hAnsi="宋体" w:eastAsia="宋体" w:cs="宋体"/>
                <w:b w:val="0"/>
              </w:rPr>
              <w:t>1</w:t>
            </w:r>
          </w:p>
        </w:tc>
        <w:tc>
          <w:tcPr>
            <w:tcW w:w="0" w:type="dxa"/>
          </w:tcPr>
          <w:p w14:paraId="3D064449">
            <w:pPr>
              <w:spacing w:line="240" w:lineRule="auto"/>
              <w:jc w:val="left"/>
            </w:pPr>
            <w:r>
              <w:rPr>
                <w:rFonts w:ascii="宋体" w:hAnsi="宋体" w:eastAsia="宋体" w:cs="宋体"/>
                <w:b w:val="0"/>
              </w:rPr>
              <w:t>国家债券</w:t>
            </w:r>
          </w:p>
        </w:tc>
        <w:tc>
          <w:tcPr>
            <w:tcW w:w="0" w:type="dxa"/>
          </w:tcPr>
          <w:p w14:paraId="2DD501BE">
            <w:pPr>
              <w:spacing w:line="240" w:lineRule="auto"/>
              <w:jc w:val="right"/>
            </w:pPr>
            <w:r>
              <w:rPr>
                <w:rFonts w:ascii="宋体" w:hAnsi="宋体" w:eastAsia="宋体" w:cs="宋体"/>
                <w:b w:val="0"/>
              </w:rPr>
              <w:t>602,644.44</w:t>
            </w:r>
          </w:p>
        </w:tc>
        <w:tc>
          <w:tcPr>
            <w:tcW w:w="0" w:type="dxa"/>
          </w:tcPr>
          <w:p w14:paraId="168B5B79">
            <w:pPr>
              <w:spacing w:line="240" w:lineRule="auto"/>
              <w:jc w:val="right"/>
            </w:pPr>
            <w:r>
              <w:rPr>
                <w:rFonts w:ascii="宋体" w:hAnsi="宋体" w:eastAsia="宋体" w:cs="宋体"/>
                <w:b w:val="0"/>
              </w:rPr>
              <w:t>5.09</w:t>
            </w:r>
          </w:p>
        </w:tc>
      </w:tr>
      <w:tr w14:paraId="168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DB08C7">
            <w:pPr>
              <w:spacing w:line="240" w:lineRule="auto"/>
              <w:jc w:val="center"/>
            </w:pPr>
            <w:r>
              <w:rPr>
                <w:rFonts w:ascii="宋体" w:hAnsi="宋体" w:eastAsia="宋体" w:cs="宋体"/>
                <w:b w:val="0"/>
              </w:rPr>
              <w:t>2</w:t>
            </w:r>
          </w:p>
        </w:tc>
        <w:tc>
          <w:tcPr>
            <w:tcW w:w="0" w:type="dxa"/>
          </w:tcPr>
          <w:p w14:paraId="59CC276A">
            <w:pPr>
              <w:spacing w:line="240" w:lineRule="auto"/>
              <w:jc w:val="left"/>
            </w:pPr>
            <w:r>
              <w:rPr>
                <w:rFonts w:ascii="宋体" w:hAnsi="宋体" w:eastAsia="宋体" w:cs="宋体"/>
                <w:b w:val="0"/>
              </w:rPr>
              <w:t>央行票据</w:t>
            </w:r>
          </w:p>
        </w:tc>
        <w:tc>
          <w:tcPr>
            <w:tcW w:w="0" w:type="dxa"/>
          </w:tcPr>
          <w:p w14:paraId="69EFA8A1">
            <w:pPr>
              <w:spacing w:line="240" w:lineRule="auto"/>
              <w:jc w:val="right"/>
            </w:pPr>
            <w:r>
              <w:rPr>
                <w:rFonts w:ascii="宋体" w:hAnsi="宋体" w:eastAsia="宋体" w:cs="宋体"/>
                <w:b w:val="0"/>
              </w:rPr>
              <w:t>-</w:t>
            </w:r>
          </w:p>
        </w:tc>
        <w:tc>
          <w:tcPr>
            <w:tcW w:w="0" w:type="dxa"/>
          </w:tcPr>
          <w:p w14:paraId="04AA71D3">
            <w:pPr>
              <w:spacing w:line="240" w:lineRule="auto"/>
              <w:jc w:val="right"/>
            </w:pPr>
            <w:r>
              <w:rPr>
                <w:rFonts w:ascii="宋体" w:hAnsi="宋体" w:eastAsia="宋体" w:cs="宋体"/>
                <w:b w:val="0"/>
              </w:rPr>
              <w:t>-</w:t>
            </w:r>
          </w:p>
        </w:tc>
      </w:tr>
      <w:tr w14:paraId="1880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0120B9">
            <w:pPr>
              <w:spacing w:line="240" w:lineRule="auto"/>
              <w:jc w:val="center"/>
            </w:pPr>
            <w:r>
              <w:rPr>
                <w:rFonts w:ascii="宋体" w:hAnsi="宋体" w:eastAsia="宋体" w:cs="宋体"/>
                <w:b w:val="0"/>
              </w:rPr>
              <w:t>3</w:t>
            </w:r>
          </w:p>
        </w:tc>
        <w:tc>
          <w:tcPr>
            <w:tcW w:w="0" w:type="dxa"/>
          </w:tcPr>
          <w:p w14:paraId="5528E997">
            <w:pPr>
              <w:spacing w:line="240" w:lineRule="auto"/>
              <w:jc w:val="left"/>
            </w:pPr>
            <w:r>
              <w:rPr>
                <w:rFonts w:ascii="宋体" w:hAnsi="宋体" w:eastAsia="宋体" w:cs="宋体"/>
                <w:b w:val="0"/>
              </w:rPr>
              <w:t>金融债券</w:t>
            </w:r>
          </w:p>
        </w:tc>
        <w:tc>
          <w:tcPr>
            <w:tcW w:w="0" w:type="dxa"/>
          </w:tcPr>
          <w:p w14:paraId="194F8DED">
            <w:pPr>
              <w:spacing w:line="240" w:lineRule="auto"/>
              <w:jc w:val="right"/>
            </w:pPr>
            <w:r>
              <w:rPr>
                <w:rFonts w:ascii="宋体" w:hAnsi="宋体" w:eastAsia="宋体" w:cs="宋体"/>
                <w:b w:val="0"/>
              </w:rPr>
              <w:t>-</w:t>
            </w:r>
          </w:p>
        </w:tc>
        <w:tc>
          <w:tcPr>
            <w:tcW w:w="0" w:type="dxa"/>
          </w:tcPr>
          <w:p w14:paraId="0012EB31">
            <w:pPr>
              <w:spacing w:line="240" w:lineRule="auto"/>
              <w:jc w:val="right"/>
            </w:pPr>
            <w:r>
              <w:rPr>
                <w:rFonts w:ascii="宋体" w:hAnsi="宋体" w:eastAsia="宋体" w:cs="宋体"/>
                <w:b w:val="0"/>
              </w:rPr>
              <w:t>-</w:t>
            </w:r>
          </w:p>
        </w:tc>
      </w:tr>
      <w:tr w14:paraId="66D5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0E0848">
            <w:pPr>
              <w:spacing w:line="240" w:lineRule="auto"/>
              <w:jc w:val="center"/>
            </w:pPr>
          </w:p>
        </w:tc>
        <w:tc>
          <w:tcPr>
            <w:tcW w:w="0" w:type="dxa"/>
          </w:tcPr>
          <w:p w14:paraId="31F1E890">
            <w:pPr>
              <w:spacing w:line="240" w:lineRule="auto"/>
              <w:jc w:val="left"/>
            </w:pPr>
            <w:r>
              <w:rPr>
                <w:rFonts w:ascii="宋体" w:hAnsi="宋体" w:eastAsia="宋体" w:cs="宋体"/>
                <w:b w:val="0"/>
              </w:rPr>
              <w:t>其中：政策性金融债</w:t>
            </w:r>
          </w:p>
        </w:tc>
        <w:tc>
          <w:tcPr>
            <w:tcW w:w="0" w:type="dxa"/>
          </w:tcPr>
          <w:p w14:paraId="70882431">
            <w:pPr>
              <w:spacing w:line="240" w:lineRule="auto"/>
              <w:jc w:val="right"/>
            </w:pPr>
            <w:r>
              <w:rPr>
                <w:rFonts w:ascii="宋体" w:hAnsi="宋体" w:eastAsia="宋体" w:cs="宋体"/>
                <w:b w:val="0"/>
              </w:rPr>
              <w:t>-</w:t>
            </w:r>
          </w:p>
        </w:tc>
        <w:tc>
          <w:tcPr>
            <w:tcW w:w="0" w:type="dxa"/>
          </w:tcPr>
          <w:p w14:paraId="78B46EA2">
            <w:pPr>
              <w:spacing w:line="240" w:lineRule="auto"/>
              <w:jc w:val="right"/>
            </w:pPr>
            <w:r>
              <w:rPr>
                <w:rFonts w:ascii="宋体" w:hAnsi="宋体" w:eastAsia="宋体" w:cs="宋体"/>
                <w:b w:val="0"/>
              </w:rPr>
              <w:t>-</w:t>
            </w:r>
          </w:p>
        </w:tc>
      </w:tr>
      <w:tr w14:paraId="45B9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1452CE">
            <w:pPr>
              <w:spacing w:line="240" w:lineRule="auto"/>
              <w:jc w:val="center"/>
            </w:pPr>
            <w:r>
              <w:rPr>
                <w:rFonts w:ascii="宋体" w:hAnsi="宋体" w:eastAsia="宋体" w:cs="宋体"/>
                <w:b w:val="0"/>
              </w:rPr>
              <w:t>4</w:t>
            </w:r>
          </w:p>
        </w:tc>
        <w:tc>
          <w:tcPr>
            <w:tcW w:w="0" w:type="dxa"/>
          </w:tcPr>
          <w:p w14:paraId="2C0C04EA">
            <w:pPr>
              <w:spacing w:line="240" w:lineRule="auto"/>
              <w:jc w:val="left"/>
            </w:pPr>
            <w:r>
              <w:rPr>
                <w:rFonts w:ascii="宋体" w:hAnsi="宋体" w:eastAsia="宋体" w:cs="宋体"/>
                <w:b w:val="0"/>
              </w:rPr>
              <w:t>企业债券</w:t>
            </w:r>
          </w:p>
        </w:tc>
        <w:tc>
          <w:tcPr>
            <w:tcW w:w="0" w:type="dxa"/>
          </w:tcPr>
          <w:p w14:paraId="7EE1C5EB">
            <w:pPr>
              <w:spacing w:line="240" w:lineRule="auto"/>
              <w:jc w:val="right"/>
            </w:pPr>
            <w:r>
              <w:rPr>
                <w:rFonts w:ascii="宋体" w:hAnsi="宋体" w:eastAsia="宋体" w:cs="宋体"/>
                <w:b w:val="0"/>
              </w:rPr>
              <w:t>-</w:t>
            </w:r>
          </w:p>
        </w:tc>
        <w:tc>
          <w:tcPr>
            <w:tcW w:w="0" w:type="dxa"/>
          </w:tcPr>
          <w:p w14:paraId="236C5423">
            <w:pPr>
              <w:spacing w:line="240" w:lineRule="auto"/>
              <w:jc w:val="right"/>
            </w:pPr>
            <w:r>
              <w:rPr>
                <w:rFonts w:ascii="宋体" w:hAnsi="宋体" w:eastAsia="宋体" w:cs="宋体"/>
                <w:b w:val="0"/>
              </w:rPr>
              <w:t>-</w:t>
            </w:r>
          </w:p>
        </w:tc>
      </w:tr>
      <w:tr w14:paraId="7FF5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4E7510">
            <w:pPr>
              <w:spacing w:line="240" w:lineRule="auto"/>
              <w:jc w:val="center"/>
            </w:pPr>
            <w:r>
              <w:rPr>
                <w:rFonts w:ascii="宋体" w:hAnsi="宋体" w:eastAsia="宋体" w:cs="宋体"/>
                <w:b w:val="0"/>
              </w:rPr>
              <w:t>5</w:t>
            </w:r>
          </w:p>
        </w:tc>
        <w:tc>
          <w:tcPr>
            <w:tcW w:w="0" w:type="dxa"/>
          </w:tcPr>
          <w:p w14:paraId="7182A2B4">
            <w:pPr>
              <w:spacing w:line="240" w:lineRule="auto"/>
              <w:jc w:val="left"/>
            </w:pPr>
            <w:r>
              <w:rPr>
                <w:rFonts w:ascii="宋体" w:hAnsi="宋体" w:eastAsia="宋体" w:cs="宋体"/>
                <w:b w:val="0"/>
              </w:rPr>
              <w:t>企业短期融资券</w:t>
            </w:r>
          </w:p>
        </w:tc>
        <w:tc>
          <w:tcPr>
            <w:tcW w:w="0" w:type="dxa"/>
          </w:tcPr>
          <w:p w14:paraId="5A936476">
            <w:pPr>
              <w:spacing w:line="240" w:lineRule="auto"/>
              <w:jc w:val="right"/>
            </w:pPr>
            <w:r>
              <w:rPr>
                <w:rFonts w:ascii="宋体" w:hAnsi="宋体" w:eastAsia="宋体" w:cs="宋体"/>
                <w:b w:val="0"/>
              </w:rPr>
              <w:t>-</w:t>
            </w:r>
          </w:p>
        </w:tc>
        <w:tc>
          <w:tcPr>
            <w:tcW w:w="0" w:type="dxa"/>
          </w:tcPr>
          <w:p w14:paraId="72D11D42">
            <w:pPr>
              <w:spacing w:line="240" w:lineRule="auto"/>
              <w:jc w:val="right"/>
            </w:pPr>
            <w:r>
              <w:rPr>
                <w:rFonts w:ascii="宋体" w:hAnsi="宋体" w:eastAsia="宋体" w:cs="宋体"/>
                <w:b w:val="0"/>
              </w:rPr>
              <w:t>-</w:t>
            </w:r>
          </w:p>
        </w:tc>
      </w:tr>
      <w:tr w14:paraId="3187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82DD1C">
            <w:pPr>
              <w:spacing w:line="240" w:lineRule="auto"/>
              <w:jc w:val="center"/>
            </w:pPr>
            <w:r>
              <w:rPr>
                <w:rFonts w:ascii="宋体" w:hAnsi="宋体" w:eastAsia="宋体" w:cs="宋体"/>
                <w:b w:val="0"/>
              </w:rPr>
              <w:t>6</w:t>
            </w:r>
          </w:p>
        </w:tc>
        <w:tc>
          <w:tcPr>
            <w:tcW w:w="0" w:type="dxa"/>
          </w:tcPr>
          <w:p w14:paraId="492C7C84">
            <w:pPr>
              <w:spacing w:line="240" w:lineRule="auto"/>
              <w:jc w:val="left"/>
            </w:pPr>
            <w:r>
              <w:rPr>
                <w:rFonts w:ascii="宋体" w:hAnsi="宋体" w:eastAsia="宋体" w:cs="宋体"/>
                <w:b w:val="0"/>
              </w:rPr>
              <w:t>中期票据</w:t>
            </w:r>
          </w:p>
        </w:tc>
        <w:tc>
          <w:tcPr>
            <w:tcW w:w="0" w:type="dxa"/>
          </w:tcPr>
          <w:p w14:paraId="12ECB7AD">
            <w:pPr>
              <w:spacing w:line="240" w:lineRule="auto"/>
              <w:jc w:val="right"/>
            </w:pPr>
            <w:r>
              <w:rPr>
                <w:rFonts w:ascii="宋体" w:hAnsi="宋体" w:eastAsia="宋体" w:cs="宋体"/>
                <w:b w:val="0"/>
              </w:rPr>
              <w:t>-</w:t>
            </w:r>
          </w:p>
        </w:tc>
        <w:tc>
          <w:tcPr>
            <w:tcW w:w="0" w:type="dxa"/>
          </w:tcPr>
          <w:p w14:paraId="796887F4">
            <w:pPr>
              <w:spacing w:line="240" w:lineRule="auto"/>
              <w:jc w:val="right"/>
            </w:pPr>
            <w:r>
              <w:rPr>
                <w:rFonts w:ascii="宋体" w:hAnsi="宋体" w:eastAsia="宋体" w:cs="宋体"/>
                <w:b w:val="0"/>
              </w:rPr>
              <w:t>-</w:t>
            </w:r>
          </w:p>
        </w:tc>
      </w:tr>
      <w:tr w14:paraId="09A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7CA219">
            <w:pPr>
              <w:spacing w:line="240" w:lineRule="auto"/>
              <w:jc w:val="center"/>
            </w:pPr>
            <w:r>
              <w:rPr>
                <w:rFonts w:ascii="宋体" w:hAnsi="宋体" w:eastAsia="宋体" w:cs="宋体"/>
                <w:b w:val="0"/>
              </w:rPr>
              <w:t>7</w:t>
            </w:r>
          </w:p>
        </w:tc>
        <w:tc>
          <w:tcPr>
            <w:tcW w:w="0" w:type="dxa"/>
          </w:tcPr>
          <w:p w14:paraId="4856AA08">
            <w:pPr>
              <w:spacing w:line="240" w:lineRule="auto"/>
              <w:jc w:val="left"/>
            </w:pPr>
            <w:r>
              <w:rPr>
                <w:rFonts w:ascii="宋体" w:hAnsi="宋体" w:eastAsia="宋体" w:cs="宋体"/>
                <w:b w:val="0"/>
              </w:rPr>
              <w:t>可转债(可交换债)</w:t>
            </w:r>
          </w:p>
        </w:tc>
        <w:tc>
          <w:tcPr>
            <w:tcW w:w="0" w:type="dxa"/>
          </w:tcPr>
          <w:p w14:paraId="33C565B7">
            <w:pPr>
              <w:spacing w:line="240" w:lineRule="auto"/>
              <w:jc w:val="right"/>
            </w:pPr>
            <w:r>
              <w:rPr>
                <w:rFonts w:ascii="宋体" w:hAnsi="宋体" w:eastAsia="宋体" w:cs="宋体"/>
                <w:b w:val="0"/>
              </w:rPr>
              <w:t>-</w:t>
            </w:r>
          </w:p>
        </w:tc>
        <w:tc>
          <w:tcPr>
            <w:tcW w:w="0" w:type="dxa"/>
          </w:tcPr>
          <w:p w14:paraId="22DDE33A">
            <w:pPr>
              <w:spacing w:line="240" w:lineRule="auto"/>
              <w:jc w:val="right"/>
            </w:pPr>
            <w:r>
              <w:rPr>
                <w:rFonts w:ascii="宋体" w:hAnsi="宋体" w:eastAsia="宋体" w:cs="宋体"/>
                <w:b w:val="0"/>
              </w:rPr>
              <w:t>-</w:t>
            </w:r>
          </w:p>
        </w:tc>
      </w:tr>
      <w:tr w14:paraId="1EBF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461E64">
            <w:pPr>
              <w:spacing w:line="240" w:lineRule="auto"/>
              <w:jc w:val="center"/>
            </w:pPr>
            <w:r>
              <w:rPr>
                <w:rFonts w:ascii="宋体" w:hAnsi="宋体" w:eastAsia="宋体" w:cs="宋体"/>
                <w:b w:val="0"/>
              </w:rPr>
              <w:t>8</w:t>
            </w:r>
          </w:p>
        </w:tc>
        <w:tc>
          <w:tcPr>
            <w:tcW w:w="0" w:type="dxa"/>
          </w:tcPr>
          <w:p w14:paraId="3B9964A0">
            <w:pPr>
              <w:spacing w:line="240" w:lineRule="auto"/>
              <w:jc w:val="left"/>
            </w:pPr>
            <w:r>
              <w:rPr>
                <w:rFonts w:ascii="宋体" w:hAnsi="宋体" w:eastAsia="宋体" w:cs="宋体"/>
                <w:b w:val="0"/>
              </w:rPr>
              <w:t>同业存单</w:t>
            </w:r>
          </w:p>
        </w:tc>
        <w:tc>
          <w:tcPr>
            <w:tcW w:w="0" w:type="dxa"/>
          </w:tcPr>
          <w:p w14:paraId="76CD005D">
            <w:pPr>
              <w:spacing w:line="240" w:lineRule="auto"/>
              <w:jc w:val="right"/>
            </w:pPr>
            <w:r>
              <w:rPr>
                <w:rFonts w:ascii="宋体" w:hAnsi="宋体" w:eastAsia="宋体" w:cs="宋体"/>
                <w:b w:val="0"/>
              </w:rPr>
              <w:t>-</w:t>
            </w:r>
          </w:p>
        </w:tc>
        <w:tc>
          <w:tcPr>
            <w:tcW w:w="0" w:type="dxa"/>
          </w:tcPr>
          <w:p w14:paraId="3C527D3F">
            <w:pPr>
              <w:spacing w:line="240" w:lineRule="auto"/>
              <w:jc w:val="right"/>
            </w:pPr>
            <w:r>
              <w:rPr>
                <w:rFonts w:ascii="宋体" w:hAnsi="宋体" w:eastAsia="宋体" w:cs="宋体"/>
                <w:b w:val="0"/>
              </w:rPr>
              <w:t>-</w:t>
            </w:r>
          </w:p>
        </w:tc>
      </w:tr>
      <w:tr w14:paraId="62C3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63E9C7">
            <w:pPr>
              <w:spacing w:line="240" w:lineRule="auto"/>
              <w:jc w:val="center"/>
            </w:pPr>
            <w:r>
              <w:rPr>
                <w:rFonts w:ascii="宋体" w:hAnsi="宋体" w:eastAsia="宋体" w:cs="宋体"/>
                <w:b w:val="0"/>
              </w:rPr>
              <w:t>9</w:t>
            </w:r>
          </w:p>
        </w:tc>
        <w:tc>
          <w:tcPr>
            <w:tcW w:w="0" w:type="dxa"/>
          </w:tcPr>
          <w:p w14:paraId="66A0933C">
            <w:pPr>
              <w:spacing w:line="240" w:lineRule="auto"/>
              <w:jc w:val="left"/>
            </w:pPr>
            <w:r>
              <w:rPr>
                <w:rFonts w:ascii="宋体" w:hAnsi="宋体" w:eastAsia="宋体" w:cs="宋体"/>
                <w:b w:val="0"/>
              </w:rPr>
              <w:t>其他</w:t>
            </w:r>
          </w:p>
        </w:tc>
        <w:tc>
          <w:tcPr>
            <w:tcW w:w="0" w:type="dxa"/>
          </w:tcPr>
          <w:p w14:paraId="30CE4B27">
            <w:pPr>
              <w:spacing w:line="240" w:lineRule="auto"/>
              <w:jc w:val="right"/>
            </w:pPr>
            <w:r>
              <w:rPr>
                <w:rFonts w:ascii="宋体" w:hAnsi="宋体" w:eastAsia="宋体" w:cs="宋体"/>
                <w:b w:val="0"/>
              </w:rPr>
              <w:t>-</w:t>
            </w:r>
          </w:p>
        </w:tc>
        <w:tc>
          <w:tcPr>
            <w:tcW w:w="0" w:type="dxa"/>
          </w:tcPr>
          <w:p w14:paraId="1C5E95A0">
            <w:pPr>
              <w:spacing w:line="240" w:lineRule="auto"/>
              <w:jc w:val="right"/>
            </w:pPr>
            <w:r>
              <w:rPr>
                <w:rFonts w:ascii="宋体" w:hAnsi="宋体" w:eastAsia="宋体" w:cs="宋体"/>
                <w:b w:val="0"/>
              </w:rPr>
              <w:t>-</w:t>
            </w:r>
          </w:p>
        </w:tc>
      </w:tr>
      <w:tr w14:paraId="1B92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CC642B">
            <w:pPr>
              <w:spacing w:line="240" w:lineRule="auto"/>
              <w:jc w:val="center"/>
            </w:pPr>
            <w:r>
              <w:rPr>
                <w:rFonts w:ascii="宋体" w:hAnsi="宋体" w:eastAsia="宋体" w:cs="宋体"/>
                <w:b w:val="0"/>
              </w:rPr>
              <w:t>10</w:t>
            </w:r>
          </w:p>
        </w:tc>
        <w:tc>
          <w:tcPr>
            <w:tcW w:w="0" w:type="dxa"/>
          </w:tcPr>
          <w:p w14:paraId="6F434B52">
            <w:pPr>
              <w:spacing w:line="240" w:lineRule="auto"/>
              <w:jc w:val="left"/>
            </w:pPr>
            <w:r>
              <w:rPr>
                <w:rFonts w:ascii="宋体" w:hAnsi="宋体" w:eastAsia="宋体" w:cs="宋体"/>
                <w:b w:val="0"/>
              </w:rPr>
              <w:t>合计</w:t>
            </w:r>
          </w:p>
        </w:tc>
        <w:tc>
          <w:tcPr>
            <w:tcW w:w="0" w:type="dxa"/>
          </w:tcPr>
          <w:p w14:paraId="6850E103">
            <w:pPr>
              <w:spacing w:line="240" w:lineRule="auto"/>
              <w:jc w:val="right"/>
            </w:pPr>
            <w:r>
              <w:rPr>
                <w:rFonts w:ascii="宋体" w:hAnsi="宋体" w:eastAsia="宋体" w:cs="宋体"/>
                <w:b w:val="0"/>
              </w:rPr>
              <w:t>602,644.44</w:t>
            </w:r>
          </w:p>
        </w:tc>
        <w:tc>
          <w:tcPr>
            <w:tcW w:w="0" w:type="dxa"/>
          </w:tcPr>
          <w:p w14:paraId="099460C2">
            <w:pPr>
              <w:spacing w:line="240" w:lineRule="auto"/>
              <w:jc w:val="right"/>
            </w:pPr>
            <w:r>
              <w:rPr>
                <w:rFonts w:ascii="宋体" w:hAnsi="宋体" w:eastAsia="宋体" w:cs="宋体"/>
                <w:b w:val="0"/>
              </w:rPr>
              <w:t>5.09</w:t>
            </w:r>
          </w:p>
        </w:tc>
      </w:tr>
    </w:tbl>
    <w:p w14:paraId="114B1815"/>
    <w:p w14:paraId="6386E623">
      <w:pPr>
        <w:pStyle w:val="3"/>
        <w:jc w:val="left"/>
      </w:pPr>
      <w:bookmarkStart w:id="38" w:name="_Toc28855"/>
      <w:r>
        <w:rPr>
          <w:rFonts w:ascii="宋体" w:hAnsi="宋体" w:eastAsia="宋体" w:cs="宋体"/>
        </w:rPr>
        <w:t>7.6 期末按公允价值占基金资产净值比例大小排序的前五名债券投资明细</w:t>
      </w:r>
      <w:bookmarkEnd w:id="38"/>
    </w:p>
    <w:p w14:paraId="591C4E3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4DB6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14:paraId="2351197B">
            <w:pPr>
              <w:spacing w:line="240" w:lineRule="auto"/>
              <w:jc w:val="center"/>
            </w:pPr>
            <w:r>
              <w:rPr>
                <w:rFonts w:ascii="宋体" w:hAnsi="宋体" w:eastAsia="宋体" w:cs="宋体"/>
                <w:b w:val="0"/>
              </w:rPr>
              <w:t>序号</w:t>
            </w:r>
          </w:p>
        </w:tc>
        <w:tc>
          <w:tcPr>
            <w:tcW w:w="769" w:type="pct"/>
            <w:shd w:val="clear" w:color="auto" w:fill="D9D9D9"/>
            <w:vAlign w:val="center"/>
          </w:tcPr>
          <w:p w14:paraId="60B3BD8F">
            <w:pPr>
              <w:spacing w:line="240" w:lineRule="auto"/>
              <w:jc w:val="center"/>
            </w:pPr>
            <w:r>
              <w:rPr>
                <w:rFonts w:ascii="宋体" w:hAnsi="宋体" w:eastAsia="宋体" w:cs="宋体"/>
                <w:b w:val="0"/>
              </w:rPr>
              <w:t>债券代码</w:t>
            </w:r>
          </w:p>
        </w:tc>
        <w:tc>
          <w:tcPr>
            <w:tcW w:w="769" w:type="pct"/>
            <w:shd w:val="clear" w:color="auto" w:fill="D9D9D9"/>
            <w:vAlign w:val="center"/>
          </w:tcPr>
          <w:p w14:paraId="25FDBE38">
            <w:pPr>
              <w:spacing w:line="240" w:lineRule="auto"/>
              <w:jc w:val="center"/>
            </w:pPr>
            <w:r>
              <w:rPr>
                <w:rFonts w:ascii="宋体" w:hAnsi="宋体" w:eastAsia="宋体" w:cs="宋体"/>
                <w:b w:val="0"/>
              </w:rPr>
              <w:t>债券名称</w:t>
            </w:r>
          </w:p>
        </w:tc>
        <w:tc>
          <w:tcPr>
            <w:tcW w:w="615" w:type="pct"/>
            <w:shd w:val="clear" w:color="auto" w:fill="D9D9D9"/>
            <w:vAlign w:val="center"/>
          </w:tcPr>
          <w:p w14:paraId="0C3E657D">
            <w:pPr>
              <w:spacing w:line="240" w:lineRule="auto"/>
              <w:jc w:val="center"/>
            </w:pPr>
            <w:r>
              <w:rPr>
                <w:rFonts w:ascii="宋体" w:hAnsi="宋体" w:eastAsia="宋体" w:cs="宋体"/>
                <w:b w:val="0"/>
              </w:rPr>
              <w:t>数量(张)</w:t>
            </w:r>
          </w:p>
        </w:tc>
        <w:tc>
          <w:tcPr>
            <w:tcW w:w="769" w:type="pct"/>
            <w:shd w:val="clear" w:color="auto" w:fill="D9D9D9"/>
            <w:vAlign w:val="center"/>
          </w:tcPr>
          <w:p w14:paraId="7D0B11FB">
            <w:pPr>
              <w:spacing w:line="240" w:lineRule="auto"/>
              <w:jc w:val="center"/>
            </w:pPr>
            <w:r>
              <w:rPr>
                <w:rFonts w:ascii="宋体" w:hAnsi="宋体" w:eastAsia="宋体" w:cs="宋体"/>
                <w:b w:val="0"/>
              </w:rPr>
              <w:t>公允价值</w:t>
            </w:r>
          </w:p>
        </w:tc>
        <w:tc>
          <w:tcPr>
            <w:tcW w:w="1077" w:type="pct"/>
            <w:shd w:val="clear" w:color="auto" w:fill="D9D9D9"/>
            <w:vAlign w:val="center"/>
          </w:tcPr>
          <w:p w14:paraId="28FB3ACD">
            <w:pPr>
              <w:spacing w:line="240" w:lineRule="auto"/>
              <w:jc w:val="center"/>
            </w:pPr>
            <w:r>
              <w:rPr>
                <w:rFonts w:ascii="宋体" w:hAnsi="宋体" w:eastAsia="宋体" w:cs="宋体"/>
                <w:b w:val="0"/>
              </w:rPr>
              <w:t>占基金资产净值比例(%)</w:t>
            </w:r>
          </w:p>
        </w:tc>
      </w:tr>
      <w:tr w14:paraId="21B9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175A61">
            <w:pPr>
              <w:spacing w:line="240" w:lineRule="auto"/>
              <w:jc w:val="center"/>
            </w:pPr>
            <w:r>
              <w:rPr>
                <w:rFonts w:ascii="宋体" w:hAnsi="宋体" w:eastAsia="宋体" w:cs="宋体"/>
                <w:b w:val="0"/>
              </w:rPr>
              <w:t>1</w:t>
            </w:r>
          </w:p>
        </w:tc>
        <w:tc>
          <w:tcPr>
            <w:tcW w:w="0" w:type="dxa"/>
          </w:tcPr>
          <w:p w14:paraId="454C2519">
            <w:pPr>
              <w:spacing w:line="240" w:lineRule="auto"/>
              <w:jc w:val="left"/>
            </w:pPr>
            <w:r>
              <w:rPr>
                <w:rFonts w:ascii="宋体" w:hAnsi="宋体" w:eastAsia="宋体" w:cs="宋体"/>
                <w:b w:val="0"/>
              </w:rPr>
              <w:t>019766</w:t>
            </w:r>
          </w:p>
        </w:tc>
        <w:tc>
          <w:tcPr>
            <w:tcW w:w="0" w:type="dxa"/>
          </w:tcPr>
          <w:p w14:paraId="62530549">
            <w:pPr>
              <w:spacing w:line="240" w:lineRule="auto"/>
              <w:jc w:val="left"/>
            </w:pPr>
            <w:r>
              <w:rPr>
                <w:rFonts w:ascii="宋体" w:hAnsi="宋体" w:eastAsia="宋体" w:cs="宋体"/>
                <w:b w:val="0"/>
              </w:rPr>
              <w:t>25国债01</w:t>
            </w:r>
          </w:p>
        </w:tc>
        <w:tc>
          <w:tcPr>
            <w:tcW w:w="0" w:type="dxa"/>
          </w:tcPr>
          <w:p w14:paraId="6FE72B24">
            <w:pPr>
              <w:spacing w:line="240" w:lineRule="auto"/>
              <w:jc w:val="right"/>
            </w:pPr>
            <w:r>
              <w:rPr>
                <w:rFonts w:ascii="宋体" w:hAnsi="宋体" w:eastAsia="宋体" w:cs="宋体"/>
                <w:b w:val="0"/>
              </w:rPr>
              <w:t>6,000</w:t>
            </w:r>
          </w:p>
        </w:tc>
        <w:tc>
          <w:tcPr>
            <w:tcW w:w="0" w:type="dxa"/>
          </w:tcPr>
          <w:p w14:paraId="74333C84">
            <w:pPr>
              <w:spacing w:line="240" w:lineRule="auto"/>
              <w:jc w:val="right"/>
            </w:pPr>
            <w:r>
              <w:rPr>
                <w:rFonts w:ascii="宋体" w:hAnsi="宋体" w:eastAsia="宋体" w:cs="宋体"/>
                <w:b w:val="0"/>
              </w:rPr>
              <w:t>602,644.44</w:t>
            </w:r>
          </w:p>
        </w:tc>
        <w:tc>
          <w:tcPr>
            <w:tcW w:w="0" w:type="dxa"/>
          </w:tcPr>
          <w:p w14:paraId="4776DD9C">
            <w:pPr>
              <w:spacing w:line="240" w:lineRule="auto"/>
              <w:jc w:val="right"/>
            </w:pPr>
            <w:r>
              <w:rPr>
                <w:rFonts w:ascii="宋体" w:hAnsi="宋体" w:eastAsia="宋体" w:cs="宋体"/>
                <w:b w:val="0"/>
              </w:rPr>
              <w:t>5.09</w:t>
            </w:r>
          </w:p>
        </w:tc>
      </w:tr>
    </w:tbl>
    <w:p w14:paraId="55050850">
      <w:r>
        <w:rPr>
          <w:rFonts w:ascii="宋体" w:hAnsi="宋体" w:eastAsia="宋体" w:cs="宋体"/>
          <w:b w:val="0"/>
        </w:rPr>
        <w:t>注：截止至报告期末，本基金仅持有上述债券。</w:t>
      </w:r>
    </w:p>
    <w:p w14:paraId="1DB2ED30"/>
    <w:p w14:paraId="313284A5">
      <w:pPr>
        <w:pStyle w:val="3"/>
        <w:jc w:val="left"/>
      </w:pPr>
      <w:bookmarkStart w:id="39" w:name="_Toc29722"/>
      <w:r>
        <w:rPr>
          <w:rFonts w:ascii="宋体" w:hAnsi="宋体" w:eastAsia="宋体" w:cs="宋体"/>
        </w:rPr>
        <w:t>7.7 期末按公允价值占基金资产净值比例大小排序的所有资产支持证券投资明细</w:t>
      </w:r>
      <w:bookmarkEnd w:id="39"/>
    </w:p>
    <w:p w14:paraId="3C2063A8">
      <w:r>
        <w:rPr>
          <w:rFonts w:ascii="宋体" w:hAnsi="宋体" w:eastAsia="宋体" w:cs="宋体"/>
          <w:b w:val="0"/>
        </w:rPr>
        <w:t xml:space="preserve">    本基金本报告期末未持有资产支持证券。</w:t>
      </w:r>
    </w:p>
    <w:p w14:paraId="569DBEDD"/>
    <w:p w14:paraId="2152CFD4">
      <w:pPr>
        <w:pStyle w:val="3"/>
        <w:jc w:val="left"/>
      </w:pPr>
      <w:bookmarkStart w:id="40" w:name="_Toc15864"/>
      <w:r>
        <w:rPr>
          <w:rFonts w:ascii="宋体" w:hAnsi="宋体" w:eastAsia="宋体" w:cs="宋体"/>
        </w:rPr>
        <w:t>7.8 报告期末按公允价值占基金资产净值比例大小排序的前五名贵金属投资明细</w:t>
      </w:r>
      <w:bookmarkEnd w:id="40"/>
    </w:p>
    <w:p w14:paraId="29670DAB">
      <w:r>
        <w:rPr>
          <w:rFonts w:ascii="宋体" w:hAnsi="宋体" w:eastAsia="宋体" w:cs="宋体"/>
          <w:b w:val="0"/>
        </w:rPr>
        <w:t xml:space="preserve">    本基金本报告期末未持有贵金属。</w:t>
      </w:r>
    </w:p>
    <w:p w14:paraId="2327A337"/>
    <w:p w14:paraId="0B1C2A04">
      <w:pPr>
        <w:pStyle w:val="3"/>
        <w:jc w:val="left"/>
      </w:pPr>
      <w:bookmarkStart w:id="41" w:name="_Toc5753"/>
      <w:r>
        <w:rPr>
          <w:rFonts w:ascii="宋体" w:hAnsi="宋体" w:eastAsia="宋体" w:cs="宋体"/>
        </w:rPr>
        <w:t>7.9 期末按公允价值占基金资产净值比例大小排序的前五名权证投资明细</w:t>
      </w:r>
      <w:bookmarkEnd w:id="41"/>
    </w:p>
    <w:p w14:paraId="3F4D2BDF">
      <w:r>
        <w:rPr>
          <w:rFonts w:ascii="宋体" w:hAnsi="宋体" w:eastAsia="宋体" w:cs="宋体"/>
          <w:b w:val="0"/>
        </w:rPr>
        <w:t xml:space="preserve">    本基金本报告期末未持有权证。</w:t>
      </w:r>
    </w:p>
    <w:p w14:paraId="29F8D8C8"/>
    <w:p w14:paraId="59AB3D62">
      <w:pPr>
        <w:pStyle w:val="3"/>
        <w:jc w:val="left"/>
      </w:pPr>
      <w:bookmarkStart w:id="42" w:name="_Toc5140"/>
      <w:r>
        <w:rPr>
          <w:rFonts w:ascii="宋体" w:hAnsi="宋体" w:eastAsia="宋体" w:cs="宋体"/>
        </w:rPr>
        <w:t>7.10 本基金投资股指期货的投资政策</w:t>
      </w:r>
      <w:bookmarkEnd w:id="42"/>
    </w:p>
    <w:p w14:paraId="652E6487">
      <w:pPr>
        <w:jc w:val="left"/>
      </w:pPr>
      <w:r>
        <w:rPr>
          <w:rFonts w:ascii="宋体" w:hAnsi="宋体" w:eastAsia="宋体" w:cs="宋体"/>
          <w:b w:val="0"/>
        </w:rPr>
        <w:t xml:space="preserve">    本基金本报告期内未参与股指期货投资，报告期末无股指期货持仓。</w:t>
      </w:r>
    </w:p>
    <w:p w14:paraId="24AC6622"/>
    <w:p w14:paraId="596088C9">
      <w:pPr>
        <w:pStyle w:val="3"/>
        <w:jc w:val="left"/>
      </w:pPr>
      <w:bookmarkStart w:id="43" w:name="_Toc18845"/>
      <w:r>
        <w:rPr>
          <w:rFonts w:ascii="宋体" w:hAnsi="宋体" w:eastAsia="宋体" w:cs="宋体"/>
        </w:rPr>
        <w:t>7.11 报告期末本基金投资的国债期货交易情况说明</w:t>
      </w:r>
      <w:bookmarkEnd w:id="43"/>
    </w:p>
    <w:p w14:paraId="46CE2629">
      <w:r>
        <w:rPr>
          <w:rFonts w:ascii="宋体" w:hAnsi="宋体" w:eastAsia="宋体" w:cs="宋体"/>
          <w:b/>
        </w:rPr>
        <w:t>7.11.1 本期国债期货投资政策</w:t>
      </w:r>
    </w:p>
    <w:p w14:paraId="01D8CD14">
      <w:pPr>
        <w:jc w:val="left"/>
      </w:pPr>
      <w:r>
        <w:rPr>
          <w:rFonts w:ascii="宋体" w:hAnsi="宋体" w:eastAsia="宋体" w:cs="宋体"/>
          <w:b w:val="0"/>
        </w:rPr>
        <w:t xml:space="preserve">    本基金本报告期内未参与国债期货投资，报告期末无国债期货持仓。</w:t>
      </w:r>
    </w:p>
    <w:p w14:paraId="4BE504CA"/>
    <w:p w14:paraId="1AD4476D"/>
    <w:p w14:paraId="3B2437B9">
      <w:pPr>
        <w:pStyle w:val="3"/>
        <w:jc w:val="left"/>
      </w:pPr>
      <w:bookmarkStart w:id="44" w:name="_Toc4840"/>
      <w:r>
        <w:rPr>
          <w:rFonts w:ascii="宋体" w:hAnsi="宋体" w:eastAsia="宋体" w:cs="宋体"/>
        </w:rPr>
        <w:t>7.12 投资组合报告附注</w:t>
      </w:r>
      <w:bookmarkEnd w:id="44"/>
    </w:p>
    <w:p w14:paraId="633547EF">
      <w:r>
        <w:rPr>
          <w:rFonts w:ascii="宋体" w:hAnsi="宋体" w:eastAsia="宋体" w:cs="宋体"/>
          <w:b/>
        </w:rPr>
        <w:t>7.12.1 本基金投资的前十名证券的发行主体本期受到监管部门立案调查或报告编制日前一年内受到公开谴责、处罚的情形说明</w:t>
      </w:r>
    </w:p>
    <w:p w14:paraId="485EB7A7">
      <w:pPr>
        <w:jc w:val="left"/>
      </w:pPr>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34ABC17C"/>
    <w:p w14:paraId="257964D4">
      <w:r>
        <w:rPr>
          <w:rFonts w:ascii="宋体" w:hAnsi="宋体" w:eastAsia="宋体" w:cs="宋体"/>
          <w:b/>
        </w:rPr>
        <w:t>7.12.2 基金投资的前十名股票超出基金合同规定的备选股票库情况的说明</w:t>
      </w:r>
    </w:p>
    <w:p w14:paraId="52DF4689">
      <w:pPr>
        <w:jc w:val="left"/>
      </w:pPr>
      <w:r>
        <w:rPr>
          <w:rFonts w:ascii="宋体" w:hAnsi="宋体" w:eastAsia="宋体" w:cs="宋体"/>
          <w:b w:val="0"/>
        </w:rPr>
        <w:t xml:space="preserve">    基金投资的前十名股票，均为基金合同规定备选股票库之内的股票。</w:t>
      </w:r>
    </w:p>
    <w:p w14:paraId="52719BF8"/>
    <w:p w14:paraId="6ED86A87">
      <w:r>
        <w:rPr>
          <w:rFonts w:ascii="宋体" w:hAnsi="宋体" w:eastAsia="宋体" w:cs="宋体"/>
          <w:b/>
        </w:rPr>
        <w:t>7.12.3 期末其他各项资产构成</w:t>
      </w:r>
    </w:p>
    <w:p w14:paraId="1A2438C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3143"/>
        <w:gridCol w:w="3286"/>
      </w:tblGrid>
      <w:tr w14:paraId="47D7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34977562">
            <w:pPr>
              <w:spacing w:line="240" w:lineRule="auto"/>
              <w:jc w:val="center"/>
            </w:pPr>
            <w:r>
              <w:rPr>
                <w:rFonts w:ascii="宋体" w:hAnsi="宋体" w:eastAsia="宋体" w:cs="宋体"/>
                <w:b w:val="0"/>
              </w:rPr>
              <w:t>序号</w:t>
            </w:r>
          </w:p>
        </w:tc>
        <w:tc>
          <w:tcPr>
            <w:tcW w:w="1692" w:type="pct"/>
            <w:shd w:val="clear" w:color="auto" w:fill="D9D9D9"/>
          </w:tcPr>
          <w:p w14:paraId="45DE794F">
            <w:pPr>
              <w:spacing w:line="240" w:lineRule="auto"/>
              <w:jc w:val="center"/>
            </w:pPr>
            <w:r>
              <w:rPr>
                <w:rFonts w:ascii="宋体" w:hAnsi="宋体" w:eastAsia="宋体" w:cs="宋体"/>
                <w:b w:val="0"/>
              </w:rPr>
              <w:t>名称</w:t>
            </w:r>
          </w:p>
        </w:tc>
        <w:tc>
          <w:tcPr>
            <w:tcW w:w="1769" w:type="pct"/>
            <w:shd w:val="clear" w:color="auto" w:fill="D9D9D9"/>
          </w:tcPr>
          <w:p w14:paraId="4A4E0F61">
            <w:pPr>
              <w:spacing w:line="240" w:lineRule="auto"/>
              <w:jc w:val="center"/>
            </w:pPr>
            <w:r>
              <w:rPr>
                <w:rFonts w:ascii="宋体" w:hAnsi="宋体" w:eastAsia="宋体" w:cs="宋体"/>
                <w:b w:val="0"/>
              </w:rPr>
              <w:t>金额</w:t>
            </w:r>
          </w:p>
        </w:tc>
      </w:tr>
      <w:tr w14:paraId="6944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862240">
            <w:pPr>
              <w:spacing w:line="240" w:lineRule="auto"/>
              <w:jc w:val="center"/>
            </w:pPr>
            <w:r>
              <w:rPr>
                <w:rFonts w:ascii="宋体" w:hAnsi="宋体" w:eastAsia="宋体" w:cs="宋体"/>
                <w:b w:val="0"/>
              </w:rPr>
              <w:t>1</w:t>
            </w:r>
          </w:p>
        </w:tc>
        <w:tc>
          <w:tcPr>
            <w:tcW w:w="0" w:type="dxa"/>
          </w:tcPr>
          <w:p w14:paraId="259EBB4E">
            <w:pPr>
              <w:spacing w:line="240" w:lineRule="auto"/>
              <w:jc w:val="left"/>
            </w:pPr>
            <w:r>
              <w:rPr>
                <w:rFonts w:ascii="宋体" w:hAnsi="宋体" w:eastAsia="宋体" w:cs="宋体"/>
                <w:b w:val="0"/>
              </w:rPr>
              <w:t>存出保证金</w:t>
            </w:r>
          </w:p>
        </w:tc>
        <w:tc>
          <w:tcPr>
            <w:tcW w:w="0" w:type="dxa"/>
          </w:tcPr>
          <w:p w14:paraId="432F5ACA">
            <w:pPr>
              <w:spacing w:line="240" w:lineRule="auto"/>
              <w:jc w:val="right"/>
            </w:pPr>
            <w:r>
              <w:rPr>
                <w:rFonts w:ascii="宋体" w:hAnsi="宋体" w:eastAsia="宋体" w:cs="宋体"/>
                <w:b w:val="0"/>
              </w:rPr>
              <w:t>-</w:t>
            </w:r>
          </w:p>
        </w:tc>
      </w:tr>
      <w:tr w14:paraId="37EC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B6E1DC">
            <w:pPr>
              <w:spacing w:line="240" w:lineRule="auto"/>
              <w:jc w:val="center"/>
            </w:pPr>
            <w:r>
              <w:rPr>
                <w:rFonts w:ascii="宋体" w:hAnsi="宋体" w:eastAsia="宋体" w:cs="宋体"/>
                <w:b w:val="0"/>
              </w:rPr>
              <w:t>2</w:t>
            </w:r>
          </w:p>
        </w:tc>
        <w:tc>
          <w:tcPr>
            <w:tcW w:w="0" w:type="dxa"/>
          </w:tcPr>
          <w:p w14:paraId="3CF60D13">
            <w:pPr>
              <w:spacing w:line="240" w:lineRule="auto"/>
              <w:jc w:val="left"/>
            </w:pPr>
            <w:r>
              <w:rPr>
                <w:rFonts w:ascii="宋体" w:hAnsi="宋体" w:eastAsia="宋体" w:cs="宋体"/>
                <w:b w:val="0"/>
              </w:rPr>
              <w:t>应收清算款</w:t>
            </w:r>
          </w:p>
        </w:tc>
        <w:tc>
          <w:tcPr>
            <w:tcW w:w="0" w:type="dxa"/>
          </w:tcPr>
          <w:p w14:paraId="74C9FD49">
            <w:pPr>
              <w:spacing w:line="240" w:lineRule="auto"/>
              <w:jc w:val="right"/>
            </w:pPr>
            <w:r>
              <w:rPr>
                <w:rFonts w:ascii="宋体" w:hAnsi="宋体" w:eastAsia="宋体" w:cs="宋体"/>
                <w:b w:val="0"/>
              </w:rPr>
              <w:t>-</w:t>
            </w:r>
          </w:p>
        </w:tc>
      </w:tr>
      <w:tr w14:paraId="6345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97B2FB">
            <w:pPr>
              <w:spacing w:line="240" w:lineRule="auto"/>
              <w:jc w:val="center"/>
            </w:pPr>
            <w:r>
              <w:rPr>
                <w:rFonts w:ascii="宋体" w:hAnsi="宋体" w:eastAsia="宋体" w:cs="宋体"/>
                <w:b w:val="0"/>
              </w:rPr>
              <w:t>3</w:t>
            </w:r>
          </w:p>
        </w:tc>
        <w:tc>
          <w:tcPr>
            <w:tcW w:w="0" w:type="dxa"/>
          </w:tcPr>
          <w:p w14:paraId="4542E624">
            <w:pPr>
              <w:spacing w:line="240" w:lineRule="auto"/>
              <w:jc w:val="left"/>
            </w:pPr>
            <w:r>
              <w:rPr>
                <w:rFonts w:ascii="宋体" w:hAnsi="宋体" w:eastAsia="宋体" w:cs="宋体"/>
                <w:b w:val="0"/>
              </w:rPr>
              <w:t>应收股利</w:t>
            </w:r>
          </w:p>
        </w:tc>
        <w:tc>
          <w:tcPr>
            <w:tcW w:w="0" w:type="dxa"/>
          </w:tcPr>
          <w:p w14:paraId="4B0DE5E7">
            <w:pPr>
              <w:spacing w:line="240" w:lineRule="auto"/>
              <w:jc w:val="right"/>
            </w:pPr>
            <w:r>
              <w:rPr>
                <w:rFonts w:ascii="宋体" w:hAnsi="宋体" w:eastAsia="宋体" w:cs="宋体"/>
                <w:b w:val="0"/>
              </w:rPr>
              <w:t>-</w:t>
            </w:r>
          </w:p>
        </w:tc>
      </w:tr>
      <w:tr w14:paraId="4658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C36544">
            <w:pPr>
              <w:spacing w:line="240" w:lineRule="auto"/>
              <w:jc w:val="center"/>
            </w:pPr>
            <w:r>
              <w:rPr>
                <w:rFonts w:ascii="宋体" w:hAnsi="宋体" w:eastAsia="宋体" w:cs="宋体"/>
                <w:b w:val="0"/>
              </w:rPr>
              <w:t>4</w:t>
            </w:r>
          </w:p>
        </w:tc>
        <w:tc>
          <w:tcPr>
            <w:tcW w:w="0" w:type="dxa"/>
          </w:tcPr>
          <w:p w14:paraId="3B07AF7D">
            <w:pPr>
              <w:spacing w:line="240" w:lineRule="auto"/>
              <w:jc w:val="left"/>
            </w:pPr>
            <w:r>
              <w:rPr>
                <w:rFonts w:ascii="宋体" w:hAnsi="宋体" w:eastAsia="宋体" w:cs="宋体"/>
                <w:b w:val="0"/>
              </w:rPr>
              <w:t>应收利息</w:t>
            </w:r>
          </w:p>
        </w:tc>
        <w:tc>
          <w:tcPr>
            <w:tcW w:w="0" w:type="dxa"/>
          </w:tcPr>
          <w:p w14:paraId="4F88FCD6">
            <w:pPr>
              <w:spacing w:line="240" w:lineRule="auto"/>
              <w:jc w:val="right"/>
            </w:pPr>
            <w:r>
              <w:rPr>
                <w:rFonts w:ascii="宋体" w:hAnsi="宋体" w:eastAsia="宋体" w:cs="宋体"/>
                <w:b w:val="0"/>
              </w:rPr>
              <w:t>-</w:t>
            </w:r>
          </w:p>
        </w:tc>
      </w:tr>
      <w:tr w14:paraId="73E4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361228">
            <w:pPr>
              <w:spacing w:line="240" w:lineRule="auto"/>
              <w:jc w:val="center"/>
            </w:pPr>
            <w:r>
              <w:rPr>
                <w:rFonts w:ascii="宋体" w:hAnsi="宋体" w:eastAsia="宋体" w:cs="宋体"/>
                <w:b w:val="0"/>
              </w:rPr>
              <w:t>5</w:t>
            </w:r>
          </w:p>
        </w:tc>
        <w:tc>
          <w:tcPr>
            <w:tcW w:w="0" w:type="dxa"/>
          </w:tcPr>
          <w:p w14:paraId="3E60157F">
            <w:pPr>
              <w:spacing w:line="240" w:lineRule="auto"/>
              <w:jc w:val="left"/>
            </w:pPr>
            <w:r>
              <w:rPr>
                <w:rFonts w:ascii="宋体" w:hAnsi="宋体" w:eastAsia="宋体" w:cs="宋体"/>
                <w:b w:val="0"/>
              </w:rPr>
              <w:t>应收申购款</w:t>
            </w:r>
          </w:p>
        </w:tc>
        <w:tc>
          <w:tcPr>
            <w:tcW w:w="0" w:type="dxa"/>
          </w:tcPr>
          <w:p w14:paraId="053272E2">
            <w:pPr>
              <w:spacing w:line="240" w:lineRule="auto"/>
              <w:jc w:val="right"/>
            </w:pPr>
            <w:r>
              <w:rPr>
                <w:rFonts w:ascii="宋体" w:hAnsi="宋体" w:eastAsia="宋体" w:cs="宋体"/>
                <w:b w:val="0"/>
              </w:rPr>
              <w:t>2,295.41</w:t>
            </w:r>
          </w:p>
        </w:tc>
      </w:tr>
      <w:tr w14:paraId="2CE0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7186A5">
            <w:pPr>
              <w:spacing w:line="240" w:lineRule="auto"/>
              <w:jc w:val="center"/>
            </w:pPr>
            <w:r>
              <w:rPr>
                <w:rFonts w:ascii="宋体" w:hAnsi="宋体" w:eastAsia="宋体" w:cs="宋体"/>
                <w:b w:val="0"/>
              </w:rPr>
              <w:t>6</w:t>
            </w:r>
          </w:p>
        </w:tc>
        <w:tc>
          <w:tcPr>
            <w:tcW w:w="0" w:type="dxa"/>
          </w:tcPr>
          <w:p w14:paraId="0435CF90">
            <w:pPr>
              <w:spacing w:line="240" w:lineRule="auto"/>
              <w:jc w:val="left"/>
            </w:pPr>
            <w:r>
              <w:rPr>
                <w:rFonts w:ascii="宋体" w:hAnsi="宋体" w:eastAsia="宋体" w:cs="宋体"/>
                <w:b w:val="0"/>
              </w:rPr>
              <w:t>其他应收款</w:t>
            </w:r>
          </w:p>
        </w:tc>
        <w:tc>
          <w:tcPr>
            <w:tcW w:w="0" w:type="dxa"/>
          </w:tcPr>
          <w:p w14:paraId="3E973304">
            <w:pPr>
              <w:spacing w:line="240" w:lineRule="auto"/>
              <w:jc w:val="right"/>
            </w:pPr>
            <w:r>
              <w:rPr>
                <w:rFonts w:ascii="宋体" w:hAnsi="宋体" w:eastAsia="宋体" w:cs="宋体"/>
                <w:b w:val="0"/>
              </w:rPr>
              <w:t>-</w:t>
            </w:r>
          </w:p>
        </w:tc>
      </w:tr>
      <w:tr w14:paraId="04AB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00B7E7">
            <w:pPr>
              <w:spacing w:line="240" w:lineRule="auto"/>
              <w:jc w:val="center"/>
            </w:pPr>
            <w:r>
              <w:rPr>
                <w:rFonts w:ascii="宋体" w:hAnsi="宋体" w:eastAsia="宋体" w:cs="宋体"/>
                <w:b w:val="0"/>
              </w:rPr>
              <w:t>7</w:t>
            </w:r>
          </w:p>
        </w:tc>
        <w:tc>
          <w:tcPr>
            <w:tcW w:w="0" w:type="dxa"/>
          </w:tcPr>
          <w:p w14:paraId="1E344448">
            <w:pPr>
              <w:spacing w:line="240" w:lineRule="auto"/>
              <w:jc w:val="left"/>
            </w:pPr>
            <w:r>
              <w:rPr>
                <w:rFonts w:ascii="宋体" w:hAnsi="宋体" w:eastAsia="宋体" w:cs="宋体"/>
                <w:b w:val="0"/>
              </w:rPr>
              <w:t>待摊费用</w:t>
            </w:r>
          </w:p>
        </w:tc>
        <w:tc>
          <w:tcPr>
            <w:tcW w:w="0" w:type="dxa"/>
          </w:tcPr>
          <w:p w14:paraId="6E178514">
            <w:pPr>
              <w:spacing w:line="240" w:lineRule="auto"/>
              <w:jc w:val="right"/>
            </w:pPr>
            <w:r>
              <w:rPr>
                <w:rFonts w:ascii="宋体" w:hAnsi="宋体" w:eastAsia="宋体" w:cs="宋体"/>
                <w:b w:val="0"/>
              </w:rPr>
              <w:t>-</w:t>
            </w:r>
          </w:p>
        </w:tc>
      </w:tr>
      <w:tr w14:paraId="755B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3AF971">
            <w:pPr>
              <w:spacing w:line="240" w:lineRule="auto"/>
              <w:jc w:val="center"/>
            </w:pPr>
            <w:r>
              <w:rPr>
                <w:rFonts w:ascii="宋体" w:hAnsi="宋体" w:eastAsia="宋体" w:cs="宋体"/>
                <w:b w:val="0"/>
              </w:rPr>
              <w:t>8</w:t>
            </w:r>
          </w:p>
        </w:tc>
        <w:tc>
          <w:tcPr>
            <w:tcW w:w="0" w:type="dxa"/>
          </w:tcPr>
          <w:p w14:paraId="14D769F9">
            <w:pPr>
              <w:spacing w:line="240" w:lineRule="auto"/>
              <w:jc w:val="left"/>
            </w:pPr>
            <w:r>
              <w:rPr>
                <w:rFonts w:ascii="宋体" w:hAnsi="宋体" w:eastAsia="宋体" w:cs="宋体"/>
                <w:b w:val="0"/>
              </w:rPr>
              <w:t>其他</w:t>
            </w:r>
          </w:p>
        </w:tc>
        <w:tc>
          <w:tcPr>
            <w:tcW w:w="0" w:type="dxa"/>
          </w:tcPr>
          <w:p w14:paraId="1FF1D1AE">
            <w:pPr>
              <w:spacing w:line="240" w:lineRule="auto"/>
              <w:jc w:val="right"/>
            </w:pPr>
            <w:r>
              <w:rPr>
                <w:rFonts w:ascii="宋体" w:hAnsi="宋体" w:eastAsia="宋体" w:cs="宋体"/>
                <w:b w:val="0"/>
              </w:rPr>
              <w:t>-</w:t>
            </w:r>
          </w:p>
        </w:tc>
      </w:tr>
      <w:tr w14:paraId="5875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C7A234">
            <w:pPr>
              <w:spacing w:line="240" w:lineRule="auto"/>
              <w:jc w:val="center"/>
            </w:pPr>
            <w:r>
              <w:rPr>
                <w:rFonts w:ascii="宋体" w:hAnsi="宋体" w:eastAsia="宋体" w:cs="宋体"/>
                <w:b w:val="0"/>
              </w:rPr>
              <w:t>9</w:t>
            </w:r>
          </w:p>
        </w:tc>
        <w:tc>
          <w:tcPr>
            <w:tcW w:w="0" w:type="dxa"/>
          </w:tcPr>
          <w:p w14:paraId="714A3BF0">
            <w:pPr>
              <w:spacing w:line="240" w:lineRule="auto"/>
              <w:jc w:val="left"/>
            </w:pPr>
            <w:r>
              <w:rPr>
                <w:rFonts w:ascii="宋体" w:hAnsi="宋体" w:eastAsia="宋体" w:cs="宋体"/>
                <w:b w:val="0"/>
              </w:rPr>
              <w:t>合计</w:t>
            </w:r>
          </w:p>
        </w:tc>
        <w:tc>
          <w:tcPr>
            <w:tcW w:w="0" w:type="dxa"/>
          </w:tcPr>
          <w:p w14:paraId="5828C382">
            <w:pPr>
              <w:spacing w:line="240" w:lineRule="auto"/>
              <w:jc w:val="right"/>
            </w:pPr>
            <w:r>
              <w:rPr>
                <w:rFonts w:ascii="宋体" w:hAnsi="宋体" w:eastAsia="宋体" w:cs="宋体"/>
                <w:b w:val="0"/>
              </w:rPr>
              <w:t>2,295.41</w:t>
            </w:r>
          </w:p>
        </w:tc>
      </w:tr>
    </w:tbl>
    <w:p w14:paraId="405AF749"/>
    <w:p w14:paraId="18E01F1B">
      <w:r>
        <w:rPr>
          <w:rFonts w:ascii="宋体" w:hAnsi="宋体" w:eastAsia="宋体" w:cs="宋体"/>
          <w:b/>
        </w:rPr>
        <w:t>7.12.4 期末持有的处于转股期的可转换债券明细</w:t>
      </w:r>
    </w:p>
    <w:p w14:paraId="5A4D78B8">
      <w:r>
        <w:rPr>
          <w:rFonts w:ascii="宋体" w:hAnsi="宋体" w:eastAsia="宋体" w:cs="宋体"/>
          <w:b w:val="0"/>
        </w:rPr>
        <w:t xml:space="preserve">    本基金本报告期末未持有处于转股期的可转换债券。</w:t>
      </w:r>
    </w:p>
    <w:p w14:paraId="72D98208"/>
    <w:p w14:paraId="5E6CC567">
      <w:r>
        <w:rPr>
          <w:rFonts w:ascii="宋体" w:hAnsi="宋体" w:eastAsia="宋体" w:cs="宋体"/>
          <w:b/>
        </w:rPr>
        <w:t>7.12.5 期末前十名股票中存在流通受限情况的说明</w:t>
      </w:r>
    </w:p>
    <w:p w14:paraId="17081756">
      <w:r>
        <w:rPr>
          <w:rFonts w:ascii="宋体" w:hAnsi="宋体" w:eastAsia="宋体" w:cs="宋体"/>
          <w:b w:val="0"/>
        </w:rPr>
        <w:t xml:space="preserve">    本基金本报告期末前十名股票中不存在流通受限情况。</w:t>
      </w:r>
    </w:p>
    <w:p w14:paraId="5E21D4E6"/>
    <w:p w14:paraId="3500E23D">
      <w:r>
        <w:rPr>
          <w:rFonts w:ascii="宋体" w:hAnsi="宋体" w:eastAsia="宋体" w:cs="宋体"/>
          <w:b/>
        </w:rPr>
        <w:t>7.12.6 投资组合报告附注的其他文字描述部分</w:t>
      </w:r>
    </w:p>
    <w:p w14:paraId="4BCAD2A4">
      <w:pPr>
        <w:jc w:val="left"/>
      </w:pPr>
      <w:r>
        <w:rPr>
          <w:rFonts w:ascii="宋体" w:hAnsi="宋体" w:eastAsia="宋体" w:cs="宋体"/>
          <w:b w:val="0"/>
        </w:rPr>
        <w:t xml:space="preserve">    由于四舍五入的原因，分项之和与合计项之间可能存在尾差。</w:t>
      </w:r>
    </w:p>
    <w:p w14:paraId="7AF95313">
      <w:pPr>
        <w:pStyle w:val="2"/>
        <w:jc w:val="center"/>
      </w:pPr>
      <w:bookmarkStart w:id="45" w:name="_Toc23172"/>
      <w:r>
        <w:rPr>
          <w:rFonts w:ascii="宋体" w:hAnsi="宋体" w:eastAsia="宋体" w:cs="宋体"/>
        </w:rPr>
        <w:t>§8 基金份额持有人信息</w:t>
      </w:r>
      <w:bookmarkEnd w:id="45"/>
    </w:p>
    <w:p w14:paraId="6FFBD8D7">
      <w:pPr>
        <w:pStyle w:val="3"/>
        <w:jc w:val="left"/>
      </w:pPr>
      <w:bookmarkStart w:id="46" w:name="_Toc13737"/>
      <w:r>
        <w:rPr>
          <w:rFonts w:ascii="宋体" w:hAnsi="宋体" w:eastAsia="宋体" w:cs="宋体"/>
        </w:rPr>
        <w:t>8.1 期末基金份额持有人户数及持有人结构</w:t>
      </w:r>
      <w:bookmarkEnd w:id="46"/>
    </w:p>
    <w:p w14:paraId="6A5C1A04">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163"/>
        <w:gridCol w:w="1266"/>
        <w:gridCol w:w="1163"/>
        <w:gridCol w:w="1475"/>
        <w:gridCol w:w="1581"/>
        <w:gridCol w:w="1475"/>
      </w:tblGrid>
      <w:tr w14:paraId="0638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7CF8378">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23F8C225">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342E7D96">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21EF235F">
            <w:pPr>
              <w:spacing w:line="240" w:lineRule="auto"/>
              <w:jc w:val="center"/>
            </w:pPr>
            <w:r>
              <w:rPr>
                <w:rFonts w:ascii="宋体" w:hAnsi="宋体" w:eastAsia="宋体" w:cs="宋体"/>
                <w:b w:val="0"/>
              </w:rPr>
              <w:t>持有人结构</w:t>
            </w:r>
          </w:p>
        </w:tc>
      </w:tr>
      <w:tr w14:paraId="1305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7DF3D3"/>
        </w:tc>
        <w:tc>
          <w:tcPr>
            <w:vMerge w:val="continue"/>
          </w:tcPr>
          <w:p w14:paraId="76F79B92"/>
        </w:tc>
        <w:tc>
          <w:tcPr>
            <w:vMerge w:val="continue"/>
          </w:tcPr>
          <w:p w14:paraId="500E946B"/>
        </w:tc>
        <w:tc>
          <w:tcPr>
            <w:tcW w:w="1385" w:type="pct"/>
            <w:gridSpan w:val="2"/>
            <w:shd w:val="clear" w:color="auto" w:fill="D9D9D9"/>
            <w:vAlign w:val="center"/>
          </w:tcPr>
          <w:p w14:paraId="0CEE445D">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565C6236">
            <w:pPr>
              <w:spacing w:line="240" w:lineRule="auto"/>
              <w:jc w:val="center"/>
            </w:pPr>
            <w:r>
              <w:rPr>
                <w:rFonts w:ascii="宋体" w:hAnsi="宋体" w:eastAsia="宋体" w:cs="宋体"/>
                <w:b w:val="0"/>
              </w:rPr>
              <w:t>个人投资者</w:t>
            </w:r>
          </w:p>
        </w:tc>
      </w:tr>
      <w:tr w14:paraId="09CB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A662FF3"/>
        </w:tc>
        <w:tc>
          <w:tcPr>
            <w:vMerge w:val="continue"/>
          </w:tcPr>
          <w:p w14:paraId="5C71FBBD"/>
        </w:tc>
        <w:tc>
          <w:tcPr>
            <w:vMerge w:val="continue"/>
          </w:tcPr>
          <w:p w14:paraId="2AF8F008"/>
        </w:tc>
        <w:tc>
          <w:tcPr>
            <w:tcW w:w="615" w:type="pct"/>
            <w:shd w:val="clear" w:color="auto" w:fill="D9D9D9"/>
            <w:vAlign w:val="center"/>
          </w:tcPr>
          <w:p w14:paraId="6799386C">
            <w:pPr>
              <w:spacing w:line="240" w:lineRule="auto"/>
              <w:jc w:val="center"/>
            </w:pPr>
            <w:r>
              <w:rPr>
                <w:rFonts w:ascii="宋体" w:hAnsi="宋体" w:eastAsia="宋体" w:cs="宋体"/>
                <w:b w:val="0"/>
              </w:rPr>
              <w:t>持有份额</w:t>
            </w:r>
          </w:p>
        </w:tc>
        <w:tc>
          <w:tcPr>
            <w:tcW w:w="769" w:type="pct"/>
            <w:shd w:val="clear" w:color="auto" w:fill="D9D9D9"/>
            <w:vAlign w:val="center"/>
          </w:tcPr>
          <w:p w14:paraId="78D71F07">
            <w:pPr>
              <w:spacing w:line="240" w:lineRule="auto"/>
              <w:jc w:val="center"/>
            </w:pPr>
            <w:r>
              <w:rPr>
                <w:rFonts w:ascii="宋体" w:hAnsi="宋体" w:eastAsia="宋体" w:cs="宋体"/>
                <w:b w:val="0"/>
              </w:rPr>
              <w:t>占总份额比例</w:t>
            </w:r>
          </w:p>
        </w:tc>
        <w:tc>
          <w:tcPr>
            <w:tcW w:w="615" w:type="pct"/>
            <w:shd w:val="clear" w:color="auto" w:fill="D9D9D9"/>
            <w:vAlign w:val="center"/>
          </w:tcPr>
          <w:p w14:paraId="293EF6BB">
            <w:pPr>
              <w:spacing w:line="240" w:lineRule="auto"/>
              <w:jc w:val="center"/>
            </w:pPr>
            <w:r>
              <w:rPr>
                <w:rFonts w:ascii="宋体" w:hAnsi="宋体" w:eastAsia="宋体" w:cs="宋体"/>
                <w:b w:val="0"/>
              </w:rPr>
              <w:t>持有份额</w:t>
            </w:r>
          </w:p>
        </w:tc>
        <w:tc>
          <w:tcPr>
            <w:tcW w:w="769" w:type="pct"/>
            <w:shd w:val="clear" w:color="auto" w:fill="D9D9D9"/>
            <w:vAlign w:val="center"/>
          </w:tcPr>
          <w:p w14:paraId="6170D149">
            <w:pPr>
              <w:spacing w:line="240" w:lineRule="auto"/>
              <w:jc w:val="center"/>
            </w:pPr>
            <w:r>
              <w:rPr>
                <w:rFonts w:ascii="宋体" w:hAnsi="宋体" w:eastAsia="宋体" w:cs="宋体"/>
                <w:b w:val="0"/>
              </w:rPr>
              <w:t>占总份额比例</w:t>
            </w:r>
          </w:p>
        </w:tc>
      </w:tr>
      <w:tr w14:paraId="3387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49A95F">
            <w:pPr>
              <w:spacing w:line="240" w:lineRule="auto"/>
              <w:jc w:val="center"/>
            </w:pPr>
            <w:r>
              <w:rPr>
                <w:rFonts w:ascii="宋体" w:hAnsi="宋体" w:eastAsia="宋体" w:cs="宋体"/>
                <w:b w:val="0"/>
              </w:rPr>
              <w:t>东方阿尔法科技优选混合发起A</w:t>
            </w:r>
          </w:p>
        </w:tc>
        <w:tc>
          <w:tcPr>
            <w:tcW w:w="0" w:type="dxa"/>
            <w:vAlign w:val="center"/>
          </w:tcPr>
          <w:p w14:paraId="0B6B38CD">
            <w:pPr>
              <w:spacing w:line="240" w:lineRule="auto"/>
              <w:jc w:val="right"/>
            </w:pPr>
            <w:r>
              <w:rPr>
                <w:rFonts w:ascii="宋体" w:hAnsi="宋体" w:eastAsia="宋体" w:cs="宋体"/>
                <w:b w:val="0"/>
              </w:rPr>
              <w:t>21</w:t>
            </w:r>
          </w:p>
        </w:tc>
        <w:tc>
          <w:tcPr>
            <w:tcW w:w="0" w:type="dxa"/>
            <w:vAlign w:val="center"/>
          </w:tcPr>
          <w:p w14:paraId="42754E58">
            <w:pPr>
              <w:spacing w:line="240" w:lineRule="auto"/>
              <w:jc w:val="right"/>
            </w:pPr>
            <w:r>
              <w:rPr>
                <w:rFonts w:ascii="宋体" w:hAnsi="宋体" w:eastAsia="宋体" w:cs="宋体"/>
                <w:b w:val="0"/>
              </w:rPr>
              <w:t>565,305.63</w:t>
            </w:r>
          </w:p>
        </w:tc>
        <w:tc>
          <w:tcPr>
            <w:tcW w:w="0" w:type="dxa"/>
            <w:vAlign w:val="center"/>
          </w:tcPr>
          <w:p w14:paraId="5D3E3342">
            <w:pPr>
              <w:spacing w:line="240" w:lineRule="auto"/>
              <w:jc w:val="right"/>
            </w:pPr>
            <w:r>
              <w:rPr>
                <w:rFonts w:ascii="宋体" w:hAnsi="宋体" w:eastAsia="宋体" w:cs="宋体"/>
                <w:b w:val="0"/>
              </w:rPr>
              <w:t>0.00</w:t>
            </w:r>
          </w:p>
        </w:tc>
        <w:tc>
          <w:tcPr>
            <w:tcW w:w="0" w:type="dxa"/>
            <w:vAlign w:val="center"/>
          </w:tcPr>
          <w:p w14:paraId="13BD6C84">
            <w:pPr>
              <w:spacing w:line="240" w:lineRule="auto"/>
              <w:jc w:val="right"/>
            </w:pPr>
            <w:r>
              <w:rPr>
                <w:rFonts w:ascii="宋体" w:hAnsi="宋体" w:eastAsia="宋体" w:cs="宋体"/>
                <w:b w:val="0"/>
              </w:rPr>
              <w:t>0.00%</w:t>
            </w:r>
          </w:p>
        </w:tc>
        <w:tc>
          <w:tcPr>
            <w:tcW w:w="0" w:type="dxa"/>
            <w:vAlign w:val="center"/>
          </w:tcPr>
          <w:p w14:paraId="6BBC8CE2">
            <w:pPr>
              <w:spacing w:line="240" w:lineRule="auto"/>
              <w:jc w:val="right"/>
            </w:pPr>
            <w:r>
              <w:rPr>
                <w:rFonts w:ascii="宋体" w:hAnsi="宋体" w:eastAsia="宋体" w:cs="宋体"/>
                <w:b w:val="0"/>
              </w:rPr>
              <w:t>11,871,418.33</w:t>
            </w:r>
          </w:p>
        </w:tc>
        <w:tc>
          <w:tcPr>
            <w:tcW w:w="0" w:type="dxa"/>
            <w:vAlign w:val="center"/>
          </w:tcPr>
          <w:p w14:paraId="56B0DBC4">
            <w:pPr>
              <w:spacing w:line="240" w:lineRule="auto"/>
              <w:jc w:val="right"/>
            </w:pPr>
            <w:r>
              <w:rPr>
                <w:rFonts w:ascii="宋体" w:hAnsi="宋体" w:eastAsia="宋体" w:cs="宋体"/>
                <w:b w:val="0"/>
              </w:rPr>
              <w:t>100.00%</w:t>
            </w:r>
          </w:p>
        </w:tc>
      </w:tr>
      <w:tr w14:paraId="3DCD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0B3A8A">
            <w:pPr>
              <w:spacing w:line="240" w:lineRule="auto"/>
              <w:jc w:val="center"/>
            </w:pPr>
            <w:r>
              <w:rPr>
                <w:rFonts w:ascii="宋体" w:hAnsi="宋体" w:eastAsia="宋体" w:cs="宋体"/>
                <w:b w:val="0"/>
              </w:rPr>
              <w:t>东方阿尔法科技优选混合发起C</w:t>
            </w:r>
          </w:p>
        </w:tc>
        <w:tc>
          <w:tcPr>
            <w:tcW w:w="0" w:type="dxa"/>
            <w:vAlign w:val="center"/>
          </w:tcPr>
          <w:p w14:paraId="34B69535">
            <w:pPr>
              <w:spacing w:line="240" w:lineRule="auto"/>
              <w:jc w:val="right"/>
            </w:pPr>
            <w:r>
              <w:rPr>
                <w:rFonts w:ascii="宋体" w:hAnsi="宋体" w:eastAsia="宋体" w:cs="宋体"/>
                <w:b w:val="0"/>
              </w:rPr>
              <w:t>40</w:t>
            </w:r>
          </w:p>
        </w:tc>
        <w:tc>
          <w:tcPr>
            <w:tcW w:w="0" w:type="dxa"/>
            <w:vAlign w:val="center"/>
          </w:tcPr>
          <w:p w14:paraId="66DE62E7">
            <w:pPr>
              <w:spacing w:line="240" w:lineRule="auto"/>
              <w:jc w:val="right"/>
            </w:pPr>
            <w:r>
              <w:rPr>
                <w:rFonts w:ascii="宋体" w:hAnsi="宋体" w:eastAsia="宋体" w:cs="宋体"/>
                <w:b w:val="0"/>
              </w:rPr>
              <w:t>1,342.22</w:t>
            </w:r>
          </w:p>
        </w:tc>
        <w:tc>
          <w:tcPr>
            <w:tcW w:w="0" w:type="dxa"/>
            <w:vAlign w:val="center"/>
          </w:tcPr>
          <w:p w14:paraId="66877305">
            <w:pPr>
              <w:spacing w:line="240" w:lineRule="auto"/>
              <w:jc w:val="right"/>
            </w:pPr>
            <w:r>
              <w:rPr>
                <w:rFonts w:ascii="宋体" w:hAnsi="宋体" w:eastAsia="宋体" w:cs="宋体"/>
                <w:b w:val="0"/>
              </w:rPr>
              <w:t>0.00</w:t>
            </w:r>
          </w:p>
        </w:tc>
        <w:tc>
          <w:tcPr>
            <w:tcW w:w="0" w:type="dxa"/>
            <w:vAlign w:val="center"/>
          </w:tcPr>
          <w:p w14:paraId="5D234FE9">
            <w:pPr>
              <w:spacing w:line="240" w:lineRule="auto"/>
              <w:jc w:val="right"/>
            </w:pPr>
            <w:r>
              <w:rPr>
                <w:rFonts w:ascii="宋体" w:hAnsi="宋体" w:eastAsia="宋体" w:cs="宋体"/>
                <w:b w:val="0"/>
              </w:rPr>
              <w:t>0.00%</w:t>
            </w:r>
          </w:p>
        </w:tc>
        <w:tc>
          <w:tcPr>
            <w:tcW w:w="0" w:type="dxa"/>
            <w:vAlign w:val="center"/>
          </w:tcPr>
          <w:p w14:paraId="2D3CCB81">
            <w:pPr>
              <w:spacing w:line="240" w:lineRule="auto"/>
              <w:jc w:val="right"/>
            </w:pPr>
            <w:r>
              <w:rPr>
                <w:rFonts w:ascii="宋体" w:hAnsi="宋体" w:eastAsia="宋体" w:cs="宋体"/>
                <w:b w:val="0"/>
              </w:rPr>
              <w:t>53,688.70</w:t>
            </w:r>
          </w:p>
        </w:tc>
        <w:tc>
          <w:tcPr>
            <w:tcW w:w="0" w:type="dxa"/>
            <w:vAlign w:val="center"/>
          </w:tcPr>
          <w:p w14:paraId="515DF0C0">
            <w:pPr>
              <w:spacing w:line="240" w:lineRule="auto"/>
              <w:jc w:val="right"/>
            </w:pPr>
            <w:r>
              <w:rPr>
                <w:rFonts w:ascii="宋体" w:hAnsi="宋体" w:eastAsia="宋体" w:cs="宋体"/>
                <w:b w:val="0"/>
              </w:rPr>
              <w:t>100.00%</w:t>
            </w:r>
          </w:p>
        </w:tc>
      </w:tr>
      <w:tr w14:paraId="0FDE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66ECF1">
            <w:pPr>
              <w:spacing w:line="240" w:lineRule="auto"/>
              <w:jc w:val="center"/>
            </w:pPr>
            <w:r>
              <w:rPr>
                <w:rFonts w:ascii="宋体" w:hAnsi="宋体" w:eastAsia="宋体" w:cs="宋体"/>
                <w:b w:val="0"/>
              </w:rPr>
              <w:t>合计</w:t>
            </w:r>
          </w:p>
        </w:tc>
        <w:tc>
          <w:tcPr>
            <w:tcW w:w="0" w:type="dxa"/>
            <w:vAlign w:val="center"/>
          </w:tcPr>
          <w:p w14:paraId="1EFC82C6">
            <w:pPr>
              <w:spacing w:line="240" w:lineRule="auto"/>
              <w:jc w:val="right"/>
            </w:pPr>
            <w:r>
              <w:rPr>
                <w:rFonts w:ascii="宋体" w:hAnsi="宋体" w:eastAsia="宋体" w:cs="宋体"/>
                <w:b w:val="0"/>
              </w:rPr>
              <w:t>61</w:t>
            </w:r>
          </w:p>
        </w:tc>
        <w:tc>
          <w:tcPr>
            <w:tcW w:w="0" w:type="dxa"/>
            <w:vAlign w:val="center"/>
          </w:tcPr>
          <w:p w14:paraId="622C5B30">
            <w:pPr>
              <w:spacing w:line="240" w:lineRule="auto"/>
              <w:jc w:val="right"/>
            </w:pPr>
            <w:r>
              <w:rPr>
                <w:rFonts w:ascii="宋体" w:hAnsi="宋体" w:eastAsia="宋体" w:cs="宋体"/>
                <w:b w:val="0"/>
              </w:rPr>
              <w:t>195,493.56</w:t>
            </w:r>
          </w:p>
        </w:tc>
        <w:tc>
          <w:tcPr>
            <w:tcW w:w="0" w:type="dxa"/>
            <w:vAlign w:val="center"/>
          </w:tcPr>
          <w:p w14:paraId="09C0AEA4">
            <w:pPr>
              <w:spacing w:line="240" w:lineRule="auto"/>
              <w:jc w:val="right"/>
            </w:pPr>
            <w:r>
              <w:rPr>
                <w:rFonts w:ascii="宋体" w:hAnsi="宋体" w:eastAsia="宋体" w:cs="宋体"/>
                <w:b w:val="0"/>
              </w:rPr>
              <w:t>0.00</w:t>
            </w:r>
          </w:p>
        </w:tc>
        <w:tc>
          <w:tcPr>
            <w:tcW w:w="0" w:type="dxa"/>
            <w:vAlign w:val="center"/>
          </w:tcPr>
          <w:p w14:paraId="328C4C08">
            <w:pPr>
              <w:spacing w:line="240" w:lineRule="auto"/>
              <w:jc w:val="right"/>
            </w:pPr>
            <w:r>
              <w:rPr>
                <w:rFonts w:ascii="宋体" w:hAnsi="宋体" w:eastAsia="宋体" w:cs="宋体"/>
                <w:b w:val="0"/>
              </w:rPr>
              <w:t>0.00%</w:t>
            </w:r>
          </w:p>
        </w:tc>
        <w:tc>
          <w:tcPr>
            <w:tcW w:w="0" w:type="dxa"/>
            <w:vAlign w:val="center"/>
          </w:tcPr>
          <w:p w14:paraId="2ED6E317">
            <w:pPr>
              <w:spacing w:line="240" w:lineRule="auto"/>
              <w:jc w:val="right"/>
            </w:pPr>
            <w:r>
              <w:rPr>
                <w:rFonts w:ascii="宋体" w:hAnsi="宋体" w:eastAsia="宋体" w:cs="宋体"/>
                <w:b w:val="0"/>
              </w:rPr>
              <w:t>11,925,107.03</w:t>
            </w:r>
          </w:p>
        </w:tc>
        <w:tc>
          <w:tcPr>
            <w:tcW w:w="0" w:type="dxa"/>
            <w:vAlign w:val="center"/>
          </w:tcPr>
          <w:p w14:paraId="7336DA4D">
            <w:pPr>
              <w:spacing w:line="240" w:lineRule="auto"/>
              <w:jc w:val="right"/>
            </w:pPr>
            <w:r>
              <w:rPr>
                <w:rFonts w:ascii="宋体" w:hAnsi="宋体" w:eastAsia="宋体" w:cs="宋体"/>
                <w:b w:val="0"/>
              </w:rPr>
              <w:t>100.00%</w:t>
            </w:r>
          </w:p>
        </w:tc>
      </w:tr>
    </w:tbl>
    <w:p w14:paraId="41821BCC">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779BD9B7"/>
    <w:p w14:paraId="277D3D01">
      <w:pPr>
        <w:pStyle w:val="3"/>
        <w:jc w:val="left"/>
      </w:pPr>
      <w:bookmarkStart w:id="47" w:name="_Toc30969"/>
      <w:r>
        <w:rPr>
          <w:rFonts w:ascii="宋体" w:hAnsi="宋体" w:eastAsia="宋体" w:cs="宋体"/>
        </w:rPr>
        <w:t>8.2 期末基金管理人的从业人员持有本基金的情况</w:t>
      </w:r>
      <w:bookmarkEnd w:id="4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72"/>
        <w:gridCol w:w="1857"/>
        <w:gridCol w:w="2001"/>
      </w:tblGrid>
      <w:tr w14:paraId="055F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071C4C7">
            <w:pPr>
              <w:spacing w:line="240" w:lineRule="auto"/>
              <w:jc w:val="center"/>
            </w:pPr>
            <w:r>
              <w:rPr>
                <w:rFonts w:ascii="宋体" w:hAnsi="宋体" w:eastAsia="宋体" w:cs="宋体"/>
                <w:b w:val="0"/>
              </w:rPr>
              <w:t>项目</w:t>
            </w:r>
          </w:p>
        </w:tc>
        <w:tc>
          <w:tcPr>
            <w:tcW w:w="1385" w:type="pct"/>
            <w:shd w:val="clear" w:color="auto" w:fill="D9D9D9"/>
            <w:vAlign w:val="center"/>
          </w:tcPr>
          <w:p w14:paraId="0425A512">
            <w:pPr>
              <w:spacing w:line="240" w:lineRule="auto"/>
              <w:jc w:val="center"/>
            </w:pPr>
            <w:r>
              <w:rPr>
                <w:rFonts w:ascii="宋体" w:hAnsi="宋体" w:eastAsia="宋体" w:cs="宋体"/>
                <w:b w:val="0"/>
              </w:rPr>
              <w:t>份额级别</w:t>
            </w:r>
          </w:p>
        </w:tc>
        <w:tc>
          <w:tcPr>
            <w:tcW w:w="1000" w:type="pct"/>
            <w:shd w:val="clear" w:color="auto" w:fill="D9D9D9"/>
            <w:vAlign w:val="center"/>
          </w:tcPr>
          <w:p w14:paraId="206F0761">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75846208">
            <w:pPr>
              <w:spacing w:line="240" w:lineRule="auto"/>
              <w:jc w:val="center"/>
            </w:pPr>
            <w:r>
              <w:rPr>
                <w:rFonts w:ascii="宋体" w:hAnsi="宋体" w:eastAsia="宋体" w:cs="宋体"/>
                <w:b w:val="0"/>
              </w:rPr>
              <w:t>占基金总份额比例</w:t>
            </w:r>
          </w:p>
        </w:tc>
      </w:tr>
      <w:tr w14:paraId="281A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410E7F7">
            <w:pPr>
              <w:spacing w:line="240" w:lineRule="auto"/>
              <w:jc w:val="left"/>
            </w:pPr>
            <w:r>
              <w:rPr>
                <w:rFonts w:ascii="宋体" w:hAnsi="宋体" w:eastAsia="宋体" w:cs="宋体"/>
                <w:b w:val="0"/>
              </w:rPr>
              <w:t>基金管理人所有从业人员持有本基金</w:t>
            </w:r>
          </w:p>
        </w:tc>
        <w:tc>
          <w:tcPr>
            <w:tcW w:w="0" w:type="dxa"/>
            <w:vAlign w:val="center"/>
          </w:tcPr>
          <w:p w14:paraId="10D62B75">
            <w:pPr>
              <w:spacing w:line="240" w:lineRule="auto"/>
              <w:jc w:val="left"/>
            </w:pPr>
            <w:r>
              <w:rPr>
                <w:rFonts w:ascii="宋体" w:hAnsi="宋体" w:eastAsia="宋体" w:cs="宋体"/>
                <w:b w:val="0"/>
              </w:rPr>
              <w:t>东方阿尔法科技优选混合发起A</w:t>
            </w:r>
          </w:p>
        </w:tc>
        <w:tc>
          <w:tcPr>
            <w:tcW w:w="0" w:type="dxa"/>
            <w:vAlign w:val="center"/>
          </w:tcPr>
          <w:p w14:paraId="7467FD35">
            <w:pPr>
              <w:spacing w:line="240" w:lineRule="auto"/>
              <w:jc w:val="right"/>
            </w:pPr>
            <w:r>
              <w:rPr>
                <w:rFonts w:ascii="宋体" w:hAnsi="宋体" w:eastAsia="宋体" w:cs="宋体"/>
                <w:b w:val="0"/>
              </w:rPr>
              <w:t>11,854,683.31</w:t>
            </w:r>
          </w:p>
        </w:tc>
        <w:tc>
          <w:tcPr>
            <w:tcW w:w="0" w:type="dxa"/>
            <w:vAlign w:val="center"/>
          </w:tcPr>
          <w:p w14:paraId="7D53CC2D">
            <w:pPr>
              <w:spacing w:line="240" w:lineRule="auto"/>
              <w:jc w:val="right"/>
            </w:pPr>
            <w:r>
              <w:rPr>
                <w:rFonts w:ascii="宋体" w:hAnsi="宋体" w:eastAsia="宋体" w:cs="宋体"/>
                <w:b w:val="0"/>
              </w:rPr>
              <w:t>99.86%</w:t>
            </w:r>
          </w:p>
        </w:tc>
      </w:tr>
      <w:tr w14:paraId="7CBE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5AAB775"/>
        </w:tc>
        <w:tc>
          <w:tcPr>
            <w:tcW w:w="0" w:type="dxa"/>
            <w:vAlign w:val="center"/>
          </w:tcPr>
          <w:p w14:paraId="3D2C2385">
            <w:pPr>
              <w:spacing w:line="240" w:lineRule="auto"/>
              <w:jc w:val="left"/>
            </w:pPr>
            <w:r>
              <w:rPr>
                <w:rFonts w:ascii="宋体" w:hAnsi="宋体" w:eastAsia="宋体" w:cs="宋体"/>
                <w:b w:val="0"/>
              </w:rPr>
              <w:t>东方阿尔法科技优选混合发起C</w:t>
            </w:r>
          </w:p>
        </w:tc>
        <w:tc>
          <w:tcPr>
            <w:tcW w:w="0" w:type="dxa"/>
            <w:vAlign w:val="center"/>
          </w:tcPr>
          <w:p w14:paraId="76F52E8F">
            <w:pPr>
              <w:spacing w:line="240" w:lineRule="auto"/>
              <w:jc w:val="right"/>
            </w:pPr>
            <w:r>
              <w:rPr>
                <w:rFonts w:ascii="宋体" w:hAnsi="宋体" w:eastAsia="宋体" w:cs="宋体"/>
                <w:b w:val="0"/>
              </w:rPr>
              <w:t>4,180.13</w:t>
            </w:r>
          </w:p>
        </w:tc>
        <w:tc>
          <w:tcPr>
            <w:tcW w:w="0" w:type="dxa"/>
            <w:vAlign w:val="center"/>
          </w:tcPr>
          <w:p w14:paraId="3F8030CA">
            <w:pPr>
              <w:spacing w:line="240" w:lineRule="auto"/>
              <w:jc w:val="right"/>
            </w:pPr>
            <w:r>
              <w:rPr>
                <w:rFonts w:ascii="宋体" w:hAnsi="宋体" w:eastAsia="宋体" w:cs="宋体"/>
                <w:b w:val="0"/>
              </w:rPr>
              <w:t>7.79%</w:t>
            </w:r>
          </w:p>
        </w:tc>
      </w:tr>
      <w:tr w14:paraId="6780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16098B"/>
        </w:tc>
        <w:tc>
          <w:tcPr>
            <w:tcW w:w="0" w:type="dxa"/>
            <w:vAlign w:val="center"/>
          </w:tcPr>
          <w:p w14:paraId="31A43F5A">
            <w:pPr>
              <w:spacing w:line="240" w:lineRule="auto"/>
              <w:jc w:val="center"/>
            </w:pPr>
            <w:r>
              <w:rPr>
                <w:rFonts w:ascii="宋体" w:hAnsi="宋体" w:eastAsia="宋体" w:cs="宋体"/>
                <w:b w:val="0"/>
              </w:rPr>
              <w:t>合计</w:t>
            </w:r>
          </w:p>
        </w:tc>
        <w:tc>
          <w:tcPr>
            <w:tcW w:w="0" w:type="dxa"/>
            <w:vAlign w:val="center"/>
          </w:tcPr>
          <w:p w14:paraId="64E925DA">
            <w:pPr>
              <w:spacing w:line="240" w:lineRule="auto"/>
              <w:jc w:val="right"/>
            </w:pPr>
            <w:r>
              <w:rPr>
                <w:rFonts w:ascii="宋体" w:hAnsi="宋体" w:eastAsia="宋体" w:cs="宋体"/>
                <w:b w:val="0"/>
              </w:rPr>
              <w:t>11,858,863.44</w:t>
            </w:r>
          </w:p>
        </w:tc>
        <w:tc>
          <w:tcPr>
            <w:tcW w:w="0" w:type="dxa"/>
            <w:vAlign w:val="center"/>
          </w:tcPr>
          <w:p w14:paraId="16F5A24D">
            <w:pPr>
              <w:spacing w:line="240" w:lineRule="auto"/>
              <w:jc w:val="right"/>
            </w:pPr>
            <w:r>
              <w:rPr>
                <w:rFonts w:ascii="宋体" w:hAnsi="宋体" w:eastAsia="宋体" w:cs="宋体"/>
                <w:b w:val="0"/>
              </w:rPr>
              <w:t>99.44%</w:t>
            </w:r>
          </w:p>
        </w:tc>
      </w:tr>
    </w:tbl>
    <w:p w14:paraId="605F8AD2">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6B1A5C96"/>
    <w:p w14:paraId="01EE8DEF">
      <w:pPr>
        <w:pStyle w:val="3"/>
        <w:jc w:val="left"/>
      </w:pPr>
      <w:bookmarkStart w:id="48" w:name="_Toc12477"/>
      <w:r>
        <w:rPr>
          <w:rFonts w:ascii="宋体" w:hAnsi="宋体" w:eastAsia="宋体" w:cs="宋体"/>
        </w:rPr>
        <w:t>8.3 期末基金管理人的从业人员持有本开放式基金份额总量区间情况</w:t>
      </w:r>
      <w:bookmarkEnd w:id="4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97D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1D2BA89">
            <w:pPr>
              <w:spacing w:line="240" w:lineRule="auto"/>
              <w:jc w:val="center"/>
            </w:pPr>
            <w:r>
              <w:rPr>
                <w:rFonts w:ascii="宋体" w:hAnsi="宋体" w:eastAsia="宋体" w:cs="宋体"/>
                <w:b w:val="0"/>
              </w:rPr>
              <w:t>项目</w:t>
            </w:r>
          </w:p>
        </w:tc>
        <w:tc>
          <w:tcPr>
            <w:tcW w:w="1538" w:type="pct"/>
            <w:shd w:val="clear" w:color="auto" w:fill="D9D9D9"/>
            <w:vAlign w:val="center"/>
          </w:tcPr>
          <w:p w14:paraId="38742FA5">
            <w:pPr>
              <w:spacing w:line="240" w:lineRule="auto"/>
              <w:jc w:val="center"/>
            </w:pPr>
            <w:r>
              <w:rPr>
                <w:rFonts w:ascii="宋体" w:hAnsi="宋体" w:eastAsia="宋体" w:cs="宋体"/>
                <w:b w:val="0"/>
              </w:rPr>
              <w:t>份额级别</w:t>
            </w:r>
          </w:p>
        </w:tc>
        <w:tc>
          <w:tcPr>
            <w:tcW w:w="1538" w:type="pct"/>
            <w:shd w:val="clear" w:color="auto" w:fill="D9D9D9"/>
            <w:vAlign w:val="center"/>
          </w:tcPr>
          <w:p w14:paraId="430E5638">
            <w:pPr>
              <w:spacing w:line="240" w:lineRule="auto"/>
              <w:jc w:val="center"/>
            </w:pPr>
            <w:r>
              <w:rPr>
                <w:rFonts w:ascii="宋体" w:hAnsi="宋体" w:eastAsia="宋体" w:cs="宋体"/>
                <w:b w:val="0"/>
              </w:rPr>
              <w:t>持有基金份额总量的数量区间（万份）</w:t>
            </w:r>
          </w:p>
        </w:tc>
      </w:tr>
      <w:tr w14:paraId="1C76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E0C85AC">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0685D58E">
            <w:pPr>
              <w:spacing w:line="240" w:lineRule="auto"/>
              <w:jc w:val="left"/>
            </w:pPr>
            <w:r>
              <w:rPr>
                <w:rFonts w:ascii="宋体" w:hAnsi="宋体" w:eastAsia="宋体" w:cs="宋体"/>
                <w:b w:val="0"/>
              </w:rPr>
              <w:t>东方阿尔法科技优选混合发起A</w:t>
            </w:r>
          </w:p>
        </w:tc>
        <w:tc>
          <w:tcPr>
            <w:tcW w:w="0" w:type="dxa"/>
            <w:vAlign w:val="center"/>
          </w:tcPr>
          <w:p w14:paraId="7DA33F65">
            <w:pPr>
              <w:spacing w:line="240" w:lineRule="auto"/>
              <w:jc w:val="right"/>
            </w:pPr>
            <w:r>
              <w:rPr>
                <w:rFonts w:ascii="宋体" w:hAnsi="宋体" w:eastAsia="宋体" w:cs="宋体"/>
                <w:b w:val="0"/>
              </w:rPr>
              <w:t>&gt;100</w:t>
            </w:r>
          </w:p>
        </w:tc>
      </w:tr>
      <w:tr w14:paraId="48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13AA97"/>
        </w:tc>
        <w:tc>
          <w:tcPr>
            <w:tcW w:w="0" w:type="dxa"/>
            <w:vAlign w:val="center"/>
          </w:tcPr>
          <w:p w14:paraId="44974130">
            <w:pPr>
              <w:spacing w:line="240" w:lineRule="auto"/>
              <w:jc w:val="left"/>
            </w:pPr>
            <w:r>
              <w:rPr>
                <w:rFonts w:ascii="宋体" w:hAnsi="宋体" w:eastAsia="宋体" w:cs="宋体"/>
                <w:b w:val="0"/>
              </w:rPr>
              <w:t>东方阿尔法科技优选混合发起C</w:t>
            </w:r>
          </w:p>
        </w:tc>
        <w:tc>
          <w:tcPr>
            <w:tcW w:w="0" w:type="dxa"/>
            <w:vAlign w:val="center"/>
          </w:tcPr>
          <w:p w14:paraId="3DEC765D">
            <w:pPr>
              <w:spacing w:line="240" w:lineRule="auto"/>
              <w:jc w:val="right"/>
            </w:pPr>
            <w:r>
              <w:rPr>
                <w:rFonts w:ascii="宋体" w:hAnsi="宋体" w:eastAsia="宋体" w:cs="宋体"/>
                <w:b w:val="0"/>
              </w:rPr>
              <w:t>0</w:t>
            </w:r>
          </w:p>
        </w:tc>
      </w:tr>
      <w:tr w14:paraId="12E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6CCFB5"/>
        </w:tc>
        <w:tc>
          <w:tcPr>
            <w:tcW w:w="0" w:type="dxa"/>
            <w:vAlign w:val="center"/>
          </w:tcPr>
          <w:p w14:paraId="7F44C986">
            <w:pPr>
              <w:spacing w:line="240" w:lineRule="auto"/>
              <w:jc w:val="center"/>
            </w:pPr>
            <w:r>
              <w:rPr>
                <w:rFonts w:ascii="宋体" w:hAnsi="宋体" w:eastAsia="宋体" w:cs="宋体"/>
                <w:b w:val="0"/>
              </w:rPr>
              <w:t>合计</w:t>
            </w:r>
          </w:p>
        </w:tc>
        <w:tc>
          <w:tcPr>
            <w:tcW w:w="0" w:type="dxa"/>
            <w:vAlign w:val="center"/>
          </w:tcPr>
          <w:p w14:paraId="7A295BF4">
            <w:pPr>
              <w:spacing w:line="240" w:lineRule="auto"/>
              <w:jc w:val="right"/>
            </w:pPr>
            <w:r>
              <w:rPr>
                <w:rFonts w:ascii="宋体" w:hAnsi="宋体" w:eastAsia="宋体" w:cs="宋体"/>
                <w:b w:val="0"/>
              </w:rPr>
              <w:t>&gt;100</w:t>
            </w:r>
          </w:p>
        </w:tc>
      </w:tr>
      <w:tr w14:paraId="1205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8B1C671">
            <w:pPr>
              <w:spacing w:line="240" w:lineRule="auto"/>
              <w:jc w:val="left"/>
            </w:pPr>
            <w:r>
              <w:rPr>
                <w:rFonts w:ascii="宋体" w:hAnsi="宋体" w:eastAsia="宋体" w:cs="宋体"/>
                <w:b w:val="0"/>
              </w:rPr>
              <w:t>本基金基金经理持有本开放式基金</w:t>
            </w:r>
          </w:p>
        </w:tc>
        <w:tc>
          <w:tcPr>
            <w:tcW w:w="0" w:type="dxa"/>
            <w:vAlign w:val="center"/>
          </w:tcPr>
          <w:p w14:paraId="2C0D0BE4">
            <w:pPr>
              <w:spacing w:line="240" w:lineRule="auto"/>
              <w:jc w:val="left"/>
            </w:pPr>
            <w:r>
              <w:rPr>
                <w:rFonts w:ascii="宋体" w:hAnsi="宋体" w:eastAsia="宋体" w:cs="宋体"/>
                <w:b w:val="0"/>
              </w:rPr>
              <w:t>东方阿尔法科技优选混合发起A</w:t>
            </w:r>
          </w:p>
        </w:tc>
        <w:tc>
          <w:tcPr>
            <w:tcW w:w="0" w:type="dxa"/>
            <w:vAlign w:val="center"/>
          </w:tcPr>
          <w:p w14:paraId="01F118D5">
            <w:pPr>
              <w:spacing w:line="240" w:lineRule="auto"/>
              <w:jc w:val="right"/>
            </w:pPr>
            <w:r>
              <w:rPr>
                <w:rFonts w:ascii="宋体" w:hAnsi="宋体" w:eastAsia="宋体" w:cs="宋体"/>
                <w:b w:val="0"/>
              </w:rPr>
              <w:t>0~10</w:t>
            </w:r>
          </w:p>
        </w:tc>
      </w:tr>
      <w:tr w14:paraId="0A98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6A08CCD"/>
        </w:tc>
        <w:tc>
          <w:tcPr>
            <w:tcW w:w="0" w:type="dxa"/>
            <w:vAlign w:val="center"/>
          </w:tcPr>
          <w:p w14:paraId="6E8C1B22">
            <w:pPr>
              <w:spacing w:line="240" w:lineRule="auto"/>
              <w:jc w:val="left"/>
            </w:pPr>
            <w:r>
              <w:rPr>
                <w:rFonts w:ascii="宋体" w:hAnsi="宋体" w:eastAsia="宋体" w:cs="宋体"/>
                <w:b w:val="0"/>
              </w:rPr>
              <w:t>东方阿尔法科技优选混合发起C</w:t>
            </w:r>
          </w:p>
        </w:tc>
        <w:tc>
          <w:tcPr>
            <w:tcW w:w="0" w:type="dxa"/>
            <w:vAlign w:val="center"/>
          </w:tcPr>
          <w:p w14:paraId="0104A8BF">
            <w:pPr>
              <w:spacing w:line="240" w:lineRule="auto"/>
              <w:jc w:val="right"/>
            </w:pPr>
            <w:r>
              <w:rPr>
                <w:rFonts w:ascii="宋体" w:hAnsi="宋体" w:eastAsia="宋体" w:cs="宋体"/>
                <w:b w:val="0"/>
              </w:rPr>
              <w:t>0</w:t>
            </w:r>
          </w:p>
        </w:tc>
      </w:tr>
      <w:tr w14:paraId="3D52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D0DFB0B"/>
        </w:tc>
        <w:tc>
          <w:tcPr>
            <w:tcW w:w="0" w:type="dxa"/>
            <w:vAlign w:val="center"/>
          </w:tcPr>
          <w:p w14:paraId="7311E936">
            <w:pPr>
              <w:spacing w:line="240" w:lineRule="auto"/>
              <w:jc w:val="center"/>
            </w:pPr>
            <w:r>
              <w:rPr>
                <w:rFonts w:ascii="宋体" w:hAnsi="宋体" w:eastAsia="宋体" w:cs="宋体"/>
                <w:b w:val="0"/>
              </w:rPr>
              <w:t>合计</w:t>
            </w:r>
          </w:p>
        </w:tc>
        <w:tc>
          <w:tcPr>
            <w:tcW w:w="0" w:type="dxa"/>
            <w:vAlign w:val="center"/>
          </w:tcPr>
          <w:p w14:paraId="729FDA5C">
            <w:pPr>
              <w:spacing w:line="240" w:lineRule="auto"/>
              <w:jc w:val="right"/>
            </w:pPr>
            <w:r>
              <w:rPr>
                <w:rFonts w:ascii="宋体" w:hAnsi="宋体" w:eastAsia="宋体" w:cs="宋体"/>
                <w:b w:val="0"/>
              </w:rPr>
              <w:t>0~10</w:t>
            </w:r>
          </w:p>
        </w:tc>
      </w:tr>
    </w:tbl>
    <w:p w14:paraId="5F790D38"/>
    <w:p w14:paraId="28C6EE4C">
      <w:pPr>
        <w:pStyle w:val="3"/>
        <w:jc w:val="left"/>
      </w:pPr>
      <w:bookmarkStart w:id="49" w:name="_Toc17545"/>
      <w:r>
        <w:rPr>
          <w:rFonts w:ascii="宋体" w:hAnsi="宋体" w:eastAsia="宋体" w:cs="宋体"/>
        </w:rPr>
        <w:t>8.4 发起式基金发起资金持有份额情况</w:t>
      </w:r>
      <w:bookmarkEnd w:id="4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581"/>
        <w:gridCol w:w="1413"/>
        <w:gridCol w:w="1581"/>
        <w:gridCol w:w="1413"/>
        <w:gridCol w:w="1413"/>
      </w:tblGrid>
      <w:tr w14:paraId="4F18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9D9D9"/>
            <w:vAlign w:val="center"/>
          </w:tcPr>
          <w:p w14:paraId="337CD977">
            <w:pPr>
              <w:spacing w:line="240" w:lineRule="auto"/>
              <w:jc w:val="center"/>
            </w:pPr>
            <w:r>
              <w:rPr>
                <w:rFonts w:ascii="宋体" w:hAnsi="宋体" w:eastAsia="宋体" w:cs="宋体"/>
                <w:b w:val="0"/>
              </w:rPr>
              <w:t>项目</w:t>
            </w:r>
          </w:p>
        </w:tc>
        <w:tc>
          <w:tcPr>
            <w:tcW w:w="615" w:type="pct"/>
            <w:shd w:val="clear" w:color="auto" w:fill="D9D9D9"/>
            <w:vAlign w:val="center"/>
          </w:tcPr>
          <w:p w14:paraId="58CB1646">
            <w:pPr>
              <w:spacing w:line="240" w:lineRule="auto"/>
              <w:jc w:val="center"/>
            </w:pPr>
            <w:r>
              <w:rPr>
                <w:rFonts w:ascii="宋体" w:hAnsi="宋体" w:eastAsia="宋体" w:cs="宋体"/>
                <w:b w:val="0"/>
              </w:rPr>
              <w:t>持有份额总数</w:t>
            </w:r>
          </w:p>
        </w:tc>
        <w:tc>
          <w:tcPr>
            <w:tcW w:w="769" w:type="pct"/>
            <w:shd w:val="clear" w:color="auto" w:fill="D9D9D9"/>
            <w:vAlign w:val="center"/>
          </w:tcPr>
          <w:p w14:paraId="367D2A83">
            <w:pPr>
              <w:spacing w:line="240" w:lineRule="auto"/>
              <w:jc w:val="center"/>
            </w:pPr>
            <w:r>
              <w:rPr>
                <w:rFonts w:ascii="宋体" w:hAnsi="宋体" w:eastAsia="宋体" w:cs="宋体"/>
                <w:b w:val="0"/>
              </w:rPr>
              <w:t>持有份额占基金总份额比例</w:t>
            </w:r>
          </w:p>
        </w:tc>
        <w:tc>
          <w:tcPr>
            <w:tcW w:w="615" w:type="pct"/>
            <w:shd w:val="clear" w:color="auto" w:fill="D9D9D9"/>
            <w:vAlign w:val="center"/>
          </w:tcPr>
          <w:p w14:paraId="676062DA">
            <w:pPr>
              <w:spacing w:line="240" w:lineRule="auto"/>
              <w:jc w:val="center"/>
            </w:pPr>
            <w:r>
              <w:rPr>
                <w:rFonts w:ascii="宋体" w:hAnsi="宋体" w:eastAsia="宋体" w:cs="宋体"/>
                <w:b w:val="0"/>
              </w:rPr>
              <w:t>发起份额总数</w:t>
            </w:r>
          </w:p>
        </w:tc>
        <w:tc>
          <w:tcPr>
            <w:tcW w:w="769" w:type="pct"/>
            <w:shd w:val="clear" w:color="auto" w:fill="D9D9D9"/>
            <w:vAlign w:val="center"/>
          </w:tcPr>
          <w:p w14:paraId="3D6027D2">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6E5B985B">
            <w:pPr>
              <w:spacing w:line="240" w:lineRule="auto"/>
              <w:jc w:val="center"/>
            </w:pPr>
            <w:r>
              <w:rPr>
                <w:rFonts w:ascii="宋体" w:hAnsi="宋体" w:eastAsia="宋体" w:cs="宋体"/>
                <w:b w:val="0"/>
              </w:rPr>
              <w:t>发起份额承诺持有期限</w:t>
            </w:r>
          </w:p>
        </w:tc>
      </w:tr>
      <w:tr w14:paraId="5FF4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5658DD">
            <w:pPr>
              <w:spacing w:line="240" w:lineRule="auto"/>
              <w:jc w:val="left"/>
            </w:pPr>
            <w:r>
              <w:rPr>
                <w:rFonts w:ascii="宋体" w:hAnsi="宋体" w:eastAsia="宋体" w:cs="宋体"/>
                <w:b w:val="0"/>
              </w:rPr>
              <w:t>基金管理人固有资金</w:t>
            </w:r>
          </w:p>
        </w:tc>
        <w:tc>
          <w:tcPr>
            <w:tcW w:w="0" w:type="dxa"/>
            <w:vAlign w:val="center"/>
          </w:tcPr>
          <w:p w14:paraId="7045454E">
            <w:pPr>
              <w:spacing w:line="240" w:lineRule="auto"/>
              <w:jc w:val="right"/>
            </w:pPr>
            <w:r>
              <w:rPr>
                <w:rFonts w:ascii="宋体" w:hAnsi="宋体" w:eastAsia="宋体" w:cs="宋体"/>
                <w:b w:val="0"/>
              </w:rPr>
              <w:t>-</w:t>
            </w:r>
          </w:p>
        </w:tc>
        <w:tc>
          <w:tcPr>
            <w:tcW w:w="0" w:type="dxa"/>
            <w:vAlign w:val="center"/>
          </w:tcPr>
          <w:p w14:paraId="3F978091">
            <w:pPr>
              <w:spacing w:line="240" w:lineRule="auto"/>
              <w:jc w:val="right"/>
            </w:pPr>
            <w:r>
              <w:rPr>
                <w:rFonts w:ascii="宋体" w:hAnsi="宋体" w:eastAsia="宋体" w:cs="宋体"/>
                <w:b w:val="0"/>
              </w:rPr>
              <w:t>-</w:t>
            </w:r>
          </w:p>
        </w:tc>
        <w:tc>
          <w:tcPr>
            <w:tcW w:w="0" w:type="dxa"/>
            <w:vAlign w:val="center"/>
          </w:tcPr>
          <w:p w14:paraId="5804034A">
            <w:pPr>
              <w:spacing w:line="240" w:lineRule="auto"/>
              <w:jc w:val="right"/>
            </w:pPr>
            <w:r>
              <w:rPr>
                <w:rFonts w:ascii="宋体" w:hAnsi="宋体" w:eastAsia="宋体" w:cs="宋体"/>
                <w:b w:val="0"/>
              </w:rPr>
              <w:t>-</w:t>
            </w:r>
          </w:p>
        </w:tc>
        <w:tc>
          <w:tcPr>
            <w:tcW w:w="0" w:type="dxa"/>
            <w:vAlign w:val="center"/>
          </w:tcPr>
          <w:p w14:paraId="2055EB17">
            <w:pPr>
              <w:spacing w:line="240" w:lineRule="auto"/>
              <w:jc w:val="right"/>
            </w:pPr>
            <w:r>
              <w:rPr>
                <w:rFonts w:ascii="宋体" w:hAnsi="宋体" w:eastAsia="宋体" w:cs="宋体"/>
                <w:b w:val="0"/>
              </w:rPr>
              <w:t>-</w:t>
            </w:r>
          </w:p>
        </w:tc>
        <w:tc>
          <w:tcPr>
            <w:tcW w:w="0" w:type="dxa"/>
            <w:vAlign w:val="center"/>
          </w:tcPr>
          <w:p w14:paraId="6480412A">
            <w:pPr>
              <w:spacing w:line="240" w:lineRule="auto"/>
              <w:jc w:val="right"/>
            </w:pPr>
            <w:r>
              <w:rPr>
                <w:rFonts w:ascii="宋体" w:hAnsi="宋体" w:eastAsia="宋体" w:cs="宋体"/>
                <w:b w:val="0"/>
              </w:rPr>
              <w:t>-</w:t>
            </w:r>
          </w:p>
        </w:tc>
      </w:tr>
      <w:tr w14:paraId="17F2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270716">
            <w:pPr>
              <w:spacing w:line="240" w:lineRule="auto"/>
              <w:jc w:val="left"/>
            </w:pPr>
            <w:r>
              <w:rPr>
                <w:rFonts w:ascii="宋体" w:hAnsi="宋体" w:eastAsia="宋体" w:cs="宋体"/>
                <w:b w:val="0"/>
              </w:rPr>
              <w:t>基金管理人高级管理人员</w:t>
            </w:r>
          </w:p>
        </w:tc>
        <w:tc>
          <w:tcPr>
            <w:tcW w:w="0" w:type="dxa"/>
            <w:vAlign w:val="center"/>
          </w:tcPr>
          <w:p w14:paraId="14CBB1E7">
            <w:pPr>
              <w:spacing w:line="240" w:lineRule="auto"/>
              <w:jc w:val="right"/>
            </w:pPr>
            <w:r>
              <w:rPr>
                <w:rFonts w:ascii="宋体" w:hAnsi="宋体" w:eastAsia="宋体" w:cs="宋体"/>
                <w:b w:val="0"/>
              </w:rPr>
              <w:t>10,000,388.92</w:t>
            </w:r>
          </w:p>
        </w:tc>
        <w:tc>
          <w:tcPr>
            <w:tcW w:w="0" w:type="dxa"/>
            <w:vAlign w:val="center"/>
          </w:tcPr>
          <w:p w14:paraId="20F86357">
            <w:pPr>
              <w:spacing w:line="240" w:lineRule="auto"/>
              <w:jc w:val="right"/>
            </w:pPr>
            <w:r>
              <w:rPr>
                <w:rFonts w:ascii="宋体" w:hAnsi="宋体" w:eastAsia="宋体" w:cs="宋体"/>
                <w:b w:val="0"/>
              </w:rPr>
              <w:t>83.86%</w:t>
            </w:r>
          </w:p>
        </w:tc>
        <w:tc>
          <w:tcPr>
            <w:tcW w:w="0" w:type="dxa"/>
            <w:vAlign w:val="center"/>
          </w:tcPr>
          <w:p w14:paraId="695E684A">
            <w:pPr>
              <w:spacing w:line="240" w:lineRule="auto"/>
              <w:jc w:val="right"/>
            </w:pPr>
            <w:r>
              <w:rPr>
                <w:rFonts w:ascii="宋体" w:hAnsi="宋体" w:eastAsia="宋体" w:cs="宋体"/>
                <w:b w:val="0"/>
              </w:rPr>
              <w:t>10,000,388.92</w:t>
            </w:r>
          </w:p>
        </w:tc>
        <w:tc>
          <w:tcPr>
            <w:tcW w:w="0" w:type="dxa"/>
            <w:vAlign w:val="center"/>
          </w:tcPr>
          <w:p w14:paraId="64A1E028">
            <w:pPr>
              <w:spacing w:line="240" w:lineRule="auto"/>
              <w:jc w:val="right"/>
            </w:pPr>
            <w:r>
              <w:rPr>
                <w:rFonts w:ascii="宋体" w:hAnsi="宋体" w:eastAsia="宋体" w:cs="宋体"/>
                <w:b w:val="0"/>
              </w:rPr>
              <w:t>83.86%</w:t>
            </w:r>
          </w:p>
        </w:tc>
        <w:tc>
          <w:tcPr>
            <w:tcW w:w="0" w:type="dxa"/>
            <w:vAlign w:val="center"/>
          </w:tcPr>
          <w:p w14:paraId="2FB6F6B0">
            <w:pPr>
              <w:spacing w:line="240" w:lineRule="auto"/>
              <w:jc w:val="right"/>
            </w:pPr>
            <w:r>
              <w:rPr>
                <w:rFonts w:ascii="宋体" w:hAnsi="宋体" w:eastAsia="宋体" w:cs="宋体"/>
                <w:b w:val="0"/>
              </w:rPr>
              <w:t>自合同生效之日起不少于3年</w:t>
            </w:r>
          </w:p>
        </w:tc>
      </w:tr>
      <w:tr w14:paraId="0930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3FCF61">
            <w:pPr>
              <w:spacing w:line="240" w:lineRule="auto"/>
              <w:jc w:val="left"/>
            </w:pPr>
            <w:r>
              <w:rPr>
                <w:rFonts w:ascii="宋体" w:hAnsi="宋体" w:eastAsia="宋体" w:cs="宋体"/>
                <w:b w:val="0"/>
              </w:rPr>
              <w:t>基金经理等人员</w:t>
            </w:r>
          </w:p>
        </w:tc>
        <w:tc>
          <w:tcPr>
            <w:tcW w:w="0" w:type="dxa"/>
            <w:vAlign w:val="center"/>
          </w:tcPr>
          <w:p w14:paraId="3FC3B9ED">
            <w:pPr>
              <w:spacing w:line="240" w:lineRule="auto"/>
              <w:jc w:val="right"/>
            </w:pPr>
            <w:r>
              <w:rPr>
                <w:rFonts w:ascii="宋体" w:hAnsi="宋体" w:eastAsia="宋体" w:cs="宋体"/>
                <w:b w:val="0"/>
              </w:rPr>
              <w:t>-</w:t>
            </w:r>
          </w:p>
        </w:tc>
        <w:tc>
          <w:tcPr>
            <w:tcW w:w="0" w:type="dxa"/>
            <w:vAlign w:val="center"/>
          </w:tcPr>
          <w:p w14:paraId="1BC18A0B">
            <w:pPr>
              <w:spacing w:line="240" w:lineRule="auto"/>
              <w:jc w:val="right"/>
            </w:pPr>
            <w:r>
              <w:rPr>
                <w:rFonts w:ascii="宋体" w:hAnsi="宋体" w:eastAsia="宋体" w:cs="宋体"/>
                <w:b w:val="0"/>
              </w:rPr>
              <w:t>-</w:t>
            </w:r>
          </w:p>
        </w:tc>
        <w:tc>
          <w:tcPr>
            <w:tcW w:w="0" w:type="dxa"/>
            <w:vAlign w:val="center"/>
          </w:tcPr>
          <w:p w14:paraId="0A4D4360">
            <w:pPr>
              <w:spacing w:line="240" w:lineRule="auto"/>
              <w:jc w:val="right"/>
            </w:pPr>
            <w:r>
              <w:rPr>
                <w:rFonts w:ascii="宋体" w:hAnsi="宋体" w:eastAsia="宋体" w:cs="宋体"/>
                <w:b w:val="0"/>
              </w:rPr>
              <w:t>-</w:t>
            </w:r>
          </w:p>
        </w:tc>
        <w:tc>
          <w:tcPr>
            <w:tcW w:w="0" w:type="dxa"/>
            <w:vAlign w:val="center"/>
          </w:tcPr>
          <w:p w14:paraId="028E232A">
            <w:pPr>
              <w:spacing w:line="240" w:lineRule="auto"/>
              <w:jc w:val="right"/>
            </w:pPr>
            <w:r>
              <w:rPr>
                <w:rFonts w:ascii="宋体" w:hAnsi="宋体" w:eastAsia="宋体" w:cs="宋体"/>
                <w:b w:val="0"/>
              </w:rPr>
              <w:t>-</w:t>
            </w:r>
          </w:p>
        </w:tc>
        <w:tc>
          <w:tcPr>
            <w:tcW w:w="0" w:type="dxa"/>
            <w:vAlign w:val="center"/>
          </w:tcPr>
          <w:p w14:paraId="7FDBC750">
            <w:pPr>
              <w:spacing w:line="240" w:lineRule="auto"/>
              <w:jc w:val="right"/>
            </w:pPr>
            <w:r>
              <w:rPr>
                <w:rFonts w:ascii="宋体" w:hAnsi="宋体" w:eastAsia="宋体" w:cs="宋体"/>
                <w:b w:val="0"/>
              </w:rPr>
              <w:t>-</w:t>
            </w:r>
          </w:p>
        </w:tc>
      </w:tr>
      <w:tr w14:paraId="2D6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20EB06">
            <w:pPr>
              <w:spacing w:line="240" w:lineRule="auto"/>
              <w:jc w:val="left"/>
            </w:pPr>
            <w:r>
              <w:rPr>
                <w:rFonts w:ascii="宋体" w:hAnsi="宋体" w:eastAsia="宋体" w:cs="宋体"/>
                <w:b w:val="0"/>
              </w:rPr>
              <w:t>基金管理人股东</w:t>
            </w:r>
          </w:p>
        </w:tc>
        <w:tc>
          <w:tcPr>
            <w:tcW w:w="0" w:type="dxa"/>
            <w:vAlign w:val="center"/>
          </w:tcPr>
          <w:p w14:paraId="5D7CA0B2">
            <w:pPr>
              <w:spacing w:line="240" w:lineRule="auto"/>
              <w:jc w:val="right"/>
            </w:pPr>
            <w:r>
              <w:rPr>
                <w:rFonts w:ascii="宋体" w:hAnsi="宋体" w:eastAsia="宋体" w:cs="宋体"/>
                <w:b w:val="0"/>
              </w:rPr>
              <w:t>-</w:t>
            </w:r>
          </w:p>
        </w:tc>
        <w:tc>
          <w:tcPr>
            <w:tcW w:w="0" w:type="dxa"/>
            <w:vAlign w:val="center"/>
          </w:tcPr>
          <w:p w14:paraId="54BC4C44">
            <w:pPr>
              <w:spacing w:line="240" w:lineRule="auto"/>
              <w:jc w:val="right"/>
            </w:pPr>
            <w:r>
              <w:rPr>
                <w:rFonts w:ascii="宋体" w:hAnsi="宋体" w:eastAsia="宋体" w:cs="宋体"/>
                <w:b w:val="0"/>
              </w:rPr>
              <w:t>-</w:t>
            </w:r>
          </w:p>
        </w:tc>
        <w:tc>
          <w:tcPr>
            <w:tcW w:w="0" w:type="dxa"/>
            <w:vAlign w:val="center"/>
          </w:tcPr>
          <w:p w14:paraId="3DC0DE31">
            <w:pPr>
              <w:spacing w:line="240" w:lineRule="auto"/>
              <w:jc w:val="right"/>
            </w:pPr>
            <w:r>
              <w:rPr>
                <w:rFonts w:ascii="宋体" w:hAnsi="宋体" w:eastAsia="宋体" w:cs="宋体"/>
                <w:b w:val="0"/>
              </w:rPr>
              <w:t>-</w:t>
            </w:r>
          </w:p>
        </w:tc>
        <w:tc>
          <w:tcPr>
            <w:tcW w:w="0" w:type="dxa"/>
            <w:vAlign w:val="center"/>
          </w:tcPr>
          <w:p w14:paraId="426BECCC">
            <w:pPr>
              <w:spacing w:line="240" w:lineRule="auto"/>
              <w:jc w:val="right"/>
            </w:pPr>
            <w:r>
              <w:rPr>
                <w:rFonts w:ascii="宋体" w:hAnsi="宋体" w:eastAsia="宋体" w:cs="宋体"/>
                <w:b w:val="0"/>
              </w:rPr>
              <w:t>-</w:t>
            </w:r>
          </w:p>
        </w:tc>
        <w:tc>
          <w:tcPr>
            <w:tcW w:w="0" w:type="dxa"/>
            <w:vAlign w:val="center"/>
          </w:tcPr>
          <w:p w14:paraId="353A3F32">
            <w:pPr>
              <w:spacing w:line="240" w:lineRule="auto"/>
              <w:jc w:val="right"/>
            </w:pPr>
            <w:r>
              <w:rPr>
                <w:rFonts w:ascii="宋体" w:hAnsi="宋体" w:eastAsia="宋体" w:cs="宋体"/>
                <w:b w:val="0"/>
              </w:rPr>
              <w:t>-</w:t>
            </w:r>
          </w:p>
        </w:tc>
      </w:tr>
      <w:tr w14:paraId="1F80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AF703">
            <w:pPr>
              <w:spacing w:line="240" w:lineRule="auto"/>
              <w:jc w:val="left"/>
            </w:pPr>
            <w:r>
              <w:rPr>
                <w:rFonts w:ascii="宋体" w:hAnsi="宋体" w:eastAsia="宋体" w:cs="宋体"/>
                <w:b w:val="0"/>
              </w:rPr>
              <w:t>其他</w:t>
            </w:r>
          </w:p>
        </w:tc>
        <w:tc>
          <w:tcPr>
            <w:tcW w:w="0" w:type="dxa"/>
            <w:vAlign w:val="center"/>
          </w:tcPr>
          <w:p w14:paraId="4A128953">
            <w:pPr>
              <w:spacing w:line="240" w:lineRule="auto"/>
              <w:jc w:val="right"/>
            </w:pPr>
            <w:r>
              <w:rPr>
                <w:rFonts w:ascii="宋体" w:hAnsi="宋体" w:eastAsia="宋体" w:cs="宋体"/>
                <w:b w:val="0"/>
              </w:rPr>
              <w:t>-</w:t>
            </w:r>
          </w:p>
        </w:tc>
        <w:tc>
          <w:tcPr>
            <w:tcW w:w="0" w:type="dxa"/>
            <w:vAlign w:val="center"/>
          </w:tcPr>
          <w:p w14:paraId="21B6B771">
            <w:pPr>
              <w:spacing w:line="240" w:lineRule="auto"/>
              <w:jc w:val="right"/>
            </w:pPr>
            <w:r>
              <w:rPr>
                <w:rFonts w:ascii="宋体" w:hAnsi="宋体" w:eastAsia="宋体" w:cs="宋体"/>
                <w:b w:val="0"/>
              </w:rPr>
              <w:t>-</w:t>
            </w:r>
          </w:p>
        </w:tc>
        <w:tc>
          <w:tcPr>
            <w:tcW w:w="0" w:type="dxa"/>
            <w:vAlign w:val="center"/>
          </w:tcPr>
          <w:p w14:paraId="72514035">
            <w:pPr>
              <w:spacing w:line="240" w:lineRule="auto"/>
              <w:jc w:val="right"/>
            </w:pPr>
            <w:r>
              <w:rPr>
                <w:rFonts w:ascii="宋体" w:hAnsi="宋体" w:eastAsia="宋体" w:cs="宋体"/>
                <w:b w:val="0"/>
              </w:rPr>
              <w:t>-</w:t>
            </w:r>
          </w:p>
        </w:tc>
        <w:tc>
          <w:tcPr>
            <w:tcW w:w="0" w:type="dxa"/>
            <w:vAlign w:val="center"/>
          </w:tcPr>
          <w:p w14:paraId="29E4E7DB">
            <w:pPr>
              <w:spacing w:line="240" w:lineRule="auto"/>
              <w:jc w:val="right"/>
            </w:pPr>
            <w:r>
              <w:rPr>
                <w:rFonts w:ascii="宋体" w:hAnsi="宋体" w:eastAsia="宋体" w:cs="宋体"/>
                <w:b w:val="0"/>
              </w:rPr>
              <w:t>-</w:t>
            </w:r>
          </w:p>
        </w:tc>
        <w:tc>
          <w:tcPr>
            <w:tcW w:w="0" w:type="dxa"/>
            <w:vAlign w:val="center"/>
          </w:tcPr>
          <w:p w14:paraId="527F7476">
            <w:pPr>
              <w:spacing w:line="240" w:lineRule="auto"/>
              <w:jc w:val="right"/>
            </w:pPr>
            <w:r>
              <w:rPr>
                <w:rFonts w:ascii="宋体" w:hAnsi="宋体" w:eastAsia="宋体" w:cs="宋体"/>
                <w:b w:val="0"/>
              </w:rPr>
              <w:t>-</w:t>
            </w:r>
          </w:p>
        </w:tc>
      </w:tr>
      <w:tr w14:paraId="3637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02B2B8">
            <w:pPr>
              <w:spacing w:line="240" w:lineRule="auto"/>
              <w:jc w:val="left"/>
            </w:pPr>
            <w:r>
              <w:rPr>
                <w:rFonts w:ascii="宋体" w:hAnsi="宋体" w:eastAsia="宋体" w:cs="宋体"/>
                <w:b w:val="0"/>
              </w:rPr>
              <w:t>合计</w:t>
            </w:r>
          </w:p>
        </w:tc>
        <w:tc>
          <w:tcPr>
            <w:tcW w:w="0" w:type="dxa"/>
            <w:vAlign w:val="center"/>
          </w:tcPr>
          <w:p w14:paraId="49ACE415">
            <w:pPr>
              <w:spacing w:line="240" w:lineRule="auto"/>
              <w:jc w:val="right"/>
            </w:pPr>
            <w:r>
              <w:rPr>
                <w:rFonts w:ascii="宋体" w:hAnsi="宋体" w:eastAsia="宋体" w:cs="宋体"/>
                <w:b w:val="0"/>
              </w:rPr>
              <w:t>10,000,388.92</w:t>
            </w:r>
          </w:p>
        </w:tc>
        <w:tc>
          <w:tcPr>
            <w:tcW w:w="0" w:type="dxa"/>
            <w:vAlign w:val="center"/>
          </w:tcPr>
          <w:p w14:paraId="58A077F1">
            <w:pPr>
              <w:spacing w:line="240" w:lineRule="auto"/>
              <w:jc w:val="right"/>
            </w:pPr>
            <w:r>
              <w:rPr>
                <w:rFonts w:ascii="宋体" w:hAnsi="宋体" w:eastAsia="宋体" w:cs="宋体"/>
                <w:b w:val="0"/>
              </w:rPr>
              <w:t>83.86%</w:t>
            </w:r>
          </w:p>
        </w:tc>
        <w:tc>
          <w:tcPr>
            <w:tcW w:w="0" w:type="dxa"/>
            <w:vAlign w:val="center"/>
          </w:tcPr>
          <w:p w14:paraId="60983A79">
            <w:pPr>
              <w:spacing w:line="240" w:lineRule="auto"/>
              <w:jc w:val="right"/>
            </w:pPr>
            <w:r>
              <w:rPr>
                <w:rFonts w:ascii="宋体" w:hAnsi="宋体" w:eastAsia="宋体" w:cs="宋体"/>
                <w:b w:val="0"/>
              </w:rPr>
              <w:t>10,000,388.92</w:t>
            </w:r>
          </w:p>
        </w:tc>
        <w:tc>
          <w:tcPr>
            <w:tcW w:w="0" w:type="dxa"/>
            <w:vAlign w:val="center"/>
          </w:tcPr>
          <w:p w14:paraId="3353092C">
            <w:pPr>
              <w:spacing w:line="240" w:lineRule="auto"/>
              <w:jc w:val="right"/>
            </w:pPr>
            <w:r>
              <w:rPr>
                <w:rFonts w:ascii="宋体" w:hAnsi="宋体" w:eastAsia="宋体" w:cs="宋体"/>
                <w:b w:val="0"/>
              </w:rPr>
              <w:t>83.86%</w:t>
            </w:r>
          </w:p>
        </w:tc>
        <w:tc>
          <w:tcPr>
            <w:tcW w:w="0" w:type="dxa"/>
            <w:vAlign w:val="center"/>
          </w:tcPr>
          <w:p w14:paraId="449631E6">
            <w:pPr>
              <w:spacing w:line="240" w:lineRule="auto"/>
              <w:jc w:val="right"/>
            </w:pPr>
            <w:r>
              <w:rPr>
                <w:rFonts w:ascii="宋体" w:hAnsi="宋体" w:eastAsia="宋体" w:cs="宋体"/>
                <w:b w:val="0"/>
              </w:rPr>
              <w:t>-</w:t>
            </w:r>
          </w:p>
        </w:tc>
      </w:tr>
    </w:tbl>
    <w:p w14:paraId="2AE57875">
      <w:pPr>
        <w:pStyle w:val="2"/>
        <w:jc w:val="center"/>
      </w:pPr>
      <w:bookmarkStart w:id="50" w:name="_Toc22346"/>
      <w:r>
        <w:rPr>
          <w:rFonts w:ascii="宋体" w:hAnsi="宋体" w:eastAsia="宋体" w:cs="宋体"/>
        </w:rPr>
        <w:t>§9 开放式基金份额变动</w:t>
      </w:r>
      <w:bookmarkEnd w:id="50"/>
    </w:p>
    <w:p w14:paraId="68FA57FB">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1912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11333278">
            <w:pPr>
              <w:spacing w:line="240" w:lineRule="auto"/>
              <w:jc w:val="center"/>
            </w:pPr>
          </w:p>
        </w:tc>
        <w:tc>
          <w:tcPr>
            <w:tcW w:w="1300" w:type="pct"/>
            <w:vAlign w:val="center"/>
          </w:tcPr>
          <w:p w14:paraId="35979C39">
            <w:pPr>
              <w:spacing w:line="240" w:lineRule="auto"/>
              <w:jc w:val="center"/>
            </w:pPr>
            <w:r>
              <w:rPr>
                <w:rFonts w:ascii="宋体" w:hAnsi="宋体" w:eastAsia="宋体" w:cs="宋体"/>
                <w:b w:val="0"/>
              </w:rPr>
              <w:t>东方阿尔法科技优选混合发起A</w:t>
            </w:r>
          </w:p>
        </w:tc>
        <w:tc>
          <w:tcPr>
            <w:tcW w:w="1300" w:type="pct"/>
            <w:vAlign w:val="center"/>
          </w:tcPr>
          <w:p w14:paraId="7B426239">
            <w:pPr>
              <w:spacing w:line="240" w:lineRule="auto"/>
              <w:jc w:val="center"/>
            </w:pPr>
            <w:r>
              <w:rPr>
                <w:rFonts w:ascii="宋体" w:hAnsi="宋体" w:eastAsia="宋体" w:cs="宋体"/>
                <w:b w:val="0"/>
              </w:rPr>
              <w:t>东方阿尔法科技优选混合发起C</w:t>
            </w:r>
          </w:p>
        </w:tc>
      </w:tr>
      <w:tr w14:paraId="3833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F6EC8">
            <w:pPr>
              <w:spacing w:line="240" w:lineRule="auto"/>
              <w:jc w:val="left"/>
            </w:pPr>
            <w:r>
              <w:rPr>
                <w:rFonts w:ascii="宋体" w:hAnsi="宋体" w:eastAsia="宋体" w:cs="宋体"/>
                <w:b w:val="0"/>
              </w:rPr>
              <w:t>基金合同生效日（2025年06月06日）基金份额总额</w:t>
            </w:r>
          </w:p>
        </w:tc>
        <w:tc>
          <w:tcPr>
            <w:tcW w:w="1300" w:type="pct"/>
            <w:vAlign w:val="center"/>
          </w:tcPr>
          <w:p w14:paraId="789B979E">
            <w:pPr>
              <w:spacing w:line="240" w:lineRule="auto"/>
              <w:jc w:val="right"/>
            </w:pPr>
            <w:r>
              <w:rPr>
                <w:rFonts w:ascii="宋体" w:hAnsi="宋体" w:eastAsia="宋体" w:cs="宋体"/>
                <w:b w:val="0"/>
              </w:rPr>
              <w:t>11,871,621.31</w:t>
            </w:r>
          </w:p>
        </w:tc>
        <w:tc>
          <w:tcPr>
            <w:tcW w:w="1300" w:type="pct"/>
            <w:vAlign w:val="center"/>
          </w:tcPr>
          <w:p w14:paraId="3B9AB266">
            <w:pPr>
              <w:spacing w:line="240" w:lineRule="auto"/>
              <w:jc w:val="right"/>
            </w:pPr>
            <w:r>
              <w:rPr>
                <w:rFonts w:ascii="宋体" w:hAnsi="宋体" w:eastAsia="宋体" w:cs="宋体"/>
                <w:b w:val="0"/>
              </w:rPr>
              <w:t>4,290.13</w:t>
            </w:r>
          </w:p>
        </w:tc>
      </w:tr>
      <w:tr w14:paraId="4CAE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D0186D">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1E178D88">
            <w:pPr>
              <w:spacing w:line="240" w:lineRule="auto"/>
              <w:jc w:val="right"/>
            </w:pPr>
            <w:r>
              <w:rPr>
                <w:rFonts w:ascii="宋体" w:hAnsi="宋体" w:eastAsia="宋体" w:cs="宋体"/>
                <w:b w:val="0"/>
              </w:rPr>
              <w:t>795.82</w:t>
            </w:r>
          </w:p>
        </w:tc>
        <w:tc>
          <w:tcPr>
            <w:tcW w:w="1300" w:type="pct"/>
            <w:vAlign w:val="center"/>
          </w:tcPr>
          <w:p w14:paraId="70EFD812">
            <w:pPr>
              <w:spacing w:line="240" w:lineRule="auto"/>
              <w:jc w:val="right"/>
            </w:pPr>
            <w:r>
              <w:rPr>
                <w:rFonts w:ascii="宋体" w:hAnsi="宋体" w:eastAsia="宋体" w:cs="宋体"/>
                <w:b w:val="0"/>
              </w:rPr>
              <w:t>49,572.58</w:t>
            </w:r>
          </w:p>
        </w:tc>
      </w:tr>
      <w:tr w14:paraId="3CFE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FF7E7E">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7BDDDF2E">
            <w:pPr>
              <w:spacing w:line="240" w:lineRule="auto"/>
              <w:jc w:val="right"/>
            </w:pPr>
            <w:r>
              <w:rPr>
                <w:rFonts w:ascii="宋体" w:hAnsi="宋体" w:eastAsia="宋体" w:cs="宋体"/>
                <w:b w:val="0"/>
              </w:rPr>
              <w:t>998.80</w:t>
            </w:r>
          </w:p>
        </w:tc>
        <w:tc>
          <w:tcPr>
            <w:tcW w:w="1300" w:type="pct"/>
            <w:vAlign w:val="center"/>
          </w:tcPr>
          <w:p w14:paraId="7050C352">
            <w:pPr>
              <w:spacing w:line="240" w:lineRule="auto"/>
              <w:jc w:val="right"/>
            </w:pPr>
            <w:r>
              <w:rPr>
                <w:rFonts w:ascii="宋体" w:hAnsi="宋体" w:eastAsia="宋体" w:cs="宋体"/>
                <w:b w:val="0"/>
              </w:rPr>
              <w:t>174.01</w:t>
            </w:r>
          </w:p>
        </w:tc>
      </w:tr>
      <w:tr w14:paraId="53D0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C0F635">
            <w:pPr>
              <w:spacing w:line="240" w:lineRule="auto"/>
              <w:jc w:val="left"/>
            </w:pPr>
            <w:r>
              <w:rPr>
                <w:rFonts w:ascii="宋体" w:hAnsi="宋体" w:eastAsia="宋体" w:cs="宋体"/>
                <w:b w:val="0"/>
              </w:rPr>
              <w:t>基金合同生效日起至报告期期末基金拆分变动份额（份额减少以“-”填列）</w:t>
            </w:r>
          </w:p>
        </w:tc>
        <w:tc>
          <w:tcPr>
            <w:tcW w:w="1300" w:type="pct"/>
            <w:vAlign w:val="center"/>
          </w:tcPr>
          <w:p w14:paraId="3DBC27E1">
            <w:pPr>
              <w:spacing w:line="240" w:lineRule="auto"/>
              <w:jc w:val="right"/>
            </w:pPr>
            <w:r>
              <w:rPr>
                <w:rFonts w:ascii="宋体" w:hAnsi="宋体" w:eastAsia="宋体" w:cs="宋体"/>
                <w:b w:val="0"/>
              </w:rPr>
              <w:t>-</w:t>
            </w:r>
          </w:p>
        </w:tc>
        <w:tc>
          <w:tcPr>
            <w:tcW w:w="1300" w:type="pct"/>
            <w:vAlign w:val="center"/>
          </w:tcPr>
          <w:p w14:paraId="300C1FF6">
            <w:pPr>
              <w:spacing w:line="240" w:lineRule="auto"/>
              <w:jc w:val="right"/>
            </w:pPr>
            <w:r>
              <w:rPr>
                <w:rFonts w:ascii="宋体" w:hAnsi="宋体" w:eastAsia="宋体" w:cs="宋体"/>
                <w:b w:val="0"/>
              </w:rPr>
              <w:t>-</w:t>
            </w:r>
          </w:p>
        </w:tc>
      </w:tr>
      <w:tr w14:paraId="025E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02E515">
            <w:pPr>
              <w:spacing w:line="240" w:lineRule="auto"/>
              <w:jc w:val="left"/>
            </w:pPr>
            <w:r>
              <w:rPr>
                <w:rFonts w:ascii="宋体" w:hAnsi="宋体" w:eastAsia="宋体" w:cs="宋体"/>
                <w:b w:val="0"/>
              </w:rPr>
              <w:t>本报告期期末基金份额总额</w:t>
            </w:r>
          </w:p>
        </w:tc>
        <w:tc>
          <w:tcPr>
            <w:tcW w:w="1300" w:type="pct"/>
            <w:vAlign w:val="center"/>
          </w:tcPr>
          <w:p w14:paraId="329A4A67">
            <w:pPr>
              <w:spacing w:line="240" w:lineRule="auto"/>
              <w:jc w:val="right"/>
            </w:pPr>
            <w:r>
              <w:rPr>
                <w:rFonts w:ascii="宋体" w:hAnsi="宋体" w:eastAsia="宋体" w:cs="宋体"/>
                <w:b w:val="0"/>
              </w:rPr>
              <w:t>11,871,418.33</w:t>
            </w:r>
          </w:p>
        </w:tc>
        <w:tc>
          <w:tcPr>
            <w:tcW w:w="1300" w:type="pct"/>
            <w:vAlign w:val="center"/>
          </w:tcPr>
          <w:p w14:paraId="7C1D6346">
            <w:pPr>
              <w:spacing w:line="240" w:lineRule="auto"/>
              <w:jc w:val="right"/>
            </w:pPr>
            <w:r>
              <w:rPr>
                <w:rFonts w:ascii="宋体" w:hAnsi="宋体" w:eastAsia="宋体" w:cs="宋体"/>
                <w:b w:val="0"/>
              </w:rPr>
              <w:t>53,688.70</w:t>
            </w:r>
          </w:p>
        </w:tc>
      </w:tr>
    </w:tbl>
    <w:p w14:paraId="6F961639">
      <w:pPr>
        <w:pStyle w:val="2"/>
        <w:jc w:val="center"/>
      </w:pPr>
      <w:bookmarkStart w:id="51" w:name="_Toc30282"/>
      <w:r>
        <w:rPr>
          <w:rFonts w:ascii="宋体" w:hAnsi="宋体" w:eastAsia="宋体" w:cs="宋体"/>
        </w:rPr>
        <w:t>§10 重大事件揭示</w:t>
      </w:r>
      <w:bookmarkEnd w:id="51"/>
    </w:p>
    <w:p w14:paraId="5AD412E0">
      <w:pPr>
        <w:pStyle w:val="3"/>
        <w:jc w:val="left"/>
      </w:pPr>
      <w:bookmarkStart w:id="52" w:name="_Toc3699"/>
      <w:r>
        <w:rPr>
          <w:rFonts w:ascii="宋体" w:hAnsi="宋体" w:eastAsia="宋体" w:cs="宋体"/>
        </w:rPr>
        <w:t>10.1 基金份额持有人大会决议</w:t>
      </w:r>
      <w:bookmarkEnd w:id="52"/>
    </w:p>
    <w:p w14:paraId="25F76786">
      <w:pPr>
        <w:jc w:val="left"/>
      </w:pPr>
      <w:r>
        <w:rPr>
          <w:rFonts w:ascii="宋体" w:hAnsi="宋体" w:eastAsia="宋体" w:cs="宋体"/>
          <w:b w:val="0"/>
        </w:rPr>
        <w:t xml:space="preserve">    本报告期内无基金份额持有人大会决议。</w:t>
      </w:r>
    </w:p>
    <w:p w14:paraId="0FEA4025"/>
    <w:p w14:paraId="0CAA820A">
      <w:pPr>
        <w:pStyle w:val="3"/>
        <w:jc w:val="left"/>
      </w:pPr>
      <w:bookmarkStart w:id="53" w:name="_Toc13738"/>
      <w:r>
        <w:rPr>
          <w:rFonts w:ascii="宋体" w:hAnsi="宋体" w:eastAsia="宋体" w:cs="宋体"/>
        </w:rPr>
        <w:t>10.2 基金管理人、基金托管人的专门基金托管部门的重大人事变动</w:t>
      </w:r>
      <w:bookmarkEnd w:id="53"/>
    </w:p>
    <w:p w14:paraId="5A5C14CB">
      <w:pPr>
        <w:jc w:val="left"/>
      </w:pPr>
      <w:r>
        <w:rPr>
          <w:rFonts w:ascii="宋体" w:hAnsi="宋体" w:eastAsia="宋体" w:cs="宋体"/>
          <w:b w:val="0"/>
        </w:rPr>
        <w:t xml:space="preserve">    本报告期内，基金管理人、托管人的专门基金托管部门无重大人事变动。</w:t>
      </w:r>
    </w:p>
    <w:p w14:paraId="1DC62D50"/>
    <w:p w14:paraId="18D81651">
      <w:pPr>
        <w:pStyle w:val="3"/>
        <w:jc w:val="left"/>
      </w:pPr>
      <w:bookmarkStart w:id="54" w:name="_Toc17249"/>
      <w:r>
        <w:rPr>
          <w:rFonts w:ascii="宋体" w:hAnsi="宋体" w:eastAsia="宋体" w:cs="宋体"/>
        </w:rPr>
        <w:t>10.3 涉及基金管理人、基金财产、基金托管业务的诉讼</w:t>
      </w:r>
      <w:bookmarkEnd w:id="54"/>
    </w:p>
    <w:p w14:paraId="76A6C9AA">
      <w:pPr>
        <w:jc w:val="left"/>
      </w:pPr>
      <w:r>
        <w:rPr>
          <w:rFonts w:ascii="宋体" w:hAnsi="宋体" w:eastAsia="宋体" w:cs="宋体"/>
          <w:b w:val="0"/>
        </w:rPr>
        <w:t xml:space="preserve">    本报告期内，无涉及基金管理人、基金财产、基金托管业务的诉讼。</w:t>
      </w:r>
    </w:p>
    <w:p w14:paraId="1F5AA509"/>
    <w:p w14:paraId="790B8EB0">
      <w:pPr>
        <w:pStyle w:val="3"/>
        <w:jc w:val="left"/>
      </w:pPr>
      <w:bookmarkStart w:id="55" w:name="_Toc22748"/>
      <w:r>
        <w:rPr>
          <w:rFonts w:ascii="宋体" w:hAnsi="宋体" w:eastAsia="宋体" w:cs="宋体"/>
        </w:rPr>
        <w:t>10.4 基金投资策略的改变</w:t>
      </w:r>
      <w:bookmarkEnd w:id="55"/>
    </w:p>
    <w:p w14:paraId="289F2C10">
      <w:pPr>
        <w:jc w:val="left"/>
      </w:pPr>
      <w:r>
        <w:rPr>
          <w:rFonts w:ascii="宋体" w:hAnsi="宋体" w:eastAsia="宋体" w:cs="宋体"/>
          <w:b w:val="0"/>
        </w:rPr>
        <w:t xml:space="preserve">    本报告期内本基金投资策略未改变。</w:t>
      </w:r>
    </w:p>
    <w:p w14:paraId="35D7F2E6"/>
    <w:p w14:paraId="0A5E86E1">
      <w:pPr>
        <w:pStyle w:val="3"/>
        <w:jc w:val="left"/>
      </w:pPr>
      <w:bookmarkStart w:id="56" w:name="_Toc17017"/>
      <w:r>
        <w:rPr>
          <w:rFonts w:ascii="宋体" w:hAnsi="宋体" w:eastAsia="宋体" w:cs="宋体"/>
        </w:rPr>
        <w:t>10.5 为基金进行审计的会计师事务所情况</w:t>
      </w:r>
      <w:bookmarkEnd w:id="56"/>
    </w:p>
    <w:p w14:paraId="21F568B5">
      <w:pPr>
        <w:jc w:val="left"/>
      </w:pPr>
      <w:r>
        <w:rPr>
          <w:rFonts w:ascii="宋体" w:hAnsi="宋体" w:eastAsia="宋体" w:cs="宋体"/>
          <w:b w:val="0"/>
        </w:rPr>
        <w:t xml:space="preserve">    本报告期内本基金未更换会计师事务所。</w:t>
      </w:r>
    </w:p>
    <w:p w14:paraId="3121D2BF"/>
    <w:p w14:paraId="17CB007D">
      <w:pPr>
        <w:pStyle w:val="3"/>
        <w:jc w:val="left"/>
      </w:pPr>
      <w:bookmarkStart w:id="57" w:name="_Toc5543"/>
      <w:r>
        <w:rPr>
          <w:rFonts w:ascii="宋体" w:hAnsi="宋体" w:eastAsia="宋体" w:cs="宋体"/>
        </w:rPr>
        <w:t>10.6 管理人、托管人及其高级管理人员受稽查或处罚等情况</w:t>
      </w:r>
      <w:bookmarkEnd w:id="57"/>
    </w:p>
    <w:p w14:paraId="466D51DF">
      <w:r>
        <w:rPr>
          <w:rFonts w:ascii="宋体" w:hAnsi="宋体" w:eastAsia="宋体" w:cs="宋体"/>
          <w:b/>
        </w:rPr>
        <w:t>10.6.1 管理人及其高级管理人员受稽查或处罚等情况</w:t>
      </w:r>
    </w:p>
    <w:p w14:paraId="6D1B1CAB">
      <w:pPr>
        <w:jc w:val="left"/>
      </w:pPr>
      <w:r>
        <w:rPr>
          <w:rFonts w:ascii="宋体" w:hAnsi="宋体" w:eastAsia="宋体" w:cs="宋体"/>
          <w:b w:val="0"/>
        </w:rPr>
        <w:t xml:space="preserve">    本报告期内，基金管理人及其高级管理人员未受监管部门稽查或处罚。</w:t>
      </w:r>
    </w:p>
    <w:p w14:paraId="5F4D34DA"/>
    <w:p w14:paraId="419472C0">
      <w:r>
        <w:rPr>
          <w:rFonts w:ascii="宋体" w:hAnsi="宋体" w:eastAsia="宋体" w:cs="宋体"/>
          <w:b/>
        </w:rPr>
        <w:t>10.6.2 托管人及其高级管理人员受稽查或处罚等情况</w:t>
      </w:r>
    </w:p>
    <w:p w14:paraId="374B8ABB">
      <w:pPr>
        <w:jc w:val="left"/>
      </w:pPr>
      <w:r>
        <w:rPr>
          <w:rFonts w:ascii="宋体" w:hAnsi="宋体" w:eastAsia="宋体" w:cs="宋体"/>
          <w:b w:val="0"/>
        </w:rPr>
        <w:t xml:space="preserve">    本报告期内，基金托管人及其高级管理人员未受监管部门稽查或处罚。</w:t>
      </w:r>
    </w:p>
    <w:p w14:paraId="0E6DA0EB"/>
    <w:p w14:paraId="598EE42B">
      <w:pPr>
        <w:pStyle w:val="3"/>
        <w:jc w:val="left"/>
      </w:pPr>
      <w:bookmarkStart w:id="58" w:name="_Toc379"/>
      <w:r>
        <w:rPr>
          <w:rFonts w:ascii="宋体" w:hAnsi="宋体" w:eastAsia="宋体" w:cs="宋体"/>
        </w:rPr>
        <w:t>10.7 基金租用证券公司交易单元的有关情况</w:t>
      </w:r>
      <w:bookmarkEnd w:id="58"/>
    </w:p>
    <w:p w14:paraId="010069B7">
      <w:r>
        <w:rPr>
          <w:rFonts w:ascii="宋体" w:hAnsi="宋体" w:eastAsia="宋体" w:cs="宋体"/>
          <w:b/>
        </w:rPr>
        <w:t>10.7.1 基金租用证券公司交易单元进行股票投资及佣金支付情况</w:t>
      </w:r>
    </w:p>
    <w:p w14:paraId="4CE2571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116"/>
        <w:gridCol w:w="1581"/>
        <w:gridCol w:w="1437"/>
        <w:gridCol w:w="1161"/>
        <w:gridCol w:w="1437"/>
        <w:gridCol w:w="1438"/>
      </w:tblGrid>
      <w:tr w14:paraId="721C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117340CE">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20A06C43">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2C0D2D03">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7222DF27">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0A86791B">
            <w:pPr>
              <w:spacing w:line="240" w:lineRule="auto"/>
              <w:jc w:val="center"/>
            </w:pPr>
            <w:r>
              <w:rPr>
                <w:rFonts w:ascii="宋体" w:hAnsi="宋体" w:eastAsia="宋体" w:cs="宋体"/>
                <w:b w:val="0"/>
              </w:rPr>
              <w:t>备注</w:t>
            </w:r>
          </w:p>
        </w:tc>
      </w:tr>
      <w:tr w14:paraId="65CB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1AA4F83"/>
        </w:tc>
        <w:tc>
          <w:tcPr>
            <w:vMerge w:val="continue"/>
          </w:tcPr>
          <w:p w14:paraId="7641E099"/>
        </w:tc>
        <w:tc>
          <w:tcPr>
            <w:tcW w:w="462" w:type="pct"/>
            <w:shd w:val="clear" w:color="auto" w:fill="D9D9D9"/>
            <w:vAlign w:val="center"/>
          </w:tcPr>
          <w:p w14:paraId="45FA713F">
            <w:pPr>
              <w:spacing w:line="240" w:lineRule="auto"/>
              <w:jc w:val="center"/>
            </w:pPr>
            <w:r>
              <w:rPr>
                <w:rFonts w:ascii="宋体" w:hAnsi="宋体" w:eastAsia="宋体" w:cs="宋体"/>
                <w:b w:val="0"/>
              </w:rPr>
              <w:t>成交金额</w:t>
            </w:r>
          </w:p>
        </w:tc>
        <w:tc>
          <w:tcPr>
            <w:tcW w:w="769" w:type="pct"/>
            <w:shd w:val="clear" w:color="auto" w:fill="D9D9D9"/>
            <w:vAlign w:val="center"/>
          </w:tcPr>
          <w:p w14:paraId="35FDC0E9">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0D3B322C">
            <w:pPr>
              <w:spacing w:line="240" w:lineRule="auto"/>
              <w:jc w:val="center"/>
            </w:pPr>
            <w:r>
              <w:rPr>
                <w:rFonts w:ascii="宋体" w:hAnsi="宋体" w:eastAsia="宋体" w:cs="宋体"/>
                <w:b w:val="0"/>
              </w:rPr>
              <w:t>佣金</w:t>
            </w:r>
          </w:p>
        </w:tc>
        <w:tc>
          <w:tcPr>
            <w:tcW w:w="769" w:type="pct"/>
            <w:shd w:val="clear" w:color="auto" w:fill="D9D9D9"/>
            <w:vAlign w:val="center"/>
          </w:tcPr>
          <w:p w14:paraId="67D62300">
            <w:pPr>
              <w:spacing w:line="240" w:lineRule="auto"/>
              <w:jc w:val="center"/>
            </w:pPr>
            <w:r>
              <w:rPr>
                <w:rFonts w:ascii="宋体" w:hAnsi="宋体" w:eastAsia="宋体" w:cs="宋体"/>
                <w:b w:val="0"/>
              </w:rPr>
              <w:t>占当期佣金总量的比例</w:t>
            </w:r>
          </w:p>
        </w:tc>
        <w:tc>
          <w:tcPr>
            <w:vMerge w:val="continue"/>
          </w:tcPr>
          <w:p w14:paraId="40C823EA"/>
        </w:tc>
      </w:tr>
      <w:tr w14:paraId="57C2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B25A51">
            <w:pPr>
              <w:spacing w:line="240" w:lineRule="auto"/>
              <w:jc w:val="left"/>
            </w:pPr>
            <w:r>
              <w:rPr>
                <w:rFonts w:ascii="宋体" w:hAnsi="宋体" w:eastAsia="宋体" w:cs="宋体"/>
                <w:b w:val="0"/>
              </w:rPr>
              <w:t>东方财富证券</w:t>
            </w:r>
          </w:p>
        </w:tc>
        <w:tc>
          <w:tcPr>
            <w:tcW w:w="0" w:type="dxa"/>
          </w:tcPr>
          <w:p w14:paraId="123B5D7B">
            <w:pPr>
              <w:spacing w:line="240" w:lineRule="auto"/>
              <w:jc w:val="right"/>
            </w:pPr>
            <w:r>
              <w:rPr>
                <w:rFonts w:ascii="宋体" w:hAnsi="宋体" w:eastAsia="宋体" w:cs="宋体"/>
                <w:b w:val="0"/>
              </w:rPr>
              <w:t>3</w:t>
            </w:r>
          </w:p>
        </w:tc>
        <w:tc>
          <w:tcPr>
            <w:tcW w:w="0" w:type="dxa"/>
          </w:tcPr>
          <w:p w14:paraId="67342204">
            <w:pPr>
              <w:spacing w:line="240" w:lineRule="auto"/>
              <w:jc w:val="right"/>
            </w:pPr>
            <w:r>
              <w:rPr>
                <w:rFonts w:ascii="宋体" w:hAnsi="宋体" w:eastAsia="宋体" w:cs="宋体"/>
                <w:b w:val="0"/>
              </w:rPr>
              <w:t>30,802,105.44</w:t>
            </w:r>
          </w:p>
        </w:tc>
        <w:tc>
          <w:tcPr>
            <w:tcW w:w="0" w:type="dxa"/>
          </w:tcPr>
          <w:p w14:paraId="2B701A1A">
            <w:pPr>
              <w:spacing w:line="240" w:lineRule="auto"/>
              <w:jc w:val="right"/>
            </w:pPr>
            <w:r>
              <w:rPr>
                <w:rFonts w:ascii="宋体" w:hAnsi="宋体" w:eastAsia="宋体" w:cs="宋体"/>
                <w:b w:val="0"/>
              </w:rPr>
              <w:t>100.00%</w:t>
            </w:r>
          </w:p>
        </w:tc>
        <w:tc>
          <w:tcPr>
            <w:tcW w:w="0" w:type="dxa"/>
          </w:tcPr>
          <w:p w14:paraId="112CC90A">
            <w:pPr>
              <w:spacing w:line="240" w:lineRule="auto"/>
              <w:jc w:val="right"/>
            </w:pPr>
            <w:r>
              <w:rPr>
                <w:rFonts w:ascii="宋体" w:hAnsi="宋体" w:eastAsia="宋体" w:cs="宋体"/>
                <w:b w:val="0"/>
              </w:rPr>
              <w:t>11,363.97</w:t>
            </w:r>
          </w:p>
        </w:tc>
        <w:tc>
          <w:tcPr>
            <w:tcW w:w="0" w:type="dxa"/>
          </w:tcPr>
          <w:p w14:paraId="34A73B00">
            <w:pPr>
              <w:spacing w:line="240" w:lineRule="auto"/>
              <w:jc w:val="right"/>
            </w:pPr>
            <w:r>
              <w:rPr>
                <w:rFonts w:ascii="宋体" w:hAnsi="宋体" w:eastAsia="宋体" w:cs="宋体"/>
                <w:b w:val="0"/>
              </w:rPr>
              <w:t>100.00%</w:t>
            </w:r>
          </w:p>
        </w:tc>
        <w:tc>
          <w:tcPr>
            <w:tcW w:w="0" w:type="dxa"/>
          </w:tcPr>
          <w:p w14:paraId="150D2F23">
            <w:pPr>
              <w:spacing w:line="240" w:lineRule="auto"/>
              <w:jc w:val="left"/>
            </w:pPr>
            <w:r>
              <w:rPr>
                <w:rFonts w:ascii="宋体" w:hAnsi="宋体" w:eastAsia="宋体" w:cs="宋体"/>
                <w:b w:val="0"/>
              </w:rPr>
              <w:t>-</w:t>
            </w:r>
          </w:p>
        </w:tc>
      </w:tr>
    </w:tbl>
    <w:p w14:paraId="736D39EC">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 xml:space="preserve">（1）本基金报告期内新增租用交易单元情况：本报告期内新增东方财富证券上海交易单元1个、深圳交易单元1个、北京交易单元1个。 </w:t>
      </w:r>
      <w:r>
        <w:rPr>
          <w:rFonts w:ascii="宋体" w:hAnsi="宋体" w:eastAsia="宋体" w:cs="宋体"/>
          <w:b w:val="0"/>
        </w:rPr>
        <w:cr/>
      </w:r>
      <w:r>
        <w:rPr>
          <w:rFonts w:ascii="宋体" w:hAnsi="宋体" w:eastAsia="宋体" w:cs="宋体"/>
          <w:b w:val="0"/>
        </w:rPr>
        <w:t>（2）本基金报告期内停止租用交易单元情况：无。</w:t>
      </w:r>
    </w:p>
    <w:p w14:paraId="19D891A0"/>
    <w:p w14:paraId="1E64E02B">
      <w:r>
        <w:rPr>
          <w:rFonts w:ascii="宋体" w:hAnsi="宋体" w:eastAsia="宋体" w:cs="宋体"/>
          <w:b/>
        </w:rPr>
        <w:t>10.7.2 基金租用证券公司交易单元进行其他证券投资的情况</w:t>
      </w:r>
    </w:p>
    <w:p w14:paraId="23033B7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266"/>
        <w:gridCol w:w="967"/>
        <w:gridCol w:w="966"/>
        <w:gridCol w:w="968"/>
        <w:gridCol w:w="966"/>
        <w:gridCol w:w="968"/>
        <w:gridCol w:w="966"/>
        <w:gridCol w:w="968"/>
      </w:tblGrid>
      <w:tr w14:paraId="25D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shd w:val="clear" w:color="auto" w:fill="D9D9D9"/>
            <w:vAlign w:val="center"/>
          </w:tcPr>
          <w:p w14:paraId="6EC25774">
            <w:pPr>
              <w:spacing w:line="240" w:lineRule="auto"/>
              <w:jc w:val="center"/>
            </w:pPr>
            <w:r>
              <w:rPr>
                <w:rFonts w:ascii="宋体" w:hAnsi="宋体" w:eastAsia="宋体" w:cs="宋体"/>
                <w:b w:val="0"/>
              </w:rPr>
              <w:t>券商名称</w:t>
            </w:r>
          </w:p>
        </w:tc>
        <w:tc>
          <w:tcPr>
            <w:tcW w:w="1077" w:type="pct"/>
            <w:gridSpan w:val="2"/>
            <w:shd w:val="clear" w:color="auto" w:fill="D9D9D9"/>
            <w:vAlign w:val="center"/>
          </w:tcPr>
          <w:p w14:paraId="425D7334">
            <w:pPr>
              <w:spacing w:line="240" w:lineRule="auto"/>
              <w:jc w:val="center"/>
            </w:pPr>
            <w:r>
              <w:rPr>
                <w:rFonts w:ascii="宋体" w:hAnsi="宋体" w:eastAsia="宋体" w:cs="宋体"/>
                <w:b w:val="0"/>
              </w:rPr>
              <w:t>债券交易</w:t>
            </w:r>
          </w:p>
        </w:tc>
        <w:tc>
          <w:tcPr>
            <w:tcW w:w="1077" w:type="pct"/>
            <w:gridSpan w:val="2"/>
            <w:shd w:val="clear" w:color="auto" w:fill="D9D9D9"/>
            <w:vAlign w:val="center"/>
          </w:tcPr>
          <w:p w14:paraId="66626D29">
            <w:pPr>
              <w:spacing w:line="240" w:lineRule="auto"/>
              <w:jc w:val="center"/>
            </w:pPr>
            <w:r>
              <w:rPr>
                <w:rFonts w:ascii="宋体" w:hAnsi="宋体" w:eastAsia="宋体" w:cs="宋体"/>
                <w:b w:val="0"/>
              </w:rPr>
              <w:t>债券回购交易</w:t>
            </w:r>
          </w:p>
        </w:tc>
        <w:tc>
          <w:tcPr>
            <w:tcW w:w="1077" w:type="pct"/>
            <w:gridSpan w:val="2"/>
            <w:shd w:val="clear" w:color="auto" w:fill="D9D9D9"/>
            <w:vAlign w:val="center"/>
          </w:tcPr>
          <w:p w14:paraId="5C5C0928">
            <w:pPr>
              <w:spacing w:line="240" w:lineRule="auto"/>
              <w:jc w:val="center"/>
            </w:pPr>
            <w:r>
              <w:rPr>
                <w:rFonts w:ascii="宋体" w:hAnsi="宋体" w:eastAsia="宋体" w:cs="宋体"/>
                <w:b w:val="0"/>
              </w:rPr>
              <w:t>权证交易</w:t>
            </w:r>
          </w:p>
        </w:tc>
        <w:tc>
          <w:tcPr>
            <w:tcW w:w="1077" w:type="pct"/>
            <w:gridSpan w:val="2"/>
            <w:shd w:val="clear" w:color="auto" w:fill="D9D9D9"/>
            <w:vAlign w:val="center"/>
          </w:tcPr>
          <w:p w14:paraId="1E863D06">
            <w:pPr>
              <w:spacing w:line="240" w:lineRule="auto"/>
              <w:jc w:val="center"/>
            </w:pPr>
            <w:r>
              <w:rPr>
                <w:rFonts w:ascii="宋体" w:hAnsi="宋体" w:eastAsia="宋体" w:cs="宋体"/>
                <w:b w:val="0"/>
              </w:rPr>
              <w:t>基金交易</w:t>
            </w:r>
          </w:p>
        </w:tc>
      </w:tr>
      <w:tr w14:paraId="3CC7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5AD42EF"/>
        </w:tc>
        <w:tc>
          <w:tcPr>
            <w:tcW w:w="538" w:type="pct"/>
            <w:shd w:val="clear" w:color="auto" w:fill="D9D9D9"/>
            <w:vAlign w:val="center"/>
          </w:tcPr>
          <w:p w14:paraId="0A7C0A00">
            <w:pPr>
              <w:spacing w:line="240" w:lineRule="auto"/>
              <w:jc w:val="center"/>
            </w:pPr>
            <w:r>
              <w:rPr>
                <w:rFonts w:ascii="宋体" w:hAnsi="宋体" w:eastAsia="宋体" w:cs="宋体"/>
                <w:b w:val="0"/>
              </w:rPr>
              <w:t>成交金额</w:t>
            </w:r>
          </w:p>
        </w:tc>
        <w:tc>
          <w:tcPr>
            <w:tcW w:w="538" w:type="pct"/>
            <w:shd w:val="clear" w:color="auto" w:fill="D9D9D9"/>
            <w:vAlign w:val="center"/>
          </w:tcPr>
          <w:p w14:paraId="6234BF5D">
            <w:pPr>
              <w:spacing w:line="240" w:lineRule="auto"/>
              <w:jc w:val="center"/>
            </w:pPr>
            <w:r>
              <w:rPr>
                <w:rFonts w:ascii="宋体" w:hAnsi="宋体" w:eastAsia="宋体" w:cs="宋体"/>
                <w:b w:val="0"/>
              </w:rPr>
              <w:t>占当期债券成交总额的比例</w:t>
            </w:r>
          </w:p>
        </w:tc>
        <w:tc>
          <w:tcPr>
            <w:tcW w:w="538" w:type="pct"/>
            <w:shd w:val="clear" w:color="auto" w:fill="D9D9D9"/>
            <w:vAlign w:val="center"/>
          </w:tcPr>
          <w:p w14:paraId="3149C6D9">
            <w:pPr>
              <w:spacing w:line="240" w:lineRule="auto"/>
              <w:jc w:val="center"/>
            </w:pPr>
            <w:r>
              <w:rPr>
                <w:rFonts w:ascii="宋体" w:hAnsi="宋体" w:eastAsia="宋体" w:cs="宋体"/>
                <w:b w:val="0"/>
              </w:rPr>
              <w:t>成交金额</w:t>
            </w:r>
          </w:p>
        </w:tc>
        <w:tc>
          <w:tcPr>
            <w:tcW w:w="538" w:type="pct"/>
            <w:shd w:val="clear" w:color="auto" w:fill="D9D9D9"/>
            <w:vAlign w:val="center"/>
          </w:tcPr>
          <w:p w14:paraId="5FE29664">
            <w:pPr>
              <w:spacing w:line="240" w:lineRule="auto"/>
              <w:jc w:val="center"/>
            </w:pPr>
            <w:r>
              <w:rPr>
                <w:rFonts w:ascii="宋体" w:hAnsi="宋体" w:eastAsia="宋体" w:cs="宋体"/>
                <w:b w:val="0"/>
              </w:rPr>
              <w:t>占当期债券回购成交总额的比例</w:t>
            </w:r>
          </w:p>
        </w:tc>
        <w:tc>
          <w:tcPr>
            <w:tcW w:w="538" w:type="pct"/>
            <w:shd w:val="clear" w:color="auto" w:fill="D9D9D9"/>
            <w:vAlign w:val="center"/>
          </w:tcPr>
          <w:p w14:paraId="3B039561">
            <w:pPr>
              <w:spacing w:line="240" w:lineRule="auto"/>
              <w:jc w:val="center"/>
            </w:pPr>
            <w:r>
              <w:rPr>
                <w:rFonts w:ascii="宋体" w:hAnsi="宋体" w:eastAsia="宋体" w:cs="宋体"/>
                <w:b w:val="0"/>
              </w:rPr>
              <w:t>成交金额</w:t>
            </w:r>
          </w:p>
        </w:tc>
        <w:tc>
          <w:tcPr>
            <w:tcW w:w="538" w:type="pct"/>
            <w:shd w:val="clear" w:color="auto" w:fill="D9D9D9"/>
            <w:vAlign w:val="center"/>
          </w:tcPr>
          <w:p w14:paraId="65A187CB">
            <w:pPr>
              <w:spacing w:line="240" w:lineRule="auto"/>
              <w:jc w:val="center"/>
            </w:pPr>
            <w:r>
              <w:rPr>
                <w:rFonts w:ascii="宋体" w:hAnsi="宋体" w:eastAsia="宋体" w:cs="宋体"/>
                <w:b w:val="0"/>
              </w:rPr>
              <w:t>占当期权证成交总额的比例</w:t>
            </w:r>
          </w:p>
        </w:tc>
        <w:tc>
          <w:tcPr>
            <w:tcW w:w="538" w:type="pct"/>
            <w:shd w:val="clear" w:color="auto" w:fill="D9D9D9"/>
            <w:vAlign w:val="center"/>
          </w:tcPr>
          <w:p w14:paraId="42B47E44">
            <w:pPr>
              <w:spacing w:line="240" w:lineRule="auto"/>
              <w:jc w:val="center"/>
            </w:pPr>
            <w:r>
              <w:rPr>
                <w:rFonts w:ascii="宋体" w:hAnsi="宋体" w:eastAsia="宋体" w:cs="宋体"/>
                <w:b w:val="0"/>
              </w:rPr>
              <w:t>成交金额</w:t>
            </w:r>
          </w:p>
        </w:tc>
        <w:tc>
          <w:tcPr>
            <w:tcW w:w="538" w:type="pct"/>
            <w:shd w:val="clear" w:color="auto" w:fill="D9D9D9"/>
            <w:vAlign w:val="center"/>
          </w:tcPr>
          <w:p w14:paraId="7EF62209">
            <w:pPr>
              <w:spacing w:line="240" w:lineRule="auto"/>
              <w:jc w:val="center"/>
            </w:pPr>
            <w:r>
              <w:rPr>
                <w:rFonts w:ascii="宋体" w:hAnsi="宋体" w:eastAsia="宋体" w:cs="宋体"/>
                <w:b w:val="0"/>
              </w:rPr>
              <w:t>占当期基金成交总额的比例</w:t>
            </w:r>
          </w:p>
        </w:tc>
      </w:tr>
      <w:tr w14:paraId="5A87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713666DE">
            <w:pPr>
              <w:spacing w:line="240" w:lineRule="auto"/>
              <w:jc w:val="left"/>
            </w:pPr>
            <w:r>
              <w:rPr>
                <w:rFonts w:ascii="宋体" w:hAnsi="宋体" w:eastAsia="宋体" w:cs="宋体"/>
                <w:b w:val="0"/>
              </w:rPr>
              <w:t>东方财富证券</w:t>
            </w:r>
          </w:p>
        </w:tc>
        <w:tc>
          <w:tcPr>
            <w:tcW w:w="538" w:type="pct"/>
            <w:vAlign w:val="center"/>
          </w:tcPr>
          <w:p w14:paraId="06E6D4E7">
            <w:pPr>
              <w:spacing w:line="240" w:lineRule="auto"/>
              <w:jc w:val="right"/>
            </w:pPr>
            <w:r>
              <w:rPr>
                <w:rFonts w:ascii="宋体" w:hAnsi="宋体" w:eastAsia="宋体" w:cs="宋体"/>
                <w:b w:val="0"/>
              </w:rPr>
              <w:t>599,160.00</w:t>
            </w:r>
          </w:p>
        </w:tc>
        <w:tc>
          <w:tcPr>
            <w:tcW w:w="538" w:type="pct"/>
            <w:vAlign w:val="center"/>
          </w:tcPr>
          <w:p w14:paraId="6D7168F4">
            <w:pPr>
              <w:spacing w:line="240" w:lineRule="auto"/>
              <w:jc w:val="right"/>
            </w:pPr>
            <w:r>
              <w:rPr>
                <w:rFonts w:ascii="宋体" w:hAnsi="宋体" w:eastAsia="宋体" w:cs="宋体"/>
                <w:b w:val="0"/>
              </w:rPr>
              <w:t>100.00%</w:t>
            </w:r>
          </w:p>
        </w:tc>
        <w:tc>
          <w:tcPr>
            <w:tcW w:w="538" w:type="pct"/>
            <w:vAlign w:val="center"/>
          </w:tcPr>
          <w:p w14:paraId="269C6EB0">
            <w:pPr>
              <w:spacing w:line="240" w:lineRule="auto"/>
              <w:jc w:val="right"/>
            </w:pPr>
            <w:r>
              <w:rPr>
                <w:rFonts w:ascii="宋体" w:hAnsi="宋体" w:eastAsia="宋体" w:cs="宋体"/>
                <w:b w:val="0"/>
              </w:rPr>
              <w:t>-</w:t>
            </w:r>
          </w:p>
        </w:tc>
        <w:tc>
          <w:tcPr>
            <w:tcW w:w="538" w:type="pct"/>
            <w:vAlign w:val="center"/>
          </w:tcPr>
          <w:p w14:paraId="0EC269C2">
            <w:pPr>
              <w:spacing w:line="240" w:lineRule="auto"/>
              <w:jc w:val="right"/>
            </w:pPr>
            <w:r>
              <w:rPr>
                <w:rFonts w:ascii="宋体" w:hAnsi="宋体" w:eastAsia="宋体" w:cs="宋体"/>
                <w:b w:val="0"/>
              </w:rPr>
              <w:t>-</w:t>
            </w:r>
          </w:p>
        </w:tc>
        <w:tc>
          <w:tcPr>
            <w:tcW w:w="538" w:type="pct"/>
            <w:vAlign w:val="center"/>
          </w:tcPr>
          <w:p w14:paraId="5A4CD5C9">
            <w:pPr>
              <w:spacing w:line="240" w:lineRule="auto"/>
              <w:jc w:val="right"/>
            </w:pPr>
            <w:r>
              <w:rPr>
                <w:rFonts w:ascii="宋体" w:hAnsi="宋体" w:eastAsia="宋体" w:cs="宋体"/>
                <w:b w:val="0"/>
              </w:rPr>
              <w:t>-</w:t>
            </w:r>
          </w:p>
        </w:tc>
        <w:tc>
          <w:tcPr>
            <w:tcW w:w="538" w:type="pct"/>
            <w:vAlign w:val="center"/>
          </w:tcPr>
          <w:p w14:paraId="152228BC">
            <w:pPr>
              <w:spacing w:line="240" w:lineRule="auto"/>
              <w:jc w:val="right"/>
            </w:pPr>
            <w:r>
              <w:rPr>
                <w:rFonts w:ascii="宋体" w:hAnsi="宋体" w:eastAsia="宋体" w:cs="宋体"/>
                <w:b w:val="0"/>
              </w:rPr>
              <w:t>-</w:t>
            </w:r>
          </w:p>
        </w:tc>
        <w:tc>
          <w:tcPr>
            <w:tcW w:w="538" w:type="pct"/>
            <w:vAlign w:val="center"/>
          </w:tcPr>
          <w:p w14:paraId="57BEDBAD">
            <w:pPr>
              <w:spacing w:line="240" w:lineRule="auto"/>
              <w:jc w:val="right"/>
            </w:pPr>
            <w:r>
              <w:rPr>
                <w:rFonts w:ascii="宋体" w:hAnsi="宋体" w:eastAsia="宋体" w:cs="宋体"/>
                <w:b w:val="0"/>
              </w:rPr>
              <w:t>-</w:t>
            </w:r>
          </w:p>
        </w:tc>
        <w:tc>
          <w:tcPr>
            <w:tcW w:w="538" w:type="pct"/>
            <w:vAlign w:val="center"/>
          </w:tcPr>
          <w:p w14:paraId="1DAB0E8C">
            <w:pPr>
              <w:spacing w:line="240" w:lineRule="auto"/>
              <w:jc w:val="right"/>
            </w:pPr>
            <w:r>
              <w:rPr>
                <w:rFonts w:ascii="宋体" w:hAnsi="宋体" w:eastAsia="宋体" w:cs="宋体"/>
                <w:b w:val="0"/>
              </w:rPr>
              <w:t>-</w:t>
            </w:r>
          </w:p>
        </w:tc>
      </w:tr>
    </w:tbl>
    <w:p w14:paraId="34904828">
      <w:r>
        <w:rPr>
          <w:rFonts w:ascii="宋体" w:hAnsi="宋体" w:eastAsia="宋体" w:cs="宋体"/>
          <w:b w:val="0"/>
        </w:rPr>
        <w:t>注：该表格中的债券成交金额是按全价计算的金额。</w:t>
      </w:r>
    </w:p>
    <w:p w14:paraId="6AE8C935"/>
    <w:p w14:paraId="491C9338">
      <w:pPr>
        <w:pStyle w:val="3"/>
        <w:jc w:val="left"/>
      </w:pPr>
      <w:bookmarkStart w:id="59" w:name="_Toc3483"/>
      <w:r>
        <w:rPr>
          <w:rFonts w:ascii="宋体" w:hAnsi="宋体" w:eastAsia="宋体" w:cs="宋体"/>
        </w:rPr>
        <w:t>10.8 其他重大事件</w:t>
      </w:r>
      <w:bookmarkEnd w:id="5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3095"/>
        <w:gridCol w:w="1858"/>
      </w:tblGrid>
      <w:tr w14:paraId="5E5F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BD0D924">
            <w:pPr>
              <w:spacing w:line="240" w:lineRule="auto"/>
              <w:jc w:val="center"/>
            </w:pPr>
            <w:r>
              <w:rPr>
                <w:rFonts w:ascii="宋体" w:hAnsi="宋体" w:eastAsia="宋体" w:cs="宋体"/>
                <w:b w:val="0"/>
              </w:rPr>
              <w:t>序号</w:t>
            </w:r>
          </w:p>
        </w:tc>
        <w:tc>
          <w:tcPr>
            <w:tcW w:w="1538" w:type="pct"/>
            <w:shd w:val="clear" w:color="auto" w:fill="D9D9D9"/>
            <w:vAlign w:val="center"/>
          </w:tcPr>
          <w:p w14:paraId="703F1152">
            <w:pPr>
              <w:spacing w:line="240" w:lineRule="auto"/>
              <w:jc w:val="center"/>
            </w:pPr>
            <w:r>
              <w:rPr>
                <w:rFonts w:ascii="宋体" w:hAnsi="宋体" w:eastAsia="宋体" w:cs="宋体"/>
                <w:b w:val="0"/>
              </w:rPr>
              <w:t>公告事项</w:t>
            </w:r>
          </w:p>
        </w:tc>
        <w:tc>
          <w:tcPr>
            <w:tcW w:w="1538" w:type="pct"/>
            <w:shd w:val="clear" w:color="auto" w:fill="D9D9D9"/>
            <w:vAlign w:val="center"/>
          </w:tcPr>
          <w:p w14:paraId="2B930F3D">
            <w:pPr>
              <w:spacing w:line="240" w:lineRule="auto"/>
              <w:jc w:val="center"/>
            </w:pPr>
            <w:r>
              <w:rPr>
                <w:rFonts w:ascii="宋体" w:hAnsi="宋体" w:eastAsia="宋体" w:cs="宋体"/>
                <w:b w:val="0"/>
              </w:rPr>
              <w:t>法定披露方式</w:t>
            </w:r>
          </w:p>
        </w:tc>
        <w:tc>
          <w:tcPr>
            <w:tcW w:w="923" w:type="pct"/>
            <w:shd w:val="clear" w:color="auto" w:fill="D9D9D9"/>
            <w:vAlign w:val="center"/>
          </w:tcPr>
          <w:p w14:paraId="00C9F5FD">
            <w:pPr>
              <w:spacing w:line="240" w:lineRule="auto"/>
              <w:jc w:val="center"/>
            </w:pPr>
            <w:r>
              <w:rPr>
                <w:rFonts w:ascii="宋体" w:hAnsi="宋体" w:eastAsia="宋体" w:cs="宋体"/>
                <w:b w:val="0"/>
              </w:rPr>
              <w:t>法定披露日期</w:t>
            </w:r>
          </w:p>
        </w:tc>
      </w:tr>
      <w:tr w14:paraId="4D33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CEF6BC">
            <w:pPr>
              <w:spacing w:line="240" w:lineRule="auto"/>
              <w:jc w:val="center"/>
            </w:pPr>
            <w:r>
              <w:rPr>
                <w:rFonts w:ascii="宋体" w:hAnsi="宋体" w:eastAsia="宋体" w:cs="宋体"/>
                <w:b w:val="0"/>
              </w:rPr>
              <w:t>1</w:t>
            </w:r>
          </w:p>
        </w:tc>
        <w:tc>
          <w:tcPr>
            <w:tcW w:w="0" w:type="dxa"/>
            <w:vAlign w:val="center"/>
          </w:tcPr>
          <w:p w14:paraId="7C34A1F9">
            <w:pPr>
              <w:spacing w:line="240" w:lineRule="auto"/>
              <w:jc w:val="left"/>
            </w:pPr>
            <w:r>
              <w:rPr>
                <w:rFonts w:ascii="宋体" w:hAnsi="宋体" w:eastAsia="宋体" w:cs="宋体"/>
                <w:b w:val="0"/>
              </w:rPr>
              <w:t>东方阿尔法科技优选混合型发起式证券投资基金基金合同</w:t>
            </w:r>
          </w:p>
        </w:tc>
        <w:tc>
          <w:tcPr>
            <w:tcW w:w="0" w:type="dxa"/>
            <w:vAlign w:val="center"/>
          </w:tcPr>
          <w:p w14:paraId="5D84336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2FE0396">
            <w:pPr>
              <w:spacing w:line="240" w:lineRule="auto"/>
              <w:jc w:val="center"/>
            </w:pPr>
            <w:r>
              <w:rPr>
                <w:rFonts w:ascii="宋体" w:hAnsi="宋体" w:eastAsia="宋体" w:cs="宋体"/>
                <w:b w:val="0"/>
              </w:rPr>
              <w:t>2025-05-30</w:t>
            </w:r>
          </w:p>
        </w:tc>
      </w:tr>
      <w:tr w14:paraId="667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D3BB92">
            <w:pPr>
              <w:spacing w:line="240" w:lineRule="auto"/>
              <w:jc w:val="center"/>
            </w:pPr>
            <w:r>
              <w:rPr>
                <w:rFonts w:ascii="宋体" w:hAnsi="宋体" w:eastAsia="宋体" w:cs="宋体"/>
                <w:b w:val="0"/>
              </w:rPr>
              <w:t>2</w:t>
            </w:r>
          </w:p>
        </w:tc>
        <w:tc>
          <w:tcPr>
            <w:tcW w:w="0" w:type="dxa"/>
            <w:vAlign w:val="center"/>
          </w:tcPr>
          <w:p w14:paraId="71CC599B">
            <w:pPr>
              <w:spacing w:line="240" w:lineRule="auto"/>
              <w:jc w:val="left"/>
            </w:pPr>
            <w:r>
              <w:rPr>
                <w:rFonts w:ascii="宋体" w:hAnsi="宋体" w:eastAsia="宋体" w:cs="宋体"/>
                <w:b w:val="0"/>
              </w:rPr>
              <w:t>东方阿尔法科技优选混合型发起式证券投资基金托管协议</w:t>
            </w:r>
          </w:p>
        </w:tc>
        <w:tc>
          <w:tcPr>
            <w:tcW w:w="0" w:type="dxa"/>
            <w:vAlign w:val="center"/>
          </w:tcPr>
          <w:p w14:paraId="57160F9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AC68A98">
            <w:pPr>
              <w:spacing w:line="240" w:lineRule="auto"/>
              <w:jc w:val="center"/>
            </w:pPr>
            <w:r>
              <w:rPr>
                <w:rFonts w:ascii="宋体" w:hAnsi="宋体" w:eastAsia="宋体" w:cs="宋体"/>
                <w:b w:val="0"/>
              </w:rPr>
              <w:t>2025-05-30</w:t>
            </w:r>
          </w:p>
        </w:tc>
      </w:tr>
      <w:tr w14:paraId="3C8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907929">
            <w:pPr>
              <w:spacing w:line="240" w:lineRule="auto"/>
              <w:jc w:val="center"/>
            </w:pPr>
            <w:r>
              <w:rPr>
                <w:rFonts w:ascii="宋体" w:hAnsi="宋体" w:eastAsia="宋体" w:cs="宋体"/>
                <w:b w:val="0"/>
              </w:rPr>
              <w:t>3</w:t>
            </w:r>
          </w:p>
        </w:tc>
        <w:tc>
          <w:tcPr>
            <w:tcW w:w="0" w:type="dxa"/>
            <w:vAlign w:val="center"/>
          </w:tcPr>
          <w:p w14:paraId="69847853">
            <w:pPr>
              <w:spacing w:line="240" w:lineRule="auto"/>
              <w:jc w:val="left"/>
            </w:pPr>
            <w:r>
              <w:rPr>
                <w:rFonts w:ascii="宋体" w:hAnsi="宋体" w:eastAsia="宋体" w:cs="宋体"/>
                <w:b w:val="0"/>
              </w:rPr>
              <w:t>东方阿尔法科技优选混合型发起式证券投资基金招募说明书</w:t>
            </w:r>
          </w:p>
        </w:tc>
        <w:tc>
          <w:tcPr>
            <w:tcW w:w="0" w:type="dxa"/>
            <w:vAlign w:val="center"/>
          </w:tcPr>
          <w:p w14:paraId="352E0B0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CDDFB0C">
            <w:pPr>
              <w:spacing w:line="240" w:lineRule="auto"/>
              <w:jc w:val="center"/>
            </w:pPr>
            <w:r>
              <w:rPr>
                <w:rFonts w:ascii="宋体" w:hAnsi="宋体" w:eastAsia="宋体" w:cs="宋体"/>
                <w:b w:val="0"/>
              </w:rPr>
              <w:t>2025-05-30</w:t>
            </w:r>
          </w:p>
        </w:tc>
      </w:tr>
      <w:tr w14:paraId="04BA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E140DF">
            <w:pPr>
              <w:spacing w:line="240" w:lineRule="auto"/>
              <w:jc w:val="center"/>
            </w:pPr>
            <w:r>
              <w:rPr>
                <w:rFonts w:ascii="宋体" w:hAnsi="宋体" w:eastAsia="宋体" w:cs="宋体"/>
                <w:b w:val="0"/>
              </w:rPr>
              <w:t>4</w:t>
            </w:r>
          </w:p>
        </w:tc>
        <w:tc>
          <w:tcPr>
            <w:tcW w:w="0" w:type="dxa"/>
            <w:vAlign w:val="center"/>
          </w:tcPr>
          <w:p w14:paraId="481312EB">
            <w:pPr>
              <w:spacing w:line="240" w:lineRule="auto"/>
              <w:jc w:val="left"/>
            </w:pPr>
            <w:r>
              <w:rPr>
                <w:rFonts w:ascii="宋体" w:hAnsi="宋体" w:eastAsia="宋体" w:cs="宋体"/>
                <w:b w:val="0"/>
              </w:rPr>
              <w:t>东方阿尔法科技优选混合型发起式证券投资基金基金产品资料概要（A类份额/C类份额）</w:t>
            </w:r>
          </w:p>
        </w:tc>
        <w:tc>
          <w:tcPr>
            <w:tcW w:w="0" w:type="dxa"/>
            <w:vAlign w:val="center"/>
          </w:tcPr>
          <w:p w14:paraId="21D37E4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C6132AE">
            <w:pPr>
              <w:spacing w:line="240" w:lineRule="auto"/>
              <w:jc w:val="center"/>
            </w:pPr>
            <w:r>
              <w:rPr>
                <w:rFonts w:ascii="宋体" w:hAnsi="宋体" w:eastAsia="宋体" w:cs="宋体"/>
                <w:b w:val="0"/>
              </w:rPr>
              <w:t>2025-05-30</w:t>
            </w:r>
          </w:p>
        </w:tc>
      </w:tr>
      <w:tr w14:paraId="1A70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FEF4A5">
            <w:pPr>
              <w:spacing w:line="240" w:lineRule="auto"/>
              <w:jc w:val="center"/>
            </w:pPr>
            <w:r>
              <w:rPr>
                <w:rFonts w:ascii="宋体" w:hAnsi="宋体" w:eastAsia="宋体" w:cs="宋体"/>
                <w:b w:val="0"/>
              </w:rPr>
              <w:t>5</w:t>
            </w:r>
          </w:p>
        </w:tc>
        <w:tc>
          <w:tcPr>
            <w:tcW w:w="0" w:type="dxa"/>
            <w:vAlign w:val="center"/>
          </w:tcPr>
          <w:p w14:paraId="38017264">
            <w:pPr>
              <w:spacing w:line="240" w:lineRule="auto"/>
              <w:jc w:val="left"/>
            </w:pPr>
            <w:r>
              <w:rPr>
                <w:rFonts w:ascii="宋体" w:hAnsi="宋体" w:eastAsia="宋体" w:cs="宋体"/>
                <w:b w:val="0"/>
              </w:rPr>
              <w:t>东方阿尔法科技优选混合型发起式证券投资基金基金份额发售公告</w:t>
            </w:r>
          </w:p>
        </w:tc>
        <w:tc>
          <w:tcPr>
            <w:tcW w:w="0" w:type="dxa"/>
            <w:vAlign w:val="center"/>
          </w:tcPr>
          <w:p w14:paraId="35CBD97E">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0DDA1C3D">
            <w:pPr>
              <w:spacing w:line="240" w:lineRule="auto"/>
              <w:jc w:val="center"/>
            </w:pPr>
            <w:r>
              <w:rPr>
                <w:rFonts w:ascii="宋体" w:hAnsi="宋体" w:eastAsia="宋体" w:cs="宋体"/>
                <w:b w:val="0"/>
              </w:rPr>
              <w:t>2025-05-30</w:t>
            </w:r>
          </w:p>
        </w:tc>
      </w:tr>
      <w:tr w14:paraId="00E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43BD2A">
            <w:pPr>
              <w:spacing w:line="240" w:lineRule="auto"/>
              <w:jc w:val="center"/>
            </w:pPr>
            <w:r>
              <w:rPr>
                <w:rFonts w:ascii="宋体" w:hAnsi="宋体" w:eastAsia="宋体" w:cs="宋体"/>
                <w:b w:val="0"/>
              </w:rPr>
              <w:t>6</w:t>
            </w:r>
          </w:p>
        </w:tc>
        <w:tc>
          <w:tcPr>
            <w:tcW w:w="0" w:type="dxa"/>
            <w:vAlign w:val="center"/>
          </w:tcPr>
          <w:p w14:paraId="60868CEB">
            <w:pPr>
              <w:spacing w:line="240" w:lineRule="auto"/>
              <w:jc w:val="left"/>
            </w:pPr>
            <w:r>
              <w:rPr>
                <w:rFonts w:ascii="宋体" w:hAnsi="宋体" w:eastAsia="宋体" w:cs="宋体"/>
                <w:b w:val="0"/>
              </w:rPr>
              <w:t>东方阿尔法科技优选混合型发起式证券投资基金基金合同及招募说明书提示性公告</w:t>
            </w:r>
          </w:p>
        </w:tc>
        <w:tc>
          <w:tcPr>
            <w:tcW w:w="0" w:type="dxa"/>
            <w:vAlign w:val="center"/>
          </w:tcPr>
          <w:p w14:paraId="05FAE544">
            <w:pPr>
              <w:spacing w:line="240" w:lineRule="auto"/>
              <w:jc w:val="left"/>
            </w:pPr>
            <w:r>
              <w:rPr>
                <w:rFonts w:ascii="宋体" w:hAnsi="宋体" w:eastAsia="宋体" w:cs="宋体"/>
                <w:b w:val="0"/>
              </w:rPr>
              <w:t>中国证券报</w:t>
            </w:r>
          </w:p>
        </w:tc>
        <w:tc>
          <w:tcPr>
            <w:tcW w:w="0" w:type="dxa"/>
            <w:vAlign w:val="center"/>
          </w:tcPr>
          <w:p w14:paraId="3BE5D566">
            <w:pPr>
              <w:spacing w:line="240" w:lineRule="auto"/>
              <w:jc w:val="center"/>
            </w:pPr>
            <w:r>
              <w:rPr>
                <w:rFonts w:ascii="宋体" w:hAnsi="宋体" w:eastAsia="宋体" w:cs="宋体"/>
                <w:b w:val="0"/>
              </w:rPr>
              <w:t>2025-05-30</w:t>
            </w:r>
          </w:p>
        </w:tc>
      </w:tr>
      <w:tr w14:paraId="25B9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ADB48C">
            <w:pPr>
              <w:spacing w:line="240" w:lineRule="auto"/>
              <w:jc w:val="center"/>
            </w:pPr>
            <w:r>
              <w:rPr>
                <w:rFonts w:ascii="宋体" w:hAnsi="宋体" w:eastAsia="宋体" w:cs="宋体"/>
                <w:b w:val="0"/>
              </w:rPr>
              <w:t>7</w:t>
            </w:r>
          </w:p>
        </w:tc>
        <w:tc>
          <w:tcPr>
            <w:tcW w:w="0" w:type="dxa"/>
            <w:vAlign w:val="center"/>
          </w:tcPr>
          <w:p w14:paraId="78E89724">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00A1B592">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43A588A">
            <w:pPr>
              <w:spacing w:line="240" w:lineRule="auto"/>
              <w:jc w:val="center"/>
            </w:pPr>
            <w:r>
              <w:rPr>
                <w:rFonts w:ascii="宋体" w:hAnsi="宋体" w:eastAsia="宋体" w:cs="宋体"/>
                <w:b w:val="0"/>
              </w:rPr>
              <w:t>2025-06-05</w:t>
            </w:r>
          </w:p>
        </w:tc>
      </w:tr>
      <w:tr w14:paraId="3172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74881D">
            <w:pPr>
              <w:spacing w:line="240" w:lineRule="auto"/>
              <w:jc w:val="center"/>
            </w:pPr>
            <w:r>
              <w:rPr>
                <w:rFonts w:ascii="宋体" w:hAnsi="宋体" w:eastAsia="宋体" w:cs="宋体"/>
                <w:b w:val="0"/>
              </w:rPr>
              <w:t>8</w:t>
            </w:r>
          </w:p>
        </w:tc>
        <w:tc>
          <w:tcPr>
            <w:tcW w:w="0" w:type="dxa"/>
            <w:vAlign w:val="center"/>
          </w:tcPr>
          <w:p w14:paraId="182B26EF">
            <w:pPr>
              <w:spacing w:line="240" w:lineRule="auto"/>
              <w:jc w:val="left"/>
            </w:pPr>
            <w:r>
              <w:rPr>
                <w:rFonts w:ascii="宋体" w:hAnsi="宋体" w:eastAsia="宋体" w:cs="宋体"/>
                <w:b w:val="0"/>
              </w:rPr>
              <w:t>东方阿尔法科技优选混合型发起式证券投资基金基金合同生效公告</w:t>
            </w:r>
          </w:p>
        </w:tc>
        <w:tc>
          <w:tcPr>
            <w:tcW w:w="0" w:type="dxa"/>
            <w:vAlign w:val="center"/>
          </w:tcPr>
          <w:p w14:paraId="472C3295">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14:paraId="7AFB86C0">
            <w:pPr>
              <w:spacing w:line="240" w:lineRule="auto"/>
              <w:jc w:val="center"/>
            </w:pPr>
            <w:r>
              <w:rPr>
                <w:rFonts w:ascii="宋体" w:hAnsi="宋体" w:eastAsia="宋体" w:cs="宋体"/>
                <w:b w:val="0"/>
              </w:rPr>
              <w:t>2025-06-07</w:t>
            </w:r>
          </w:p>
        </w:tc>
      </w:tr>
      <w:tr w14:paraId="1BB4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B3E617">
            <w:pPr>
              <w:spacing w:line="240" w:lineRule="auto"/>
              <w:jc w:val="center"/>
            </w:pPr>
            <w:r>
              <w:rPr>
                <w:rFonts w:ascii="宋体" w:hAnsi="宋体" w:eastAsia="宋体" w:cs="宋体"/>
                <w:b w:val="0"/>
              </w:rPr>
              <w:t>9</w:t>
            </w:r>
          </w:p>
        </w:tc>
        <w:tc>
          <w:tcPr>
            <w:tcW w:w="0" w:type="dxa"/>
            <w:vAlign w:val="center"/>
          </w:tcPr>
          <w:p w14:paraId="722B4C4F">
            <w:pPr>
              <w:spacing w:line="240" w:lineRule="auto"/>
              <w:jc w:val="left"/>
            </w:pPr>
            <w:r>
              <w:rPr>
                <w:rFonts w:ascii="宋体" w:hAnsi="宋体" w:eastAsia="宋体" w:cs="宋体"/>
                <w:b w:val="0"/>
              </w:rPr>
              <w:t>东方阿尔法基金管理有限公司关于东方阿尔法科技优选混合型发起式证券投资基金增聘基金经理的公告</w:t>
            </w:r>
          </w:p>
        </w:tc>
        <w:tc>
          <w:tcPr>
            <w:tcW w:w="0" w:type="dxa"/>
            <w:vAlign w:val="center"/>
          </w:tcPr>
          <w:p w14:paraId="6DFC64A7">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14:paraId="6B66F3FB">
            <w:pPr>
              <w:spacing w:line="240" w:lineRule="auto"/>
              <w:jc w:val="center"/>
            </w:pPr>
            <w:r>
              <w:rPr>
                <w:rFonts w:ascii="宋体" w:hAnsi="宋体" w:eastAsia="宋体" w:cs="宋体"/>
                <w:b w:val="0"/>
              </w:rPr>
              <w:t>2025-06-13</w:t>
            </w:r>
          </w:p>
        </w:tc>
      </w:tr>
      <w:tr w14:paraId="6727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511EBD">
            <w:pPr>
              <w:spacing w:line="240" w:lineRule="auto"/>
              <w:jc w:val="center"/>
            </w:pPr>
            <w:r>
              <w:rPr>
                <w:rFonts w:ascii="宋体" w:hAnsi="宋体" w:eastAsia="宋体" w:cs="宋体"/>
                <w:b w:val="0"/>
              </w:rPr>
              <w:t>10</w:t>
            </w:r>
          </w:p>
        </w:tc>
        <w:tc>
          <w:tcPr>
            <w:tcW w:w="0" w:type="dxa"/>
            <w:vAlign w:val="center"/>
          </w:tcPr>
          <w:p w14:paraId="31D3BE5A">
            <w:pPr>
              <w:spacing w:line="240" w:lineRule="auto"/>
              <w:jc w:val="left"/>
            </w:pPr>
            <w:r>
              <w:rPr>
                <w:rFonts w:ascii="宋体" w:hAnsi="宋体" w:eastAsia="宋体" w:cs="宋体"/>
                <w:b w:val="0"/>
              </w:rPr>
              <w:t>东方阿尔法科技优选混合型发起式证券投资基金开放日常申购、赎回、定期定额投资及转换业务的公告</w:t>
            </w:r>
          </w:p>
        </w:tc>
        <w:tc>
          <w:tcPr>
            <w:tcW w:w="0" w:type="dxa"/>
            <w:vAlign w:val="center"/>
          </w:tcPr>
          <w:p w14:paraId="36DE82A2">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14:paraId="5DF6B7B9">
            <w:pPr>
              <w:spacing w:line="240" w:lineRule="auto"/>
              <w:jc w:val="center"/>
            </w:pPr>
            <w:r>
              <w:rPr>
                <w:rFonts w:ascii="宋体" w:hAnsi="宋体" w:eastAsia="宋体" w:cs="宋体"/>
                <w:b w:val="0"/>
              </w:rPr>
              <w:t>2025-06-13</w:t>
            </w:r>
          </w:p>
        </w:tc>
      </w:tr>
      <w:tr w14:paraId="7C32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5DF52B">
            <w:pPr>
              <w:spacing w:line="240" w:lineRule="auto"/>
              <w:jc w:val="center"/>
            </w:pPr>
            <w:r>
              <w:rPr>
                <w:rFonts w:ascii="宋体" w:hAnsi="宋体" w:eastAsia="宋体" w:cs="宋体"/>
                <w:b w:val="0"/>
              </w:rPr>
              <w:t>11</w:t>
            </w:r>
          </w:p>
        </w:tc>
        <w:tc>
          <w:tcPr>
            <w:tcW w:w="0" w:type="dxa"/>
            <w:vAlign w:val="center"/>
          </w:tcPr>
          <w:p w14:paraId="3326CE85">
            <w:pPr>
              <w:spacing w:line="240" w:lineRule="auto"/>
              <w:jc w:val="left"/>
            </w:pPr>
            <w:r>
              <w:rPr>
                <w:rFonts w:ascii="宋体" w:hAnsi="宋体" w:eastAsia="宋体" w:cs="宋体"/>
                <w:b w:val="0"/>
              </w:rPr>
              <w:t>东方阿尔法科技优选混合型发起式证券投资基金招募说明书更新（2025年第1期）</w:t>
            </w:r>
          </w:p>
        </w:tc>
        <w:tc>
          <w:tcPr>
            <w:tcW w:w="0" w:type="dxa"/>
            <w:vAlign w:val="center"/>
          </w:tcPr>
          <w:p w14:paraId="5CC1A32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7AE6274">
            <w:pPr>
              <w:spacing w:line="240" w:lineRule="auto"/>
              <w:jc w:val="center"/>
            </w:pPr>
            <w:r>
              <w:rPr>
                <w:rFonts w:ascii="宋体" w:hAnsi="宋体" w:eastAsia="宋体" w:cs="宋体"/>
                <w:b w:val="0"/>
              </w:rPr>
              <w:t>2025-06-16</w:t>
            </w:r>
          </w:p>
        </w:tc>
      </w:tr>
      <w:tr w14:paraId="13FD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602442">
            <w:pPr>
              <w:spacing w:line="240" w:lineRule="auto"/>
              <w:jc w:val="center"/>
            </w:pPr>
            <w:r>
              <w:rPr>
                <w:rFonts w:ascii="宋体" w:hAnsi="宋体" w:eastAsia="宋体" w:cs="宋体"/>
                <w:b w:val="0"/>
              </w:rPr>
              <w:t>12</w:t>
            </w:r>
          </w:p>
        </w:tc>
        <w:tc>
          <w:tcPr>
            <w:tcW w:w="0" w:type="dxa"/>
            <w:vAlign w:val="center"/>
          </w:tcPr>
          <w:p w14:paraId="1F45F2AE">
            <w:pPr>
              <w:spacing w:line="240" w:lineRule="auto"/>
              <w:jc w:val="left"/>
            </w:pPr>
            <w:r>
              <w:rPr>
                <w:rFonts w:ascii="宋体" w:hAnsi="宋体" w:eastAsia="宋体" w:cs="宋体"/>
                <w:b w:val="0"/>
              </w:rPr>
              <w:t>东方阿尔法科技优选混合型发起式证券投资基金基金产品资料概要更新（A类份额/C类份额）</w:t>
            </w:r>
          </w:p>
        </w:tc>
        <w:tc>
          <w:tcPr>
            <w:tcW w:w="0" w:type="dxa"/>
            <w:vAlign w:val="center"/>
          </w:tcPr>
          <w:p w14:paraId="7E22FD5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0EAD422">
            <w:pPr>
              <w:spacing w:line="240" w:lineRule="auto"/>
              <w:jc w:val="center"/>
            </w:pPr>
            <w:r>
              <w:rPr>
                <w:rFonts w:ascii="宋体" w:hAnsi="宋体" w:eastAsia="宋体" w:cs="宋体"/>
                <w:b w:val="0"/>
              </w:rPr>
              <w:t>2025-06-16</w:t>
            </w:r>
          </w:p>
        </w:tc>
      </w:tr>
      <w:tr w14:paraId="74A2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CBC0BC">
            <w:pPr>
              <w:spacing w:line="240" w:lineRule="auto"/>
              <w:jc w:val="center"/>
            </w:pPr>
            <w:r>
              <w:rPr>
                <w:rFonts w:ascii="宋体" w:hAnsi="宋体" w:eastAsia="宋体" w:cs="宋体"/>
                <w:b w:val="0"/>
              </w:rPr>
              <w:t>13</w:t>
            </w:r>
          </w:p>
        </w:tc>
        <w:tc>
          <w:tcPr>
            <w:tcW w:w="0" w:type="dxa"/>
            <w:vAlign w:val="center"/>
          </w:tcPr>
          <w:p w14:paraId="7636BCEC">
            <w:pPr>
              <w:spacing w:line="240" w:lineRule="auto"/>
              <w:jc w:val="left"/>
            </w:pPr>
            <w:r>
              <w:rPr>
                <w:rFonts w:ascii="宋体" w:hAnsi="宋体" w:eastAsia="宋体" w:cs="宋体"/>
                <w:b w:val="0"/>
              </w:rPr>
              <w:t>东方阿尔法科技优选混合型发起式证券投资基金招募说明书更新提示性公告</w:t>
            </w:r>
          </w:p>
        </w:tc>
        <w:tc>
          <w:tcPr>
            <w:tcW w:w="0" w:type="dxa"/>
            <w:vAlign w:val="center"/>
          </w:tcPr>
          <w:p w14:paraId="64387597">
            <w:pPr>
              <w:spacing w:line="240" w:lineRule="auto"/>
              <w:jc w:val="left"/>
            </w:pPr>
            <w:r>
              <w:rPr>
                <w:rFonts w:ascii="宋体" w:hAnsi="宋体" w:eastAsia="宋体" w:cs="宋体"/>
                <w:b w:val="0"/>
              </w:rPr>
              <w:t>中国证券报</w:t>
            </w:r>
          </w:p>
        </w:tc>
        <w:tc>
          <w:tcPr>
            <w:tcW w:w="0" w:type="dxa"/>
            <w:vAlign w:val="center"/>
          </w:tcPr>
          <w:p w14:paraId="6B334F9A">
            <w:pPr>
              <w:spacing w:line="240" w:lineRule="auto"/>
              <w:jc w:val="center"/>
            </w:pPr>
            <w:r>
              <w:rPr>
                <w:rFonts w:ascii="宋体" w:hAnsi="宋体" w:eastAsia="宋体" w:cs="宋体"/>
                <w:b w:val="0"/>
              </w:rPr>
              <w:t>2025-06-16</w:t>
            </w:r>
          </w:p>
        </w:tc>
      </w:tr>
    </w:tbl>
    <w:p w14:paraId="54E1BB31">
      <w:pPr>
        <w:pStyle w:val="2"/>
        <w:jc w:val="center"/>
      </w:pPr>
      <w:bookmarkStart w:id="60" w:name="_Toc15192"/>
      <w:r>
        <w:rPr>
          <w:rFonts w:ascii="宋体" w:hAnsi="宋体" w:eastAsia="宋体" w:cs="宋体"/>
        </w:rPr>
        <w:t>§11 影响投资者决策的其他重要信息</w:t>
      </w:r>
      <w:bookmarkEnd w:id="60"/>
    </w:p>
    <w:p w14:paraId="3568A961">
      <w:pPr>
        <w:pStyle w:val="3"/>
        <w:jc w:val="left"/>
      </w:pPr>
      <w:bookmarkStart w:id="61" w:name="_Toc14583"/>
      <w:r>
        <w:rPr>
          <w:rFonts w:ascii="宋体" w:hAnsi="宋体" w:eastAsia="宋体" w:cs="宋体"/>
        </w:rPr>
        <w:t>11.1 报告期内单一投资者持有基金份额比例达到或超过20%的情况</w:t>
      </w:r>
      <w:bookmarkEnd w:id="6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14:paraId="3C64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022EFB42">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48F1C44D">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69193BF0">
            <w:pPr>
              <w:spacing w:line="240" w:lineRule="auto"/>
              <w:jc w:val="center"/>
            </w:pPr>
            <w:r>
              <w:rPr>
                <w:rFonts w:ascii="宋体" w:hAnsi="宋体" w:eastAsia="宋体" w:cs="宋体"/>
                <w:b w:val="0"/>
              </w:rPr>
              <w:t>报告期末持有基金情况</w:t>
            </w:r>
          </w:p>
        </w:tc>
      </w:tr>
      <w:tr w14:paraId="179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523BDC"/>
        </w:tc>
        <w:tc>
          <w:tcPr>
            <w:tcW w:w="269" w:type="pct"/>
            <w:shd w:val="clear" w:color="auto" w:fill="D9D9D9"/>
            <w:vAlign w:val="center"/>
          </w:tcPr>
          <w:p w14:paraId="384D6B29">
            <w:pPr>
              <w:spacing w:line="240" w:lineRule="auto"/>
              <w:jc w:val="center"/>
            </w:pPr>
            <w:r>
              <w:rPr>
                <w:rFonts w:ascii="宋体" w:hAnsi="宋体" w:eastAsia="宋体" w:cs="宋体"/>
                <w:b w:val="0"/>
              </w:rPr>
              <w:t>序号</w:t>
            </w:r>
          </w:p>
        </w:tc>
        <w:tc>
          <w:tcPr>
            <w:tcW w:w="1346" w:type="pct"/>
            <w:shd w:val="clear" w:color="auto" w:fill="D9D9D9"/>
            <w:vAlign w:val="center"/>
          </w:tcPr>
          <w:p w14:paraId="3ED23FE1">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60CD0400">
            <w:pPr>
              <w:spacing w:line="240" w:lineRule="auto"/>
              <w:jc w:val="center"/>
            </w:pPr>
            <w:r>
              <w:rPr>
                <w:rFonts w:ascii="宋体" w:hAnsi="宋体" w:eastAsia="宋体" w:cs="宋体"/>
                <w:b w:val="0"/>
              </w:rPr>
              <w:t>期初份额</w:t>
            </w:r>
          </w:p>
        </w:tc>
        <w:tc>
          <w:tcPr>
            <w:tcW w:w="615" w:type="pct"/>
            <w:shd w:val="clear" w:color="auto" w:fill="D9D9D9"/>
            <w:vAlign w:val="center"/>
          </w:tcPr>
          <w:p w14:paraId="55FC9ED3">
            <w:pPr>
              <w:spacing w:line="240" w:lineRule="auto"/>
              <w:jc w:val="center"/>
            </w:pPr>
            <w:r>
              <w:rPr>
                <w:rFonts w:ascii="宋体" w:hAnsi="宋体" w:eastAsia="宋体" w:cs="宋体"/>
                <w:b w:val="0"/>
              </w:rPr>
              <w:t>申购份额</w:t>
            </w:r>
          </w:p>
        </w:tc>
        <w:tc>
          <w:tcPr>
            <w:tcW w:w="615" w:type="pct"/>
            <w:shd w:val="clear" w:color="auto" w:fill="D9D9D9"/>
            <w:vAlign w:val="center"/>
          </w:tcPr>
          <w:p w14:paraId="0CE01BB6">
            <w:pPr>
              <w:spacing w:line="240" w:lineRule="auto"/>
              <w:jc w:val="center"/>
            </w:pPr>
            <w:r>
              <w:rPr>
                <w:rFonts w:ascii="宋体" w:hAnsi="宋体" w:eastAsia="宋体" w:cs="宋体"/>
                <w:b w:val="0"/>
              </w:rPr>
              <w:t>赎回份额</w:t>
            </w:r>
          </w:p>
        </w:tc>
        <w:tc>
          <w:tcPr>
            <w:tcW w:w="615" w:type="pct"/>
            <w:shd w:val="clear" w:color="auto" w:fill="D9D9D9"/>
            <w:vAlign w:val="center"/>
          </w:tcPr>
          <w:p w14:paraId="3B5A233B">
            <w:pPr>
              <w:spacing w:line="240" w:lineRule="auto"/>
              <w:jc w:val="center"/>
            </w:pPr>
            <w:r>
              <w:rPr>
                <w:rFonts w:ascii="宋体" w:hAnsi="宋体" w:eastAsia="宋体" w:cs="宋体"/>
                <w:b w:val="0"/>
              </w:rPr>
              <w:t>持有份额</w:t>
            </w:r>
          </w:p>
        </w:tc>
        <w:tc>
          <w:tcPr>
            <w:tcW w:w="538" w:type="pct"/>
            <w:shd w:val="clear" w:color="auto" w:fill="D9D9D9"/>
            <w:vAlign w:val="center"/>
          </w:tcPr>
          <w:p w14:paraId="53C47F55">
            <w:pPr>
              <w:spacing w:line="240" w:lineRule="auto"/>
              <w:jc w:val="center"/>
            </w:pPr>
            <w:r>
              <w:rPr>
                <w:rFonts w:ascii="宋体" w:hAnsi="宋体" w:eastAsia="宋体" w:cs="宋体"/>
                <w:b w:val="0"/>
              </w:rPr>
              <w:t>份额占比</w:t>
            </w:r>
          </w:p>
        </w:tc>
      </w:tr>
      <w:tr w14:paraId="5221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EBECF9">
            <w:pPr>
              <w:spacing w:line="240" w:lineRule="auto"/>
              <w:jc w:val="center"/>
            </w:pPr>
            <w:r>
              <w:rPr>
                <w:rFonts w:ascii="宋体" w:hAnsi="宋体" w:eastAsia="宋体" w:cs="宋体"/>
                <w:b w:val="0"/>
              </w:rPr>
              <w:t>个人</w:t>
            </w:r>
          </w:p>
        </w:tc>
        <w:tc>
          <w:tcPr>
            <w:tcW w:w="0" w:type="dxa"/>
            <w:vAlign w:val="center"/>
          </w:tcPr>
          <w:p w14:paraId="064BF396">
            <w:pPr>
              <w:spacing w:line="240" w:lineRule="auto"/>
              <w:jc w:val="center"/>
            </w:pPr>
            <w:r>
              <w:rPr>
                <w:rFonts w:ascii="宋体" w:hAnsi="宋体" w:eastAsia="宋体" w:cs="宋体"/>
                <w:b w:val="0"/>
              </w:rPr>
              <w:t>1</w:t>
            </w:r>
          </w:p>
        </w:tc>
        <w:tc>
          <w:tcPr>
            <w:tcW w:w="0" w:type="dxa"/>
            <w:vAlign w:val="center"/>
          </w:tcPr>
          <w:p w14:paraId="268A67AD">
            <w:pPr>
              <w:spacing w:line="240" w:lineRule="auto"/>
              <w:jc w:val="center"/>
            </w:pPr>
            <w:r>
              <w:rPr>
                <w:rFonts w:ascii="宋体" w:hAnsi="宋体" w:eastAsia="宋体" w:cs="宋体"/>
                <w:b w:val="0"/>
              </w:rPr>
              <w:t>2025年06月06日-2025年06月30日</w:t>
            </w:r>
          </w:p>
        </w:tc>
        <w:tc>
          <w:tcPr>
            <w:tcW w:w="0" w:type="dxa"/>
            <w:vAlign w:val="center"/>
          </w:tcPr>
          <w:p w14:paraId="56D66C3E">
            <w:pPr>
              <w:spacing w:line="240" w:lineRule="auto"/>
              <w:jc w:val="right"/>
            </w:pPr>
            <w:r>
              <w:rPr>
                <w:rFonts w:ascii="宋体" w:hAnsi="宋体" w:eastAsia="宋体" w:cs="宋体"/>
                <w:b w:val="0"/>
              </w:rPr>
              <w:t>10,000,388.92</w:t>
            </w:r>
          </w:p>
        </w:tc>
        <w:tc>
          <w:tcPr>
            <w:tcW w:w="0" w:type="dxa"/>
            <w:vAlign w:val="center"/>
          </w:tcPr>
          <w:p w14:paraId="60728C2B">
            <w:pPr>
              <w:spacing w:line="240" w:lineRule="auto"/>
              <w:jc w:val="right"/>
            </w:pPr>
            <w:r>
              <w:rPr>
                <w:rFonts w:ascii="宋体" w:hAnsi="宋体" w:eastAsia="宋体" w:cs="宋体"/>
                <w:b w:val="0"/>
              </w:rPr>
              <w:t>-</w:t>
            </w:r>
          </w:p>
        </w:tc>
        <w:tc>
          <w:tcPr>
            <w:tcW w:w="0" w:type="dxa"/>
            <w:vAlign w:val="center"/>
          </w:tcPr>
          <w:p w14:paraId="796A3FA8">
            <w:pPr>
              <w:spacing w:line="240" w:lineRule="auto"/>
              <w:jc w:val="right"/>
            </w:pPr>
            <w:r>
              <w:rPr>
                <w:rFonts w:ascii="宋体" w:hAnsi="宋体" w:eastAsia="宋体" w:cs="宋体"/>
                <w:b w:val="0"/>
              </w:rPr>
              <w:t>-</w:t>
            </w:r>
          </w:p>
        </w:tc>
        <w:tc>
          <w:tcPr>
            <w:tcW w:w="0" w:type="dxa"/>
            <w:vAlign w:val="center"/>
          </w:tcPr>
          <w:p w14:paraId="03A6FF95">
            <w:pPr>
              <w:spacing w:line="240" w:lineRule="auto"/>
              <w:jc w:val="right"/>
            </w:pPr>
            <w:r>
              <w:rPr>
                <w:rFonts w:ascii="宋体" w:hAnsi="宋体" w:eastAsia="宋体" w:cs="宋体"/>
                <w:b w:val="0"/>
              </w:rPr>
              <w:t>10,000,388.92</w:t>
            </w:r>
          </w:p>
        </w:tc>
        <w:tc>
          <w:tcPr>
            <w:tcW w:w="0" w:type="dxa"/>
            <w:vAlign w:val="center"/>
          </w:tcPr>
          <w:p w14:paraId="31A063DE">
            <w:pPr>
              <w:spacing w:line="240" w:lineRule="auto"/>
              <w:jc w:val="right"/>
            </w:pPr>
            <w:r>
              <w:rPr>
                <w:rFonts w:ascii="宋体" w:hAnsi="宋体" w:eastAsia="宋体" w:cs="宋体"/>
                <w:b w:val="0"/>
              </w:rPr>
              <w:t>83.86%</w:t>
            </w:r>
          </w:p>
        </w:tc>
      </w:tr>
      <w:tr w14:paraId="7F50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668CBAC3">
            <w:pPr>
              <w:spacing w:line="240" w:lineRule="auto"/>
              <w:jc w:val="center"/>
            </w:pPr>
            <w:r>
              <w:rPr>
                <w:rFonts w:ascii="宋体" w:hAnsi="宋体" w:eastAsia="宋体" w:cs="宋体"/>
                <w:b w:val="0"/>
              </w:rPr>
              <w:t>产品特有风险</w:t>
            </w:r>
          </w:p>
        </w:tc>
      </w:tr>
      <w:tr w14:paraId="194A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0E8F4140">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5BF95656"/>
    <w:p w14:paraId="3C0E5153">
      <w:pPr>
        <w:pStyle w:val="3"/>
        <w:jc w:val="left"/>
      </w:pPr>
      <w:bookmarkStart w:id="62" w:name="_Toc29702"/>
      <w:r>
        <w:rPr>
          <w:rFonts w:ascii="宋体" w:hAnsi="宋体" w:eastAsia="宋体" w:cs="宋体"/>
        </w:rPr>
        <w:t>11.2 影响投资者决策的其他重要信息</w:t>
      </w:r>
      <w:bookmarkEnd w:id="62"/>
    </w:p>
    <w:p w14:paraId="2D7EB5D6">
      <w:pPr>
        <w:jc w:val="left"/>
      </w:pPr>
      <w:r>
        <w:rPr>
          <w:rFonts w:ascii="宋体" w:hAnsi="宋体" w:eastAsia="宋体" w:cs="宋体"/>
          <w:b w:val="0"/>
        </w:rPr>
        <w:t xml:space="preserve">    无。</w:t>
      </w:r>
    </w:p>
    <w:p w14:paraId="6E1CB426">
      <w:pPr>
        <w:pStyle w:val="2"/>
        <w:jc w:val="center"/>
      </w:pPr>
      <w:bookmarkStart w:id="63" w:name="_Toc3530"/>
      <w:r>
        <w:rPr>
          <w:rFonts w:ascii="宋体" w:hAnsi="宋体" w:eastAsia="宋体" w:cs="宋体"/>
        </w:rPr>
        <w:t>§12 备查文件目录</w:t>
      </w:r>
      <w:bookmarkEnd w:id="63"/>
    </w:p>
    <w:p w14:paraId="044665EA">
      <w:pPr>
        <w:pStyle w:val="3"/>
        <w:jc w:val="left"/>
      </w:pPr>
      <w:bookmarkStart w:id="64" w:name="_Toc27542"/>
      <w:r>
        <w:rPr>
          <w:rFonts w:ascii="宋体" w:hAnsi="宋体" w:eastAsia="宋体" w:cs="宋体"/>
        </w:rPr>
        <w:t>12.1 备查文件目录</w:t>
      </w:r>
      <w:bookmarkEnd w:id="64"/>
    </w:p>
    <w:p w14:paraId="76EB6D0F">
      <w:pPr>
        <w:jc w:val="left"/>
      </w:pPr>
      <w:r>
        <w:rPr>
          <w:rFonts w:ascii="宋体" w:hAnsi="宋体" w:eastAsia="宋体" w:cs="宋体"/>
          <w:b w:val="0"/>
        </w:rPr>
        <w:t xml:space="preserve">    1、中国证券监督管理委员会批准的东方阿尔法科技优选混合型发起式证券投资基金设立的文件；</w:t>
      </w:r>
      <w:r>
        <w:rPr>
          <w:rFonts w:ascii="宋体" w:hAnsi="宋体" w:eastAsia="宋体" w:cs="宋体"/>
          <w:b w:val="0"/>
        </w:rPr>
        <w:cr/>
      </w:r>
      <w:r>
        <w:rPr>
          <w:rFonts w:ascii="宋体" w:hAnsi="宋体" w:eastAsia="宋体" w:cs="宋体"/>
          <w:b w:val="0"/>
        </w:rPr>
        <w:t xml:space="preserve">    2、《东方阿尔法科技优选混合型发起式证券投资基金基金合同》；</w:t>
      </w:r>
      <w:r>
        <w:rPr>
          <w:rFonts w:ascii="宋体" w:hAnsi="宋体" w:eastAsia="宋体" w:cs="宋体"/>
          <w:b w:val="0"/>
        </w:rPr>
        <w:cr/>
      </w:r>
      <w:r>
        <w:rPr>
          <w:rFonts w:ascii="宋体" w:hAnsi="宋体" w:eastAsia="宋体" w:cs="宋体"/>
          <w:b w:val="0"/>
        </w:rPr>
        <w:t xml:space="preserve">    3、《东方阿尔法科技优选混合型发起式证券投资基金托管协议》；</w:t>
      </w:r>
      <w:r>
        <w:rPr>
          <w:rFonts w:ascii="宋体" w:hAnsi="宋体" w:eastAsia="宋体" w:cs="宋体"/>
          <w:b w:val="0"/>
        </w:rPr>
        <w:cr/>
      </w:r>
      <w:r>
        <w:rPr>
          <w:rFonts w:ascii="宋体" w:hAnsi="宋体" w:eastAsia="宋体" w:cs="宋体"/>
          <w:b w:val="0"/>
        </w:rPr>
        <w:t xml:space="preserve">    4、《东方阿尔法科技优选混合型发起式证券投资基金招募说明书》（含更新）；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70FC25F5"/>
    <w:p w14:paraId="3F66F45F">
      <w:pPr>
        <w:pStyle w:val="3"/>
        <w:jc w:val="left"/>
      </w:pPr>
      <w:bookmarkStart w:id="65" w:name="_Toc27927"/>
      <w:r>
        <w:rPr>
          <w:rFonts w:ascii="宋体" w:hAnsi="宋体" w:eastAsia="宋体" w:cs="宋体"/>
        </w:rPr>
        <w:t>12.2 存放地点</w:t>
      </w:r>
      <w:bookmarkEnd w:id="65"/>
    </w:p>
    <w:p w14:paraId="79B22A57">
      <w:pPr>
        <w:jc w:val="left"/>
      </w:pPr>
      <w:r>
        <w:rPr>
          <w:rFonts w:ascii="宋体" w:hAnsi="宋体" w:eastAsia="宋体" w:cs="宋体"/>
          <w:b w:val="0"/>
        </w:rPr>
        <w:t xml:space="preserve">    基金管理人和基金托管人的住所。</w:t>
      </w:r>
    </w:p>
    <w:p w14:paraId="4E125F94"/>
    <w:p w14:paraId="2B48FA94">
      <w:pPr>
        <w:pStyle w:val="3"/>
        <w:jc w:val="left"/>
      </w:pPr>
      <w:bookmarkStart w:id="66" w:name="_Toc856"/>
      <w:r>
        <w:rPr>
          <w:rFonts w:ascii="宋体" w:hAnsi="宋体" w:eastAsia="宋体" w:cs="宋体"/>
        </w:rPr>
        <w:t>12.3 查阅方式</w:t>
      </w:r>
      <w:bookmarkEnd w:id="66"/>
    </w:p>
    <w:p w14:paraId="3E710D21">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4835257E"/>
    <w:p w14:paraId="0AADCE63"/>
    <w:p w14:paraId="61109768"/>
    <w:p w14:paraId="333FFF90">
      <w:pPr>
        <w:jc w:val="right"/>
      </w:pPr>
      <w:r>
        <w:rPr>
          <w:rFonts w:ascii="宋体" w:hAnsi="宋体" w:eastAsia="宋体" w:cs="宋体"/>
          <w:b/>
        </w:rPr>
        <w:t>东方阿尔法基金管理有限公司</w:t>
      </w:r>
    </w:p>
    <w:p w14:paraId="45CE498D">
      <w:pPr>
        <w:jc w:val="right"/>
      </w:pPr>
      <w:r>
        <w:rPr>
          <w:rFonts w:ascii="宋体" w:hAnsi="宋体" w:eastAsia="宋体" w:cs="宋体"/>
          <w:b/>
        </w:rPr>
        <w:t>二〇二五年八月三十日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东方阿尔法科技优选混合型发起式证券投资基金2025年中期报告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0782823"/>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2025-08-27T03:23:27Z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DF4CADBB96804642996F3388507D9764_12</vt:lpwstr>
  </property>
</Properties>
</file>