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9080"/>
        </w:tabs>
        <w:spacing w:before="72" w:after="120"/>
        <w:jc w:val="center"/>
        <w:rPr>
          <w:rFonts w:ascii="宋体" w:hAnsi="宋体"/>
          <w:b/>
          <w:bCs/>
          <w:sz w:val="24"/>
        </w:rPr>
      </w:pPr>
      <w:bookmarkStart w:id="1" w:name="_GoBack"/>
      <w:bookmarkEnd w:id="1"/>
    </w:p>
    <w:p>
      <w:pPr>
        <w:tabs>
          <w:tab w:val="right" w:leader="dot" w:pos="9080"/>
        </w:tabs>
        <w:spacing w:before="72" w:after="120"/>
        <w:jc w:val="center"/>
        <w:rPr>
          <w:rFonts w:ascii="宋体" w:hAnsi="宋体"/>
          <w:b/>
          <w:bCs/>
          <w:sz w:val="24"/>
        </w:rPr>
      </w:pP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东方阿尔法产业先锋混合型发起式证券投资基金</w:t>
      </w: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2025年第3季度报告</w:t>
      </w:r>
    </w:p>
    <w:p>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2025年09月30日</w:t>
      </w: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2025年10月25日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基金托管人招商银行股份有限公司根据本基金合同规定，于2025年10月24日复核了本报告中的财务指标、净值表现和投资组合报告等内容，保证复核内容不存在虚假记载、误导性陈述或者重大遗漏。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本报告期自2025年07月01日起至2025年09月30日止。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东方阿尔法产业先锋混合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2021年07月21日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2,112,870,025.85份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本基金在严格控制风险的前提下，通过产业精选和个股研究，力求选择景气度上行产业中具有先锋优势的优质个股，力争实现基金资产的持续稳定增值。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本基金的投资策略主要有以下10个方面内容：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本基金根据对宏观经济周期的分析研究，结合基本面、市面场、政策面等多种因素的综合考量，研判所处经济周期的位置及未来发展方向，以确定组合中股票、债券、货币市场工具及其他金融工具的比例。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r>
              <w:rPr>
                <w:rFonts w:ascii="宋体" w:hAnsi="宋体" w:eastAsia="宋体" w:cs="宋体"/>
                <w:b w:val="0"/>
              </w:rPr>
              <w:br w:type="textWrapping"/>
            </w:r>
            <w:r>
              <w:rPr>
                <w:rFonts w:ascii="宋体" w:hAnsi="宋体" w:eastAsia="宋体" w:cs="宋体"/>
                <w:b w:val="0"/>
              </w:rPr>
              <w:t>3、存托凭证投资策略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对于可转换债券的投资，本基金将在评估其偿债能力的同时兼顾公司的成长性，以期通过转换条款分享因股价上升带来的高收益。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9、股票期权的投资策略</w:t>
            </w:r>
            <w:r>
              <w:rPr>
                <w:rFonts w:ascii="宋体" w:hAnsi="宋体" w:eastAsia="宋体" w:cs="宋体"/>
                <w:b w:val="0"/>
              </w:rPr>
              <w:br w:type="textWrapping"/>
            </w:r>
            <w:r>
              <w:rPr>
                <w:rFonts w:ascii="宋体" w:hAnsi="宋体" w:eastAsia="宋体" w:cs="宋体"/>
                <w:b w:val="0"/>
              </w:rPr>
              <w:t>本基金投资股票期权将以套期保值为主要目的，结合投资目标、比例限制、风险收益特征以及法律法规的相关限定和要求，确定参与股票期权交易的投资时机和投资比例。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10、资产支持证券投资策略</w:t>
            </w:r>
            <w:r>
              <w:rPr>
                <w:rFonts w:ascii="宋体" w:hAnsi="宋体" w:eastAsia="宋体" w:cs="宋体"/>
                <w:b w:val="0"/>
              </w:rPr>
              <w:br w:type="textWrapping"/>
            </w:r>
            <w:r>
              <w:rPr>
                <w:rFonts w:ascii="宋体" w:hAnsi="宋体" w:eastAsia="宋体" w:cs="宋体"/>
                <w:b w:val="0"/>
              </w:rPr>
              <w:t>本基金可以投资包括资产抵押贷款支持证券(ABS)、住房抵押贷款支持证券(MBS)等在内的资产支持证券。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中证800指数收益率×80%+中证综合债券指数收益率×20%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东方阿尔法产业先锋混合A</w:t>
            </w:r>
          </w:p>
        </w:tc>
        <w:tc>
          <w:tcPr>
            <w:tcW w:w="1500" w:type="pct"/>
            <w:vAlign w:val="center"/>
          </w:tcPr>
          <w:p>
            <w:pPr>
              <w:spacing w:line="240" w:lineRule="auto"/>
              <w:jc w:val="left"/>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011704</w:t>
            </w:r>
          </w:p>
        </w:tc>
        <w:tc>
          <w:tcPr>
            <w:tcW w:w="1500" w:type="pct"/>
            <w:vAlign w:val="center"/>
          </w:tcPr>
          <w:p>
            <w:pPr>
              <w:spacing w:line="240" w:lineRule="auto"/>
              <w:jc w:val="left"/>
            </w:pPr>
            <w:r>
              <w:rPr>
                <w:rFonts w:ascii="宋体" w:hAnsi="宋体" w:eastAsia="宋体" w:cs="宋体"/>
                <w:b w:val="0"/>
              </w:rPr>
              <w:t>011705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1,216,883,984.63份</w:t>
            </w:r>
          </w:p>
        </w:tc>
        <w:tc>
          <w:tcPr>
            <w:tcW w:w="1500" w:type="pct"/>
            <w:vAlign w:val="center"/>
          </w:tcPr>
          <w:p>
            <w:pPr>
              <w:spacing w:line="240" w:lineRule="auto"/>
              <w:jc w:val="left"/>
            </w:pPr>
            <w:r>
              <w:rPr>
                <w:rFonts w:ascii="宋体" w:hAnsi="宋体" w:eastAsia="宋体" w:cs="宋体"/>
                <w:b w:val="0"/>
              </w:rPr>
              <w:t>895,986,041.22份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报告期（2025年07月01日-2025年09月30日）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东方阿尔法产业先锋混合A</w:t>
            </w:r>
          </w:p>
        </w:tc>
        <w:tc>
          <w:tcPr>
            <w:tcW w:w="1500" w:type="pct"/>
            <w:shd w:val="clear" w:color="auto" w:fill="D9D9D9"/>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75,867,569.76</w:t>
            </w:r>
          </w:p>
        </w:tc>
        <w:tc>
          <w:tcPr>
            <w:tcW w:w="1500" w:type="pct"/>
            <w:vAlign w:val="center"/>
          </w:tcPr>
          <w:p>
            <w:pPr>
              <w:spacing w:line="240" w:lineRule="auto"/>
              <w:jc w:val="right"/>
            </w:pPr>
            <w:r>
              <w:rPr>
                <w:rFonts w:ascii="宋体" w:hAnsi="宋体" w:eastAsia="宋体" w:cs="宋体"/>
                <w:b w:val="0"/>
              </w:rPr>
              <w:t>48,540,109.96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258,326,698.55</w:t>
            </w:r>
          </w:p>
        </w:tc>
        <w:tc>
          <w:tcPr>
            <w:tcW w:w="1500" w:type="pct"/>
            <w:vAlign w:val="center"/>
          </w:tcPr>
          <w:p>
            <w:pPr>
              <w:spacing w:line="240" w:lineRule="auto"/>
              <w:jc w:val="right"/>
            </w:pPr>
            <w:r>
              <w:rPr>
                <w:rFonts w:ascii="宋体" w:hAnsi="宋体" w:eastAsia="宋体" w:cs="宋体"/>
                <w:b w:val="0"/>
              </w:rPr>
              <w:t>96,346,249.00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0.2065</w:t>
            </w:r>
          </w:p>
        </w:tc>
        <w:tc>
          <w:tcPr>
            <w:tcW w:w="1500" w:type="pct"/>
            <w:vAlign w:val="center"/>
          </w:tcPr>
          <w:p>
            <w:pPr>
              <w:spacing w:line="240" w:lineRule="auto"/>
              <w:jc w:val="right"/>
            </w:pPr>
            <w:r>
              <w:rPr>
                <w:rFonts w:ascii="宋体" w:hAnsi="宋体" w:eastAsia="宋体" w:cs="宋体"/>
                <w:b w:val="0"/>
              </w:rPr>
              <w:t>0.1578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801,233,257.05</w:t>
            </w:r>
          </w:p>
        </w:tc>
        <w:tc>
          <w:tcPr>
            <w:tcW w:w="1500" w:type="pct"/>
            <w:vAlign w:val="center"/>
          </w:tcPr>
          <w:p>
            <w:pPr>
              <w:spacing w:line="240" w:lineRule="auto"/>
              <w:jc w:val="right"/>
            </w:pPr>
            <w:r>
              <w:rPr>
                <w:rFonts w:ascii="宋体" w:hAnsi="宋体" w:eastAsia="宋体" w:cs="宋体"/>
                <w:b w:val="0"/>
              </w:rPr>
              <w:t>577,713,588.44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0.6584</w:t>
            </w:r>
          </w:p>
        </w:tc>
        <w:tc>
          <w:tcPr>
            <w:tcW w:w="1500" w:type="pct"/>
            <w:vAlign w:val="center"/>
          </w:tcPr>
          <w:p>
            <w:pPr>
              <w:spacing w:line="240" w:lineRule="auto"/>
              <w:jc w:val="right"/>
            </w:pPr>
            <w:r>
              <w:rPr>
                <w:rFonts w:ascii="宋体" w:hAnsi="宋体" w:eastAsia="宋体" w:cs="宋体"/>
                <w:b w:val="0"/>
              </w:rPr>
              <w:t>0.6448</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东方阿尔法产业先锋混合A净值表现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47.06%</w:t>
            </w:r>
          </w:p>
        </w:tc>
        <w:tc>
          <w:tcPr>
            <w:tcW w:w="0" w:type="dxa"/>
            <w:vAlign w:val="center"/>
          </w:tcPr>
          <w:p>
            <w:pPr>
              <w:spacing w:line="240" w:lineRule="auto"/>
              <w:jc w:val="right"/>
            </w:pPr>
            <w:r>
              <w:rPr>
                <w:rFonts w:ascii="宋体" w:hAnsi="宋体" w:eastAsia="宋体" w:cs="宋体"/>
                <w:b w:val="0"/>
              </w:rPr>
              <w:t>2.56%</w:t>
            </w:r>
          </w:p>
        </w:tc>
        <w:tc>
          <w:tcPr>
            <w:tcW w:w="0" w:type="dxa"/>
            <w:vAlign w:val="center"/>
          </w:tcPr>
          <w:p>
            <w:pPr>
              <w:spacing w:line="240" w:lineRule="auto"/>
              <w:jc w:val="right"/>
            </w:pPr>
            <w:r>
              <w:rPr>
                <w:rFonts w:ascii="宋体" w:hAnsi="宋体" w:eastAsia="宋体" w:cs="宋体"/>
                <w:b w:val="0"/>
              </w:rPr>
              <w:t>15.41%</w:t>
            </w:r>
          </w:p>
        </w:tc>
        <w:tc>
          <w:tcPr>
            <w:tcW w:w="0" w:type="dxa"/>
            <w:vAlign w:val="center"/>
          </w:tcPr>
          <w:p>
            <w:pPr>
              <w:spacing w:line="240" w:lineRule="auto"/>
              <w:jc w:val="right"/>
            </w:pPr>
            <w:r>
              <w:rPr>
                <w:rFonts w:ascii="宋体" w:hAnsi="宋体" w:eastAsia="宋体" w:cs="宋体"/>
                <w:b w:val="0"/>
              </w:rPr>
              <w:t>0.71%</w:t>
            </w:r>
          </w:p>
        </w:tc>
        <w:tc>
          <w:tcPr>
            <w:tcW w:w="0" w:type="dxa"/>
            <w:vAlign w:val="center"/>
          </w:tcPr>
          <w:p>
            <w:pPr>
              <w:spacing w:line="240" w:lineRule="auto"/>
              <w:jc w:val="right"/>
            </w:pPr>
            <w:r>
              <w:rPr>
                <w:rFonts w:ascii="宋体" w:hAnsi="宋体" w:eastAsia="宋体" w:cs="宋体"/>
                <w:b w:val="0"/>
              </w:rPr>
              <w:t>31.65%</w:t>
            </w:r>
          </w:p>
        </w:tc>
        <w:tc>
          <w:tcPr>
            <w:tcW w:w="0" w:type="dxa"/>
            <w:vAlign w:val="center"/>
          </w:tcPr>
          <w:p>
            <w:pPr>
              <w:spacing w:line="240" w:lineRule="auto"/>
              <w:jc w:val="right"/>
            </w:pPr>
            <w:r>
              <w:rPr>
                <w:rFonts w:ascii="宋体" w:hAnsi="宋体" w:eastAsia="宋体" w:cs="宋体"/>
                <w:b w:val="0"/>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38.90%</w:t>
            </w:r>
          </w:p>
        </w:tc>
        <w:tc>
          <w:tcPr>
            <w:tcW w:w="0" w:type="dxa"/>
            <w:vAlign w:val="center"/>
          </w:tcPr>
          <w:p>
            <w:pPr>
              <w:spacing w:line="240" w:lineRule="auto"/>
              <w:jc w:val="right"/>
            </w:pPr>
            <w:r>
              <w:rPr>
                <w:rFonts w:ascii="宋体" w:hAnsi="宋体" w:eastAsia="宋体" w:cs="宋体"/>
                <w:b w:val="0"/>
              </w:rPr>
              <w:t>2.06%</w:t>
            </w:r>
          </w:p>
        </w:tc>
        <w:tc>
          <w:tcPr>
            <w:tcW w:w="0" w:type="dxa"/>
            <w:vAlign w:val="center"/>
          </w:tcPr>
          <w:p>
            <w:pPr>
              <w:spacing w:line="240" w:lineRule="auto"/>
              <w:jc w:val="right"/>
            </w:pPr>
            <w:r>
              <w:rPr>
                <w:rFonts w:ascii="宋体" w:hAnsi="宋体" w:eastAsia="宋体" w:cs="宋体"/>
                <w:b w:val="0"/>
              </w:rPr>
              <w:t>17.00%</w:t>
            </w:r>
          </w:p>
        </w:tc>
        <w:tc>
          <w:tcPr>
            <w:tcW w:w="0" w:type="dxa"/>
            <w:vAlign w:val="center"/>
          </w:tcPr>
          <w:p>
            <w:pPr>
              <w:spacing w:line="240" w:lineRule="auto"/>
              <w:jc w:val="right"/>
            </w:pPr>
            <w:r>
              <w:rPr>
                <w:rFonts w:ascii="宋体" w:hAnsi="宋体" w:eastAsia="宋体" w:cs="宋体"/>
                <w:b w:val="0"/>
              </w:rPr>
              <w:t>0.83%</w:t>
            </w:r>
          </w:p>
        </w:tc>
        <w:tc>
          <w:tcPr>
            <w:tcW w:w="0" w:type="dxa"/>
            <w:vAlign w:val="center"/>
          </w:tcPr>
          <w:p>
            <w:pPr>
              <w:spacing w:line="240" w:lineRule="auto"/>
              <w:jc w:val="right"/>
            </w:pPr>
            <w:r>
              <w:rPr>
                <w:rFonts w:ascii="宋体" w:hAnsi="宋体" w:eastAsia="宋体" w:cs="宋体"/>
                <w:b w:val="0"/>
              </w:rPr>
              <w:t>21.90%</w:t>
            </w:r>
          </w:p>
        </w:tc>
        <w:tc>
          <w:tcPr>
            <w:tcW w:w="0" w:type="dxa"/>
            <w:vAlign w:val="center"/>
          </w:tcPr>
          <w:p>
            <w:pPr>
              <w:spacing w:line="240" w:lineRule="auto"/>
              <w:jc w:val="right"/>
            </w:pPr>
            <w:r>
              <w:rPr>
                <w:rFonts w:ascii="宋体" w:hAnsi="宋体" w:eastAsia="宋体" w:cs="宋体"/>
                <w:b w:val="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34.39%</w:t>
            </w:r>
          </w:p>
        </w:tc>
        <w:tc>
          <w:tcPr>
            <w:tcW w:w="0" w:type="dxa"/>
            <w:vAlign w:val="center"/>
          </w:tcPr>
          <w:p>
            <w:pPr>
              <w:spacing w:line="240" w:lineRule="auto"/>
              <w:jc w:val="right"/>
            </w:pPr>
            <w:r>
              <w:rPr>
                <w:rFonts w:ascii="宋体" w:hAnsi="宋体" w:eastAsia="宋体" w:cs="宋体"/>
                <w:b w:val="0"/>
              </w:rPr>
              <w:t>1.76%</w:t>
            </w:r>
          </w:p>
        </w:tc>
        <w:tc>
          <w:tcPr>
            <w:tcW w:w="0" w:type="dxa"/>
            <w:vAlign w:val="center"/>
          </w:tcPr>
          <w:p>
            <w:pPr>
              <w:spacing w:line="240" w:lineRule="auto"/>
              <w:jc w:val="right"/>
            </w:pPr>
            <w:r>
              <w:rPr>
                <w:rFonts w:ascii="宋体" w:hAnsi="宋体" w:eastAsia="宋体" w:cs="宋体"/>
                <w:b w:val="0"/>
              </w:rPr>
              <w:t>15.89%</w:t>
            </w:r>
          </w:p>
        </w:tc>
        <w:tc>
          <w:tcPr>
            <w:tcW w:w="0" w:type="dxa"/>
            <w:vAlign w:val="center"/>
          </w:tcPr>
          <w:p>
            <w:pPr>
              <w:spacing w:line="240" w:lineRule="auto"/>
              <w:jc w:val="right"/>
            </w:pPr>
            <w:r>
              <w:rPr>
                <w:rFonts w:ascii="宋体" w:hAnsi="宋体" w:eastAsia="宋体" w:cs="宋体"/>
                <w:b w:val="0"/>
              </w:rPr>
              <w:t>1.00%</w:t>
            </w:r>
          </w:p>
        </w:tc>
        <w:tc>
          <w:tcPr>
            <w:tcW w:w="0" w:type="dxa"/>
            <w:vAlign w:val="center"/>
          </w:tcPr>
          <w:p>
            <w:pPr>
              <w:spacing w:line="240" w:lineRule="auto"/>
              <w:jc w:val="right"/>
            </w:pPr>
            <w:r>
              <w:rPr>
                <w:rFonts w:ascii="宋体" w:hAnsi="宋体" w:eastAsia="宋体" w:cs="宋体"/>
                <w:b w:val="0"/>
              </w:rPr>
              <w:t>18.50%</w:t>
            </w:r>
          </w:p>
        </w:tc>
        <w:tc>
          <w:tcPr>
            <w:tcW w:w="0" w:type="dxa"/>
            <w:vAlign w:val="center"/>
          </w:tcPr>
          <w:p>
            <w:pPr>
              <w:spacing w:line="240" w:lineRule="auto"/>
              <w:jc w:val="right"/>
            </w:pPr>
            <w:r>
              <w:rPr>
                <w:rFonts w:ascii="宋体" w:hAnsi="宋体" w:eastAsia="宋体" w:cs="宋体"/>
                <w:b w:val="0"/>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-11.21%</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22.66%</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-33.87%</w:t>
            </w:r>
          </w:p>
        </w:tc>
        <w:tc>
          <w:tcPr>
            <w:tcW w:w="0" w:type="dxa"/>
            <w:vAlign w:val="center"/>
          </w:tcPr>
          <w:p>
            <w:pPr>
              <w:spacing w:line="240" w:lineRule="auto"/>
              <w:jc w:val="right"/>
            </w:pPr>
            <w:r>
              <w:rPr>
                <w:rFonts w:ascii="宋体" w:hAnsi="宋体" w:eastAsia="宋体" w:cs="宋体"/>
                <w:b w:val="0"/>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-34.16%</w:t>
            </w:r>
          </w:p>
        </w:tc>
        <w:tc>
          <w:tcPr>
            <w:tcW w:w="0" w:type="dxa"/>
            <w:vAlign w:val="center"/>
          </w:tcPr>
          <w:p>
            <w:pPr>
              <w:spacing w:line="240" w:lineRule="auto"/>
              <w:jc w:val="right"/>
            </w:pPr>
            <w:r>
              <w:rPr>
                <w:rFonts w:ascii="宋体" w:hAnsi="宋体" w:eastAsia="宋体" w:cs="宋体"/>
                <w:b w:val="0"/>
              </w:rPr>
              <w:t>1.93%</w:t>
            </w:r>
          </w:p>
        </w:tc>
        <w:tc>
          <w:tcPr>
            <w:tcW w:w="0" w:type="dxa"/>
            <w:vAlign w:val="center"/>
          </w:tcPr>
          <w:p>
            <w:pPr>
              <w:spacing w:line="240" w:lineRule="auto"/>
              <w:jc w:val="right"/>
            </w:pPr>
            <w:r>
              <w:rPr>
                <w:rFonts w:ascii="宋体" w:hAnsi="宋体" w:eastAsia="宋体" w:cs="宋体"/>
                <w:b w:val="0"/>
              </w:rPr>
              <w:t>0.27%</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-34.43%</w:t>
            </w:r>
          </w:p>
        </w:tc>
        <w:tc>
          <w:tcPr>
            <w:tcW w:w="0" w:type="dxa"/>
            <w:vAlign w:val="center"/>
          </w:tcPr>
          <w:p>
            <w:pPr>
              <w:spacing w:line="240" w:lineRule="auto"/>
              <w:jc w:val="right"/>
            </w:pPr>
            <w:r>
              <w:rPr>
                <w:rFonts w:ascii="宋体" w:hAnsi="宋体" w:eastAsia="宋体" w:cs="宋体"/>
                <w:b w:val="0"/>
              </w:rPr>
              <w:t>1.02%</w:t>
            </w:r>
          </w:p>
        </w:tc>
      </w:tr>
    </w:tbl>
    <w:p>
      <w:pPr>
        <w:jc w:val="left"/>
      </w:pPr>
      <w:r>
        <w:rPr>
          <w:rFonts w:ascii="宋体" w:hAnsi="宋体" w:eastAsia="宋体" w:cs="宋体"/>
          <w:b/>
        </w:rPr>
        <w:t>东方阿尔法产业先锋混合C净值表现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46.91%</w:t>
            </w:r>
          </w:p>
        </w:tc>
        <w:tc>
          <w:tcPr>
            <w:tcW w:w="0" w:type="dxa"/>
            <w:vAlign w:val="center"/>
          </w:tcPr>
          <w:p>
            <w:pPr>
              <w:spacing w:line="240" w:lineRule="auto"/>
              <w:jc w:val="right"/>
            </w:pPr>
            <w:r>
              <w:rPr>
                <w:rFonts w:ascii="宋体" w:hAnsi="宋体" w:eastAsia="宋体" w:cs="宋体"/>
                <w:b w:val="0"/>
              </w:rPr>
              <w:t>2.56%</w:t>
            </w:r>
          </w:p>
        </w:tc>
        <w:tc>
          <w:tcPr>
            <w:tcW w:w="0" w:type="dxa"/>
            <w:vAlign w:val="center"/>
          </w:tcPr>
          <w:p>
            <w:pPr>
              <w:spacing w:line="240" w:lineRule="auto"/>
              <w:jc w:val="right"/>
            </w:pPr>
            <w:r>
              <w:rPr>
                <w:rFonts w:ascii="宋体" w:hAnsi="宋体" w:eastAsia="宋体" w:cs="宋体"/>
                <w:b w:val="0"/>
              </w:rPr>
              <w:t>15.41%</w:t>
            </w:r>
          </w:p>
        </w:tc>
        <w:tc>
          <w:tcPr>
            <w:tcW w:w="0" w:type="dxa"/>
            <w:vAlign w:val="center"/>
          </w:tcPr>
          <w:p>
            <w:pPr>
              <w:spacing w:line="240" w:lineRule="auto"/>
              <w:jc w:val="right"/>
            </w:pPr>
            <w:r>
              <w:rPr>
                <w:rFonts w:ascii="宋体" w:hAnsi="宋体" w:eastAsia="宋体" w:cs="宋体"/>
                <w:b w:val="0"/>
              </w:rPr>
              <w:t>0.71%</w:t>
            </w:r>
          </w:p>
        </w:tc>
        <w:tc>
          <w:tcPr>
            <w:tcW w:w="0" w:type="dxa"/>
            <w:vAlign w:val="center"/>
          </w:tcPr>
          <w:p>
            <w:pPr>
              <w:spacing w:line="240" w:lineRule="auto"/>
              <w:jc w:val="right"/>
            </w:pPr>
            <w:r>
              <w:rPr>
                <w:rFonts w:ascii="宋体" w:hAnsi="宋体" w:eastAsia="宋体" w:cs="宋体"/>
                <w:b w:val="0"/>
              </w:rPr>
              <w:t>31.50%</w:t>
            </w:r>
          </w:p>
        </w:tc>
        <w:tc>
          <w:tcPr>
            <w:tcW w:w="0" w:type="dxa"/>
            <w:vAlign w:val="center"/>
          </w:tcPr>
          <w:p>
            <w:pPr>
              <w:spacing w:line="240" w:lineRule="auto"/>
              <w:jc w:val="right"/>
            </w:pPr>
            <w:r>
              <w:rPr>
                <w:rFonts w:ascii="宋体" w:hAnsi="宋体" w:eastAsia="宋体" w:cs="宋体"/>
                <w:b w:val="0"/>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38.58%</w:t>
            </w:r>
          </w:p>
        </w:tc>
        <w:tc>
          <w:tcPr>
            <w:tcW w:w="0" w:type="dxa"/>
            <w:vAlign w:val="center"/>
          </w:tcPr>
          <w:p>
            <w:pPr>
              <w:spacing w:line="240" w:lineRule="auto"/>
              <w:jc w:val="right"/>
            </w:pPr>
            <w:r>
              <w:rPr>
                <w:rFonts w:ascii="宋体" w:hAnsi="宋体" w:eastAsia="宋体" w:cs="宋体"/>
                <w:b w:val="0"/>
              </w:rPr>
              <w:t>2.06%</w:t>
            </w:r>
          </w:p>
        </w:tc>
        <w:tc>
          <w:tcPr>
            <w:tcW w:w="0" w:type="dxa"/>
            <w:vAlign w:val="center"/>
          </w:tcPr>
          <w:p>
            <w:pPr>
              <w:spacing w:line="240" w:lineRule="auto"/>
              <w:jc w:val="right"/>
            </w:pPr>
            <w:r>
              <w:rPr>
                <w:rFonts w:ascii="宋体" w:hAnsi="宋体" w:eastAsia="宋体" w:cs="宋体"/>
                <w:b w:val="0"/>
              </w:rPr>
              <w:t>17.00%</w:t>
            </w:r>
          </w:p>
        </w:tc>
        <w:tc>
          <w:tcPr>
            <w:tcW w:w="0" w:type="dxa"/>
            <w:vAlign w:val="center"/>
          </w:tcPr>
          <w:p>
            <w:pPr>
              <w:spacing w:line="240" w:lineRule="auto"/>
              <w:jc w:val="right"/>
            </w:pPr>
            <w:r>
              <w:rPr>
                <w:rFonts w:ascii="宋体" w:hAnsi="宋体" w:eastAsia="宋体" w:cs="宋体"/>
                <w:b w:val="0"/>
              </w:rPr>
              <w:t>0.83%</w:t>
            </w:r>
          </w:p>
        </w:tc>
        <w:tc>
          <w:tcPr>
            <w:tcW w:w="0" w:type="dxa"/>
            <w:vAlign w:val="center"/>
          </w:tcPr>
          <w:p>
            <w:pPr>
              <w:spacing w:line="240" w:lineRule="auto"/>
              <w:jc w:val="right"/>
            </w:pPr>
            <w:r>
              <w:rPr>
                <w:rFonts w:ascii="宋体" w:hAnsi="宋体" w:eastAsia="宋体" w:cs="宋体"/>
                <w:b w:val="0"/>
              </w:rPr>
              <w:t>21.58%</w:t>
            </w:r>
          </w:p>
        </w:tc>
        <w:tc>
          <w:tcPr>
            <w:tcW w:w="0" w:type="dxa"/>
            <w:vAlign w:val="center"/>
          </w:tcPr>
          <w:p>
            <w:pPr>
              <w:spacing w:line="240" w:lineRule="auto"/>
              <w:jc w:val="right"/>
            </w:pPr>
            <w:r>
              <w:rPr>
                <w:rFonts w:ascii="宋体" w:hAnsi="宋体" w:eastAsia="宋体" w:cs="宋体"/>
                <w:b w:val="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33.75%</w:t>
            </w:r>
          </w:p>
        </w:tc>
        <w:tc>
          <w:tcPr>
            <w:tcW w:w="0" w:type="dxa"/>
            <w:vAlign w:val="center"/>
          </w:tcPr>
          <w:p>
            <w:pPr>
              <w:spacing w:line="240" w:lineRule="auto"/>
              <w:jc w:val="right"/>
            </w:pPr>
            <w:r>
              <w:rPr>
                <w:rFonts w:ascii="宋体" w:hAnsi="宋体" w:eastAsia="宋体" w:cs="宋体"/>
                <w:b w:val="0"/>
              </w:rPr>
              <w:t>1.76%</w:t>
            </w:r>
          </w:p>
        </w:tc>
        <w:tc>
          <w:tcPr>
            <w:tcW w:w="0" w:type="dxa"/>
            <w:vAlign w:val="center"/>
          </w:tcPr>
          <w:p>
            <w:pPr>
              <w:spacing w:line="240" w:lineRule="auto"/>
              <w:jc w:val="right"/>
            </w:pPr>
            <w:r>
              <w:rPr>
                <w:rFonts w:ascii="宋体" w:hAnsi="宋体" w:eastAsia="宋体" w:cs="宋体"/>
                <w:b w:val="0"/>
              </w:rPr>
              <w:t>15.89%</w:t>
            </w:r>
          </w:p>
        </w:tc>
        <w:tc>
          <w:tcPr>
            <w:tcW w:w="0" w:type="dxa"/>
            <w:vAlign w:val="center"/>
          </w:tcPr>
          <w:p>
            <w:pPr>
              <w:spacing w:line="240" w:lineRule="auto"/>
              <w:jc w:val="right"/>
            </w:pPr>
            <w:r>
              <w:rPr>
                <w:rFonts w:ascii="宋体" w:hAnsi="宋体" w:eastAsia="宋体" w:cs="宋体"/>
                <w:b w:val="0"/>
              </w:rPr>
              <w:t>1.00%</w:t>
            </w:r>
          </w:p>
        </w:tc>
        <w:tc>
          <w:tcPr>
            <w:tcW w:w="0" w:type="dxa"/>
            <w:vAlign w:val="center"/>
          </w:tcPr>
          <w:p>
            <w:pPr>
              <w:spacing w:line="240" w:lineRule="auto"/>
              <w:jc w:val="right"/>
            </w:pPr>
            <w:r>
              <w:rPr>
                <w:rFonts w:ascii="宋体" w:hAnsi="宋体" w:eastAsia="宋体" w:cs="宋体"/>
                <w:b w:val="0"/>
              </w:rPr>
              <w:t>17.86%</w:t>
            </w:r>
          </w:p>
        </w:tc>
        <w:tc>
          <w:tcPr>
            <w:tcW w:w="0" w:type="dxa"/>
            <w:vAlign w:val="center"/>
          </w:tcPr>
          <w:p>
            <w:pPr>
              <w:spacing w:line="240" w:lineRule="auto"/>
              <w:jc w:val="right"/>
            </w:pPr>
            <w:r>
              <w:rPr>
                <w:rFonts w:ascii="宋体" w:hAnsi="宋体" w:eastAsia="宋体" w:cs="宋体"/>
                <w:b w:val="0"/>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-12.52%</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22.66%</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-35.18%</w:t>
            </w:r>
          </w:p>
        </w:tc>
        <w:tc>
          <w:tcPr>
            <w:tcW w:w="0" w:type="dxa"/>
            <w:vAlign w:val="center"/>
          </w:tcPr>
          <w:p>
            <w:pPr>
              <w:spacing w:line="240" w:lineRule="auto"/>
              <w:jc w:val="right"/>
            </w:pPr>
            <w:r>
              <w:rPr>
                <w:rFonts w:ascii="宋体" w:hAnsi="宋体" w:eastAsia="宋体" w:cs="宋体"/>
                <w:b w:val="0"/>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-35.52%</w:t>
            </w:r>
          </w:p>
        </w:tc>
        <w:tc>
          <w:tcPr>
            <w:tcW w:w="0" w:type="dxa"/>
            <w:vAlign w:val="center"/>
          </w:tcPr>
          <w:p>
            <w:pPr>
              <w:spacing w:line="240" w:lineRule="auto"/>
              <w:jc w:val="right"/>
            </w:pPr>
            <w:r>
              <w:rPr>
                <w:rFonts w:ascii="宋体" w:hAnsi="宋体" w:eastAsia="宋体" w:cs="宋体"/>
                <w:b w:val="0"/>
              </w:rPr>
              <w:t>1.93%</w:t>
            </w:r>
          </w:p>
        </w:tc>
        <w:tc>
          <w:tcPr>
            <w:tcW w:w="0" w:type="dxa"/>
            <w:vAlign w:val="center"/>
          </w:tcPr>
          <w:p>
            <w:pPr>
              <w:spacing w:line="240" w:lineRule="auto"/>
              <w:jc w:val="right"/>
            </w:pPr>
            <w:r>
              <w:rPr>
                <w:rFonts w:ascii="宋体" w:hAnsi="宋体" w:eastAsia="宋体" w:cs="宋体"/>
                <w:b w:val="0"/>
              </w:rPr>
              <w:t>0.27%</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-35.79%</w:t>
            </w:r>
          </w:p>
        </w:tc>
        <w:tc>
          <w:tcPr>
            <w:tcW w:w="0" w:type="dxa"/>
            <w:vAlign w:val="center"/>
          </w:tcPr>
          <w:p>
            <w:pPr>
              <w:spacing w:line="240" w:lineRule="auto"/>
              <w:jc w:val="right"/>
            </w:pPr>
            <w:r>
              <w:rPr>
                <w:rFonts w:ascii="宋体" w:hAnsi="宋体" w:eastAsia="宋体" w:cs="宋体"/>
                <w:b w:val="0"/>
              </w:rPr>
              <w:t>1.02%</w:t>
            </w:r>
          </w:p>
        </w:tc>
      </w:tr>
    </w:tbl>
    <w:p>
      <w:r>
        <w:rPr>
          <w:rFonts w:ascii="宋体" w:hAnsi="宋体" w:eastAsia="宋体" w:cs="宋体"/>
          <w:b w:val="0"/>
        </w:rPr>
        <w:t>注：1、本基金业绩比较基准为：中证800指数收益率×80%+中证综合债券指数收益率×20%。</w:t>
      </w:r>
      <w:r>
        <w:rPr>
          <w:rFonts w:ascii="宋体" w:hAnsi="宋体" w:eastAsia="宋体" w:cs="宋体"/>
          <w:b w:val="0"/>
        </w:rPr>
        <w:cr/>
      </w:r>
      <w:r>
        <w:rPr>
          <w:rFonts w:ascii="宋体" w:hAnsi="宋体" w:eastAsia="宋体" w:cs="宋体"/>
          <w:b w:val="0"/>
        </w:rPr>
        <w:t>2、本基金自2021年07月21日成立至今尚未满五年，无过去五年的净值表现。</w:t>
      </w:r>
    </w:p>
    <w:p/>
    <w:p>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尹智斌</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2024-01-30</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2025-07-01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进入三季度，经济继续保持了二季度的稳健增长态势，此前大家担心的三季度经济指标可能恶化的状况并未出现。特别是出口增速一直维持在高个位数增长，这在一定程度上对中国经济增长起到了稳定作用。我们相信，随着时间推移，我们在对美交涉以及经济、科技等多方面的应对将更加从容，这也将有助于保持进出口的稳健势头。在出口形势良好的背景下，财政政策并未过度刺激，从而保留了宝贵的政策空间。鉴于当前经济的稳健势头，预计今年有望完成全年5%的经济增长目标。</w:t>
      </w:r>
      <w:r>
        <w:rPr>
          <w:rFonts w:ascii="宋体" w:hAnsi="宋体" w:eastAsia="宋体" w:cs="宋体"/>
          <w:b w:val="0"/>
        </w:rPr>
        <w:cr/>
      </w:r>
      <w:r>
        <w:rPr>
          <w:rFonts w:ascii="宋体" w:hAnsi="宋体" w:eastAsia="宋体" w:cs="宋体"/>
          <w:b w:val="0"/>
        </w:rPr>
        <w:t xml:space="preserve">    资本市场也呈现出稳健向上的态势。经历了4月份的大幅下跌之后，市场看到了国家稳定资本市场的决心和能力。随着长期资金的纷纷入场，以及更多投资者的积极参与，各大指数稳步上扬。在固态电池板块，随着头部公司不断发布固态电池进展，板块也迎来了不错的上行。此外，随着海内外储能板块的景气加速，电池材料产业链价格见底反转的预期提升，进而带动锂电板块进一步上扬。</w:t>
      </w:r>
      <w:r>
        <w:rPr>
          <w:rFonts w:ascii="宋体" w:hAnsi="宋体" w:eastAsia="宋体" w:cs="宋体"/>
          <w:b w:val="0"/>
        </w:rPr>
        <w:cr/>
      </w:r>
      <w:r>
        <w:rPr>
          <w:rFonts w:ascii="宋体" w:hAnsi="宋体" w:eastAsia="宋体" w:cs="宋体"/>
          <w:b w:val="0"/>
        </w:rPr>
        <w:t xml:space="preserve">    展望四季度，随着各大电池厂开始下单固态电池设备，其中的设备龙头公司将逐渐清晰。我们预计这些公司将迎来一波不错的投资机会，也将带动固态材料等公司的上涨。随着储能行业的进一步发展，许多布局固态电池的锂电材料公司的主业也将出现改善，呈现出经典的行业见底反转，这些公司也将迎来良好的投资机会。</w:t>
      </w:r>
      <w:r>
        <w:rPr>
          <w:rFonts w:ascii="宋体" w:hAnsi="宋体" w:eastAsia="宋体" w:cs="宋体"/>
          <w:b w:val="0"/>
        </w:rPr>
        <w:cr/>
      </w:r>
      <w:r>
        <w:rPr>
          <w:rFonts w:ascii="宋体" w:hAnsi="宋体" w:eastAsia="宋体" w:cs="宋体"/>
          <w:b w:val="0"/>
        </w:rPr>
        <w:t xml:space="preserve">    本基金将深耕固态电池产业链，为大家把握产业链的变化，找到行业中最具受益潜力的方向，为大家创造价值。</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产业先锋混合A基金份额净值为0.6584元，本报告期内，该类基金份额净值增长率为47.06%，同期业绩比较基准收益率为15.41%；截至报告期末东方阿尔法产业先锋混合C基金份额净值为0.6448元，本报告期内，该类基金份额净值增长率为46.91%，同期业绩比较基准收益率为15.41%。</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1,304,369,171.72</w:t>
            </w:r>
          </w:p>
        </w:tc>
        <w:tc>
          <w:tcPr>
            <w:tcW w:w="0" w:type="dxa"/>
            <w:vAlign w:val="center"/>
          </w:tcPr>
          <w:p>
            <w:pPr>
              <w:spacing w:line="240" w:lineRule="auto"/>
              <w:jc w:val="right"/>
            </w:pPr>
            <w:r>
              <w:rPr>
                <w:rFonts w:ascii="宋体" w:hAnsi="宋体" w:eastAsia="宋体" w:cs="宋体"/>
                <w:b w:val="0"/>
              </w:rPr>
              <w:t>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1,304,369,171.72</w:t>
            </w:r>
          </w:p>
        </w:tc>
        <w:tc>
          <w:tcPr>
            <w:tcW w:w="0" w:type="dxa"/>
            <w:vAlign w:val="center"/>
          </w:tcPr>
          <w:p>
            <w:pPr>
              <w:spacing w:line="240" w:lineRule="auto"/>
              <w:jc w:val="right"/>
            </w:pPr>
            <w:r>
              <w:rPr>
                <w:rFonts w:ascii="宋体" w:hAnsi="宋体" w:eastAsia="宋体" w:cs="宋体"/>
                <w:b w:val="0"/>
              </w:rPr>
              <w:t>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90,036,115.73</w:t>
            </w:r>
          </w:p>
        </w:tc>
        <w:tc>
          <w:tcPr>
            <w:tcW w:w="0" w:type="dxa"/>
            <w:vAlign w:val="center"/>
          </w:tcPr>
          <w:p>
            <w:pPr>
              <w:spacing w:line="240" w:lineRule="auto"/>
              <w:jc w:val="right"/>
            </w:pPr>
            <w:r>
              <w:rPr>
                <w:rFonts w:ascii="宋体" w:hAnsi="宋体" w:eastAsia="宋体" w:cs="宋体"/>
                <w:b w:val="0"/>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90,036,115.73</w:t>
            </w:r>
          </w:p>
        </w:tc>
        <w:tc>
          <w:tcPr>
            <w:tcW w:w="0" w:type="dxa"/>
            <w:vAlign w:val="center"/>
          </w:tcPr>
          <w:p>
            <w:pPr>
              <w:spacing w:line="240" w:lineRule="auto"/>
              <w:jc w:val="right"/>
            </w:pPr>
            <w:r>
              <w:rPr>
                <w:rFonts w:ascii="宋体" w:hAnsi="宋体" w:eastAsia="宋体" w:cs="宋体"/>
                <w:b w:val="0"/>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-5,999.29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69,632,520.84</w:t>
            </w:r>
          </w:p>
        </w:tc>
        <w:tc>
          <w:tcPr>
            <w:tcW w:w="0" w:type="dxa"/>
            <w:vAlign w:val="center"/>
          </w:tcPr>
          <w:p>
            <w:pPr>
              <w:spacing w:line="240" w:lineRule="auto"/>
              <w:jc w:val="right"/>
            </w:pPr>
            <w:r>
              <w:rPr>
                <w:rFonts w:ascii="宋体" w:hAnsi="宋体" w:eastAsia="宋体" w:cs="宋体"/>
                <w:b w:val="0"/>
              </w:rPr>
              <w:t>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4,240,533.90</w:t>
            </w:r>
          </w:p>
        </w:tc>
        <w:tc>
          <w:tcPr>
            <w:tcW w:w="0" w:type="dxa"/>
            <w:vAlign w:val="center"/>
          </w:tcPr>
          <w:p>
            <w:pPr>
              <w:spacing w:line="240" w:lineRule="auto"/>
              <w:jc w:val="right"/>
            </w:pPr>
            <w:r>
              <w:rPr>
                <w:rFonts w:ascii="宋体" w:hAnsi="宋体" w:eastAsia="宋体" w:cs="宋体"/>
                <w:b w:val="0"/>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1,468,272,342.90</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082"/>
        <w:gridCol w:w="189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1,199,022,058.63</w:t>
            </w:r>
          </w:p>
        </w:tc>
        <w:tc>
          <w:tcPr>
            <w:tcW w:w="0" w:type="dxa"/>
            <w:vAlign w:val="center"/>
          </w:tcPr>
          <w:p>
            <w:pPr>
              <w:spacing w:line="240" w:lineRule="auto"/>
              <w:jc w:val="right"/>
            </w:pPr>
            <w:r>
              <w:rPr>
                <w:rFonts w:ascii="宋体" w:hAnsi="宋体" w:eastAsia="宋体" w:cs="宋体"/>
                <w:b w:val="0"/>
              </w:rPr>
              <w:t>86.95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128,791.71</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19,585.22</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105,198,736.16</w:t>
            </w:r>
          </w:p>
        </w:tc>
        <w:tc>
          <w:tcPr>
            <w:tcW w:w="0" w:type="dxa"/>
            <w:vAlign w:val="center"/>
          </w:tcPr>
          <w:p>
            <w:pPr>
              <w:spacing w:line="240" w:lineRule="auto"/>
              <w:jc w:val="right"/>
            </w:pPr>
            <w:r>
              <w:rPr>
                <w:rFonts w:ascii="宋体" w:hAnsi="宋体" w:eastAsia="宋体" w:cs="宋体"/>
                <w:b w:val="0"/>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1,304,369,171.72</w:t>
            </w:r>
          </w:p>
        </w:tc>
        <w:tc>
          <w:tcPr>
            <w:tcW w:w="0" w:type="dxa"/>
            <w:vAlign w:val="center"/>
          </w:tcPr>
          <w:p>
            <w:pPr>
              <w:spacing w:line="240" w:lineRule="auto"/>
              <w:jc w:val="right"/>
            </w:pPr>
            <w:r>
              <w:rPr>
                <w:rFonts w:ascii="宋体" w:hAnsi="宋体" w:eastAsia="宋体" w:cs="宋体"/>
                <w:b w:val="0"/>
              </w:rPr>
              <w:t>94.59</w:t>
            </w:r>
          </w:p>
        </w:tc>
      </w:tr>
    </w:tbl>
    <w:p/>
    <w:p>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603200</w:t>
            </w:r>
          </w:p>
        </w:tc>
        <w:tc>
          <w:tcPr>
            <w:tcW w:w="0" w:type="dxa"/>
            <w:vAlign w:val="center"/>
          </w:tcPr>
          <w:p>
            <w:pPr>
              <w:spacing w:line="240" w:lineRule="auto"/>
              <w:jc w:val="left"/>
            </w:pPr>
            <w:r>
              <w:rPr>
                <w:rFonts w:ascii="宋体" w:hAnsi="宋体" w:eastAsia="宋体" w:cs="宋体"/>
                <w:b w:val="0"/>
              </w:rPr>
              <w:t>上海洗霸</w:t>
            </w:r>
          </w:p>
        </w:tc>
        <w:tc>
          <w:tcPr>
            <w:tcW w:w="0" w:type="dxa"/>
            <w:vAlign w:val="center"/>
          </w:tcPr>
          <w:p>
            <w:pPr>
              <w:spacing w:line="240" w:lineRule="auto"/>
              <w:jc w:val="right"/>
            </w:pPr>
            <w:r>
              <w:rPr>
                <w:rFonts w:ascii="宋体" w:hAnsi="宋体" w:eastAsia="宋体" w:cs="宋体"/>
                <w:b w:val="0"/>
              </w:rPr>
              <w:t>1,158,704</w:t>
            </w:r>
          </w:p>
        </w:tc>
        <w:tc>
          <w:tcPr>
            <w:tcW w:w="0" w:type="dxa"/>
            <w:vAlign w:val="center"/>
          </w:tcPr>
          <w:p>
            <w:pPr>
              <w:spacing w:line="240" w:lineRule="auto"/>
              <w:jc w:val="right"/>
            </w:pPr>
            <w:r>
              <w:rPr>
                <w:rFonts w:ascii="宋体" w:hAnsi="宋体" w:eastAsia="宋体" w:cs="宋体"/>
                <w:b w:val="0"/>
              </w:rPr>
              <w:t>105,198,736.16</w:t>
            </w:r>
          </w:p>
        </w:tc>
        <w:tc>
          <w:tcPr>
            <w:tcW w:w="0" w:type="dxa"/>
            <w:vAlign w:val="center"/>
          </w:tcPr>
          <w:p>
            <w:pPr>
              <w:spacing w:line="240" w:lineRule="auto"/>
              <w:jc w:val="right"/>
            </w:pPr>
            <w:r>
              <w:rPr>
                <w:rFonts w:ascii="宋体" w:hAnsi="宋体" w:eastAsia="宋体" w:cs="宋体"/>
                <w:b w:val="0"/>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603663</w:t>
            </w:r>
          </w:p>
        </w:tc>
        <w:tc>
          <w:tcPr>
            <w:tcW w:w="0" w:type="dxa"/>
            <w:vAlign w:val="center"/>
          </w:tcPr>
          <w:p>
            <w:pPr>
              <w:spacing w:line="240" w:lineRule="auto"/>
              <w:jc w:val="left"/>
            </w:pPr>
            <w:r>
              <w:rPr>
                <w:rFonts w:ascii="宋体" w:hAnsi="宋体" w:eastAsia="宋体" w:cs="宋体"/>
                <w:b w:val="0"/>
              </w:rPr>
              <w:t>三祥新材</w:t>
            </w:r>
          </w:p>
        </w:tc>
        <w:tc>
          <w:tcPr>
            <w:tcW w:w="0" w:type="dxa"/>
            <w:vAlign w:val="center"/>
          </w:tcPr>
          <w:p>
            <w:pPr>
              <w:spacing w:line="240" w:lineRule="auto"/>
              <w:jc w:val="right"/>
            </w:pPr>
            <w:r>
              <w:rPr>
                <w:rFonts w:ascii="宋体" w:hAnsi="宋体" w:eastAsia="宋体" w:cs="宋体"/>
                <w:b w:val="0"/>
              </w:rPr>
              <w:t>3,208,600</w:t>
            </w:r>
          </w:p>
        </w:tc>
        <w:tc>
          <w:tcPr>
            <w:tcW w:w="0" w:type="dxa"/>
            <w:vAlign w:val="center"/>
          </w:tcPr>
          <w:p>
            <w:pPr>
              <w:spacing w:line="240" w:lineRule="auto"/>
              <w:jc w:val="right"/>
            </w:pPr>
            <w:r>
              <w:rPr>
                <w:rFonts w:ascii="宋体" w:hAnsi="宋体" w:eastAsia="宋体" w:cs="宋体"/>
                <w:b w:val="0"/>
              </w:rPr>
              <w:t>92,086,820.00</w:t>
            </w:r>
          </w:p>
        </w:tc>
        <w:tc>
          <w:tcPr>
            <w:tcW w:w="0" w:type="dxa"/>
            <w:vAlign w:val="center"/>
          </w:tcPr>
          <w:p>
            <w:pPr>
              <w:spacing w:line="240" w:lineRule="auto"/>
              <w:jc w:val="right"/>
            </w:pPr>
            <w:r>
              <w:rPr>
                <w:rFonts w:ascii="宋体" w:hAnsi="宋体" w:eastAsia="宋体" w:cs="宋体"/>
                <w:b w:val="0"/>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688778</w:t>
            </w:r>
          </w:p>
        </w:tc>
        <w:tc>
          <w:tcPr>
            <w:tcW w:w="0" w:type="dxa"/>
            <w:vAlign w:val="center"/>
          </w:tcPr>
          <w:p>
            <w:pPr>
              <w:spacing w:line="240" w:lineRule="auto"/>
              <w:jc w:val="left"/>
            </w:pPr>
            <w:r>
              <w:rPr>
                <w:rFonts w:ascii="宋体" w:hAnsi="宋体" w:eastAsia="宋体" w:cs="宋体"/>
                <w:b w:val="0"/>
              </w:rPr>
              <w:t>厦钨新能</w:t>
            </w:r>
          </w:p>
        </w:tc>
        <w:tc>
          <w:tcPr>
            <w:tcW w:w="0" w:type="dxa"/>
            <w:vAlign w:val="center"/>
          </w:tcPr>
          <w:p>
            <w:pPr>
              <w:spacing w:line="240" w:lineRule="auto"/>
              <w:jc w:val="right"/>
            </w:pPr>
            <w:r>
              <w:rPr>
                <w:rFonts w:ascii="宋体" w:hAnsi="宋体" w:eastAsia="宋体" w:cs="宋体"/>
                <w:b w:val="0"/>
              </w:rPr>
              <w:t>1,020,097</w:t>
            </w:r>
          </w:p>
        </w:tc>
        <w:tc>
          <w:tcPr>
            <w:tcW w:w="0" w:type="dxa"/>
            <w:vAlign w:val="center"/>
          </w:tcPr>
          <w:p>
            <w:pPr>
              <w:spacing w:line="240" w:lineRule="auto"/>
              <w:jc w:val="right"/>
            </w:pPr>
            <w:r>
              <w:rPr>
                <w:rFonts w:ascii="宋体" w:hAnsi="宋体" w:eastAsia="宋体" w:cs="宋体"/>
                <w:b w:val="0"/>
              </w:rPr>
              <w:t>85,586,138.30</w:t>
            </w:r>
          </w:p>
        </w:tc>
        <w:tc>
          <w:tcPr>
            <w:tcW w:w="0" w:type="dxa"/>
            <w:vAlign w:val="center"/>
          </w:tcPr>
          <w:p>
            <w:pPr>
              <w:spacing w:line="240" w:lineRule="auto"/>
              <w:jc w:val="right"/>
            </w:pPr>
            <w:r>
              <w:rPr>
                <w:rFonts w:ascii="宋体" w:hAnsi="宋体" w:eastAsia="宋体" w:cs="宋体"/>
                <w:b w:val="0"/>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688499</w:t>
            </w:r>
          </w:p>
        </w:tc>
        <w:tc>
          <w:tcPr>
            <w:tcW w:w="0" w:type="dxa"/>
            <w:vAlign w:val="center"/>
          </w:tcPr>
          <w:p>
            <w:pPr>
              <w:spacing w:line="240" w:lineRule="auto"/>
              <w:jc w:val="left"/>
            </w:pPr>
            <w:r>
              <w:rPr>
                <w:rFonts w:ascii="宋体" w:hAnsi="宋体" w:eastAsia="宋体" w:cs="宋体"/>
                <w:b w:val="0"/>
              </w:rPr>
              <w:t>利元亨</w:t>
            </w:r>
          </w:p>
        </w:tc>
        <w:tc>
          <w:tcPr>
            <w:tcW w:w="0" w:type="dxa"/>
            <w:vAlign w:val="center"/>
          </w:tcPr>
          <w:p>
            <w:pPr>
              <w:spacing w:line="240" w:lineRule="auto"/>
              <w:jc w:val="right"/>
            </w:pPr>
            <w:r>
              <w:rPr>
                <w:rFonts w:ascii="宋体" w:hAnsi="宋体" w:eastAsia="宋体" w:cs="宋体"/>
                <w:b w:val="0"/>
              </w:rPr>
              <w:t>1,144,106</w:t>
            </w:r>
          </w:p>
        </w:tc>
        <w:tc>
          <w:tcPr>
            <w:tcW w:w="0" w:type="dxa"/>
            <w:vAlign w:val="center"/>
          </w:tcPr>
          <w:p>
            <w:pPr>
              <w:spacing w:line="240" w:lineRule="auto"/>
              <w:jc w:val="right"/>
            </w:pPr>
            <w:r>
              <w:rPr>
                <w:rFonts w:ascii="宋体" w:hAnsi="宋体" w:eastAsia="宋体" w:cs="宋体"/>
                <w:b w:val="0"/>
              </w:rPr>
              <w:t>82,638,776.38</w:t>
            </w:r>
          </w:p>
        </w:tc>
        <w:tc>
          <w:tcPr>
            <w:tcW w:w="0" w:type="dxa"/>
            <w:vAlign w:val="center"/>
          </w:tcPr>
          <w:p>
            <w:pPr>
              <w:spacing w:line="240" w:lineRule="auto"/>
              <w:jc w:val="right"/>
            </w:pPr>
            <w:r>
              <w:rPr>
                <w:rFonts w:ascii="宋体" w:hAnsi="宋体" w:eastAsia="宋体" w:cs="宋体"/>
                <w:b w:val="0"/>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688518</w:t>
            </w:r>
          </w:p>
        </w:tc>
        <w:tc>
          <w:tcPr>
            <w:tcW w:w="0" w:type="dxa"/>
            <w:vAlign w:val="center"/>
          </w:tcPr>
          <w:p>
            <w:pPr>
              <w:spacing w:line="240" w:lineRule="auto"/>
              <w:jc w:val="left"/>
            </w:pPr>
            <w:r>
              <w:rPr>
                <w:rFonts w:ascii="宋体" w:hAnsi="宋体" w:eastAsia="宋体" w:cs="宋体"/>
                <w:b w:val="0"/>
              </w:rPr>
              <w:t>联赢激光</w:t>
            </w:r>
          </w:p>
        </w:tc>
        <w:tc>
          <w:tcPr>
            <w:tcW w:w="0" w:type="dxa"/>
            <w:vAlign w:val="center"/>
          </w:tcPr>
          <w:p>
            <w:pPr>
              <w:spacing w:line="240" w:lineRule="auto"/>
              <w:jc w:val="right"/>
            </w:pPr>
            <w:r>
              <w:rPr>
                <w:rFonts w:ascii="宋体" w:hAnsi="宋体" w:eastAsia="宋体" w:cs="宋体"/>
                <w:b w:val="0"/>
              </w:rPr>
              <w:t>3,006,451</w:t>
            </w:r>
          </w:p>
        </w:tc>
        <w:tc>
          <w:tcPr>
            <w:tcW w:w="0" w:type="dxa"/>
            <w:vAlign w:val="center"/>
          </w:tcPr>
          <w:p>
            <w:pPr>
              <w:spacing w:line="240" w:lineRule="auto"/>
              <w:jc w:val="right"/>
            </w:pPr>
            <w:r>
              <w:rPr>
                <w:rFonts w:ascii="宋体" w:hAnsi="宋体" w:eastAsia="宋体" w:cs="宋体"/>
                <w:b w:val="0"/>
              </w:rPr>
              <w:t>79,821,274.05</w:t>
            </w:r>
          </w:p>
        </w:tc>
        <w:tc>
          <w:tcPr>
            <w:tcW w:w="0" w:type="dxa"/>
            <w:vAlign w:val="center"/>
          </w:tcPr>
          <w:p>
            <w:pPr>
              <w:spacing w:line="240" w:lineRule="auto"/>
              <w:jc w:val="right"/>
            </w:pPr>
            <w:r>
              <w:rPr>
                <w:rFonts w:ascii="宋体" w:hAnsi="宋体" w:eastAsia="宋体" w:cs="宋体"/>
                <w:b w:val="0"/>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688559</w:t>
            </w:r>
          </w:p>
        </w:tc>
        <w:tc>
          <w:tcPr>
            <w:tcW w:w="0" w:type="dxa"/>
            <w:vAlign w:val="center"/>
          </w:tcPr>
          <w:p>
            <w:pPr>
              <w:spacing w:line="240" w:lineRule="auto"/>
              <w:jc w:val="left"/>
            </w:pPr>
            <w:r>
              <w:rPr>
                <w:rFonts w:ascii="宋体" w:hAnsi="宋体" w:eastAsia="宋体" w:cs="宋体"/>
                <w:b w:val="0"/>
              </w:rPr>
              <w:t>海目星</w:t>
            </w:r>
          </w:p>
        </w:tc>
        <w:tc>
          <w:tcPr>
            <w:tcW w:w="0" w:type="dxa"/>
            <w:vAlign w:val="center"/>
          </w:tcPr>
          <w:p>
            <w:pPr>
              <w:spacing w:line="240" w:lineRule="auto"/>
              <w:jc w:val="right"/>
            </w:pPr>
            <w:r>
              <w:rPr>
                <w:rFonts w:ascii="宋体" w:hAnsi="宋体" w:eastAsia="宋体" w:cs="宋体"/>
                <w:b w:val="0"/>
              </w:rPr>
              <w:t>1,623,434</w:t>
            </w:r>
          </w:p>
        </w:tc>
        <w:tc>
          <w:tcPr>
            <w:tcW w:w="0" w:type="dxa"/>
            <w:vAlign w:val="center"/>
          </w:tcPr>
          <w:p>
            <w:pPr>
              <w:spacing w:line="240" w:lineRule="auto"/>
              <w:jc w:val="right"/>
            </w:pPr>
            <w:r>
              <w:rPr>
                <w:rFonts w:ascii="宋体" w:hAnsi="宋体" w:eastAsia="宋体" w:cs="宋体"/>
                <w:b w:val="0"/>
              </w:rPr>
              <w:t>68,265,399.70</w:t>
            </w:r>
          </w:p>
        </w:tc>
        <w:tc>
          <w:tcPr>
            <w:tcW w:w="0" w:type="dxa"/>
            <w:vAlign w:val="center"/>
          </w:tcPr>
          <w:p>
            <w:pPr>
              <w:spacing w:line="240" w:lineRule="auto"/>
              <w:jc w:val="right"/>
            </w:pPr>
            <w:r>
              <w:rPr>
                <w:rFonts w:ascii="宋体" w:hAnsi="宋体" w:eastAsia="宋体" w:cs="宋体"/>
                <w:b w:val="0"/>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832522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1,046,972</w:t>
            </w:r>
          </w:p>
        </w:tc>
        <w:tc>
          <w:tcPr>
            <w:tcW w:w="0" w:type="dxa"/>
            <w:vAlign w:val="center"/>
          </w:tcPr>
          <w:p>
            <w:pPr>
              <w:spacing w:line="240" w:lineRule="auto"/>
              <w:jc w:val="right"/>
            </w:pPr>
            <w:r>
              <w:rPr>
                <w:rFonts w:ascii="宋体" w:hAnsi="宋体" w:eastAsia="宋体" w:cs="宋体"/>
                <w:b w:val="0"/>
              </w:rPr>
              <w:t>67,110,905.20</w:t>
            </w:r>
          </w:p>
        </w:tc>
        <w:tc>
          <w:tcPr>
            <w:tcW w:w="0" w:type="dxa"/>
            <w:vAlign w:val="center"/>
          </w:tcPr>
          <w:p>
            <w:pPr>
              <w:spacing w:line="240" w:lineRule="auto"/>
              <w:jc w:val="right"/>
            </w:pPr>
            <w:r>
              <w:rPr>
                <w:rFonts w:ascii="宋体" w:hAnsi="宋体" w:eastAsia="宋体" w:cs="宋体"/>
                <w:b w:val="0"/>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688155</w:t>
            </w:r>
          </w:p>
        </w:tc>
        <w:tc>
          <w:tcPr>
            <w:tcW w:w="0" w:type="dxa"/>
            <w:vAlign w:val="center"/>
          </w:tcPr>
          <w:p>
            <w:pPr>
              <w:spacing w:line="240" w:lineRule="auto"/>
              <w:jc w:val="left"/>
            </w:pPr>
            <w:r>
              <w:rPr>
                <w:rFonts w:ascii="宋体" w:hAnsi="宋体" w:eastAsia="宋体" w:cs="宋体"/>
                <w:b w:val="0"/>
              </w:rPr>
              <w:t>先惠技术</w:t>
            </w:r>
          </w:p>
        </w:tc>
        <w:tc>
          <w:tcPr>
            <w:tcW w:w="0" w:type="dxa"/>
            <w:vAlign w:val="center"/>
          </w:tcPr>
          <w:p>
            <w:pPr>
              <w:spacing w:line="240" w:lineRule="auto"/>
              <w:jc w:val="right"/>
            </w:pPr>
            <w:r>
              <w:rPr>
                <w:rFonts w:ascii="宋体" w:hAnsi="宋体" w:eastAsia="宋体" w:cs="宋体"/>
                <w:b w:val="0"/>
              </w:rPr>
              <w:t>813,584</w:t>
            </w:r>
          </w:p>
        </w:tc>
        <w:tc>
          <w:tcPr>
            <w:tcW w:w="0" w:type="dxa"/>
            <w:vAlign w:val="center"/>
          </w:tcPr>
          <w:p>
            <w:pPr>
              <w:spacing w:line="240" w:lineRule="auto"/>
              <w:jc w:val="right"/>
            </w:pPr>
            <w:r>
              <w:rPr>
                <w:rFonts w:ascii="宋体" w:hAnsi="宋体" w:eastAsia="宋体" w:cs="宋体"/>
                <w:b w:val="0"/>
              </w:rPr>
              <w:t>61,840,519.84</w:t>
            </w:r>
          </w:p>
        </w:tc>
        <w:tc>
          <w:tcPr>
            <w:tcW w:w="0" w:type="dxa"/>
            <w:vAlign w:val="center"/>
          </w:tcPr>
          <w:p>
            <w:pPr>
              <w:spacing w:line="240" w:lineRule="auto"/>
              <w:jc w:val="right"/>
            </w:pPr>
            <w:r>
              <w:rPr>
                <w:rFonts w:ascii="宋体" w:hAnsi="宋体" w:eastAsia="宋体" w:cs="宋体"/>
                <w:b w:val="0"/>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301662</w:t>
            </w:r>
          </w:p>
        </w:tc>
        <w:tc>
          <w:tcPr>
            <w:tcW w:w="0" w:type="dxa"/>
            <w:vAlign w:val="center"/>
          </w:tcPr>
          <w:p>
            <w:pPr>
              <w:spacing w:line="240" w:lineRule="auto"/>
              <w:jc w:val="left"/>
            </w:pPr>
            <w:r>
              <w:rPr>
                <w:rFonts w:ascii="宋体" w:hAnsi="宋体" w:eastAsia="宋体" w:cs="宋体"/>
                <w:b w:val="0"/>
              </w:rPr>
              <w:t>宏工科技</w:t>
            </w:r>
          </w:p>
        </w:tc>
        <w:tc>
          <w:tcPr>
            <w:tcW w:w="0" w:type="dxa"/>
            <w:vAlign w:val="center"/>
          </w:tcPr>
          <w:p>
            <w:pPr>
              <w:spacing w:line="240" w:lineRule="auto"/>
              <w:jc w:val="right"/>
            </w:pPr>
            <w:r>
              <w:rPr>
                <w:rFonts w:ascii="宋体" w:hAnsi="宋体" w:eastAsia="宋体" w:cs="宋体"/>
                <w:b w:val="0"/>
              </w:rPr>
              <w:t>473,386</w:t>
            </w:r>
          </w:p>
        </w:tc>
        <w:tc>
          <w:tcPr>
            <w:tcW w:w="0" w:type="dxa"/>
            <w:vAlign w:val="center"/>
          </w:tcPr>
          <w:p>
            <w:pPr>
              <w:spacing w:line="240" w:lineRule="auto"/>
              <w:jc w:val="right"/>
            </w:pPr>
            <w:r>
              <w:rPr>
                <w:rFonts w:ascii="宋体" w:hAnsi="宋体" w:eastAsia="宋体" w:cs="宋体"/>
                <w:b w:val="0"/>
              </w:rPr>
              <w:t>61,090,463.30</w:t>
            </w:r>
          </w:p>
        </w:tc>
        <w:tc>
          <w:tcPr>
            <w:tcW w:w="0" w:type="dxa"/>
            <w:vAlign w:val="center"/>
          </w:tcPr>
          <w:p>
            <w:pPr>
              <w:spacing w:line="240" w:lineRule="auto"/>
              <w:jc w:val="right"/>
            </w:pPr>
            <w:r>
              <w:rPr>
                <w:rFonts w:ascii="宋体" w:hAnsi="宋体" w:eastAsia="宋体" w:cs="宋体"/>
                <w:b w:val="0"/>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300457</w:t>
            </w:r>
          </w:p>
        </w:tc>
        <w:tc>
          <w:tcPr>
            <w:tcW w:w="0" w:type="dxa"/>
            <w:vAlign w:val="center"/>
          </w:tcPr>
          <w:p>
            <w:pPr>
              <w:spacing w:line="240" w:lineRule="auto"/>
              <w:jc w:val="left"/>
            </w:pPr>
            <w:r>
              <w:rPr>
                <w:rFonts w:ascii="宋体" w:hAnsi="宋体" w:eastAsia="宋体" w:cs="宋体"/>
                <w:b w:val="0"/>
              </w:rPr>
              <w:t>赢合科技</w:t>
            </w:r>
          </w:p>
        </w:tc>
        <w:tc>
          <w:tcPr>
            <w:tcW w:w="0" w:type="dxa"/>
            <w:vAlign w:val="center"/>
          </w:tcPr>
          <w:p>
            <w:pPr>
              <w:spacing w:line="240" w:lineRule="auto"/>
              <w:jc w:val="right"/>
            </w:pPr>
            <w:r>
              <w:rPr>
                <w:rFonts w:ascii="宋体" w:hAnsi="宋体" w:eastAsia="宋体" w:cs="宋体"/>
                <w:b w:val="0"/>
              </w:rPr>
              <w:t>1,767,477</w:t>
            </w:r>
          </w:p>
        </w:tc>
        <w:tc>
          <w:tcPr>
            <w:tcW w:w="0" w:type="dxa"/>
            <w:vAlign w:val="center"/>
          </w:tcPr>
          <w:p>
            <w:pPr>
              <w:spacing w:line="240" w:lineRule="auto"/>
              <w:jc w:val="right"/>
            </w:pPr>
            <w:r>
              <w:rPr>
                <w:rFonts w:ascii="宋体" w:hAnsi="宋体" w:eastAsia="宋体" w:cs="宋体"/>
                <w:b w:val="0"/>
              </w:rPr>
              <w:t>60,960,281.73</w:t>
            </w:r>
          </w:p>
        </w:tc>
        <w:tc>
          <w:tcPr>
            <w:tcW w:w="0" w:type="dxa"/>
            <w:vAlign w:val="center"/>
          </w:tcPr>
          <w:p>
            <w:pPr>
              <w:spacing w:line="240" w:lineRule="auto"/>
              <w:jc w:val="right"/>
            </w:pPr>
            <w:r>
              <w:rPr>
                <w:rFonts w:ascii="宋体" w:hAnsi="宋体" w:eastAsia="宋体" w:cs="宋体"/>
                <w:b w:val="0"/>
              </w:rPr>
              <w:t>4.42</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90,036,115.73</w:t>
            </w:r>
          </w:p>
        </w:tc>
        <w:tc>
          <w:tcPr>
            <w:tcW w:w="0" w:type="dxa"/>
            <w:vAlign w:val="center"/>
          </w:tcPr>
          <w:p>
            <w:pPr>
              <w:spacing w:line="240" w:lineRule="auto"/>
              <w:jc w:val="right"/>
            </w:pPr>
            <w:r>
              <w:rPr>
                <w:rFonts w:ascii="宋体" w:hAnsi="宋体" w:eastAsia="宋体" w:cs="宋体"/>
                <w:b w:val="0"/>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90,036,115.73</w:t>
            </w:r>
          </w:p>
        </w:tc>
        <w:tc>
          <w:tcPr>
            <w:tcW w:w="0" w:type="dxa"/>
            <w:vAlign w:val="center"/>
          </w:tcPr>
          <w:p>
            <w:pPr>
              <w:spacing w:line="240" w:lineRule="auto"/>
              <w:jc w:val="right"/>
            </w:pPr>
            <w:r>
              <w:rPr>
                <w:rFonts w:ascii="宋体" w:hAnsi="宋体" w:eastAsia="宋体" w:cs="宋体"/>
                <w:b w:val="0"/>
              </w:rPr>
              <w:t>6.53</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450,000</w:t>
            </w:r>
          </w:p>
        </w:tc>
        <w:tc>
          <w:tcPr>
            <w:tcW w:w="0" w:type="dxa"/>
            <w:vAlign w:val="center"/>
          </w:tcPr>
          <w:p>
            <w:pPr>
              <w:spacing w:line="240" w:lineRule="auto"/>
              <w:jc w:val="right"/>
            </w:pPr>
            <w:r>
              <w:rPr>
                <w:rFonts w:ascii="宋体" w:hAnsi="宋体" w:eastAsia="宋体" w:cs="宋体"/>
                <w:b w:val="0"/>
              </w:rPr>
              <w:t>45,347,905.48</w:t>
            </w:r>
          </w:p>
        </w:tc>
        <w:tc>
          <w:tcPr>
            <w:tcW w:w="0" w:type="dxa"/>
            <w:vAlign w:val="center"/>
          </w:tcPr>
          <w:p>
            <w:pPr>
              <w:spacing w:line="240" w:lineRule="auto"/>
              <w:jc w:val="right"/>
            </w:pPr>
            <w:r>
              <w:rPr>
                <w:rFonts w:ascii="宋体" w:hAnsi="宋体" w:eastAsia="宋体" w:cs="宋体"/>
                <w:b w:val="0"/>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446,000</w:t>
            </w:r>
          </w:p>
        </w:tc>
        <w:tc>
          <w:tcPr>
            <w:tcW w:w="0" w:type="dxa"/>
            <w:vAlign w:val="center"/>
          </w:tcPr>
          <w:p>
            <w:pPr>
              <w:spacing w:line="240" w:lineRule="auto"/>
              <w:jc w:val="right"/>
            </w:pPr>
            <w:r>
              <w:rPr>
                <w:rFonts w:ascii="宋体" w:hAnsi="宋体" w:eastAsia="宋体" w:cs="宋体"/>
                <w:b w:val="0"/>
              </w:rPr>
              <w:t>44,688,210.25</w:t>
            </w:r>
          </w:p>
        </w:tc>
        <w:tc>
          <w:tcPr>
            <w:tcW w:w="0" w:type="dxa"/>
            <w:vAlign w:val="center"/>
          </w:tcPr>
          <w:p>
            <w:pPr>
              <w:spacing w:line="240" w:lineRule="auto"/>
              <w:jc w:val="right"/>
            </w:pPr>
            <w:r>
              <w:rPr>
                <w:rFonts w:ascii="宋体" w:hAnsi="宋体" w:eastAsia="宋体" w:cs="宋体"/>
                <w:b w:val="0"/>
              </w:rPr>
              <w:t>3.24</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r>
        <w:rPr>
          <w:rFonts w:ascii="宋体" w:hAnsi="宋体" w:eastAsia="宋体" w:cs="宋体"/>
          <w:b/>
        </w:rPr>
        <w:t>5.11.1 本基金投资的前十名证券的发行主体本期受到监管部门立案调查或报告编制日前一年内受到公开谴责、处罚的情形说明</w:t>
      </w:r>
    </w:p>
    <w:p>
      <w:pPr>
        <w:ind w:firstLine="420"/>
        <w:rPr>
          <w:rFonts w:hint="default" w:ascii="宋体" w:hAnsi="宋体" w:cs="宋体"/>
          <w:b w:val="0"/>
          <w:lang w:val="en-US" w:eastAsia="zh-CN"/>
        </w:rPr>
      </w:pPr>
      <w:r>
        <w:rPr>
          <w:rFonts w:ascii="宋体" w:hAnsi="宋体" w:eastAsia="宋体" w:cs="宋体"/>
          <w:b w:val="0"/>
        </w:rPr>
        <w:t>本基金投资的前十名证券的发行</w:t>
      </w:r>
      <w:r>
        <w:rPr>
          <w:rFonts w:hint="default" w:ascii="宋体" w:hAnsi="宋体" w:cs="宋体"/>
          <w:b w:val="0"/>
          <w:lang w:val="en-US" w:eastAsia="zh-CN"/>
        </w:rPr>
        <w:t>中，</w:t>
      </w:r>
      <w:r>
        <w:rPr>
          <w:rFonts w:ascii="宋体" w:hAnsi="宋体" w:eastAsia="宋体" w:cs="宋体"/>
          <w:sz w:val="21"/>
          <w:szCs w:val="21"/>
        </w:rPr>
        <w:t>深圳市联赢激光股份有限公司在报告编制日前一年内受到外汇管理局地方分局的处罚。</w:t>
      </w:r>
      <w:r>
        <w:rPr>
          <w:rFonts w:hint="eastAsia" w:ascii="宋体" w:hAnsi="宋体" w:cs="宋体"/>
          <w:b w:val="0"/>
          <w:lang w:val="en-US" w:eastAsia="zh-CN"/>
        </w:rPr>
        <w:t>本基金就上述证券的投资决策程序符合相关法规及公司制度的要求。</w:t>
      </w:r>
    </w:p>
    <w:p>
      <w:pPr>
        <w:ind w:firstLine="420"/>
      </w:pPr>
      <w:r>
        <w:rPr>
          <w:rFonts w:hint="default" w:ascii="宋体" w:hAnsi="宋体" w:cs="宋体"/>
          <w:b w:val="0"/>
          <w:lang w:val="en-US" w:eastAsia="zh-CN"/>
        </w:rPr>
        <w:t>本基金投资前十名的其余证券的发行主体本期未出现被监管部门立案调查，或在报告编制日前一年内受到公开谴责、处罚的情形。</w:t>
      </w:r>
    </w:p>
    <w:p/>
    <w:p>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4,240,533.90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4,240,533.90</w:t>
            </w:r>
          </w:p>
        </w:tc>
      </w:tr>
    </w:tbl>
    <w:p/>
    <w:p>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东方阿尔法产业先锋混合A</w:t>
            </w:r>
          </w:p>
        </w:tc>
        <w:tc>
          <w:tcPr>
            <w:tcW w:w="1300" w:type="pct"/>
            <w:vAlign w:val="center"/>
          </w:tcPr>
          <w:p>
            <w:pPr>
              <w:spacing w:line="240" w:lineRule="auto"/>
              <w:jc w:val="center"/>
            </w:pPr>
            <w:r>
              <w:rPr>
                <w:rFonts w:ascii="宋体" w:hAnsi="宋体" w:eastAsia="宋体" w:cs="宋体"/>
                <w:b w:val="0"/>
              </w:rPr>
              <w:t>东方阿尔法产业先锋混合C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1,315,992,113.48</w:t>
            </w:r>
          </w:p>
        </w:tc>
        <w:tc>
          <w:tcPr>
            <w:tcW w:w="1300" w:type="pct"/>
            <w:vAlign w:val="center"/>
          </w:tcPr>
          <w:p>
            <w:pPr>
              <w:spacing w:line="240" w:lineRule="auto"/>
              <w:jc w:val="right"/>
            </w:pPr>
            <w:r>
              <w:rPr>
                <w:rFonts w:ascii="宋体" w:hAnsi="宋体" w:eastAsia="宋体" w:cs="宋体"/>
                <w:b w:val="0"/>
              </w:rPr>
              <w:t>412,354,769.32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104,727,658.97</w:t>
            </w:r>
          </w:p>
        </w:tc>
        <w:tc>
          <w:tcPr>
            <w:tcW w:w="1300" w:type="pct"/>
            <w:vAlign w:val="center"/>
          </w:tcPr>
          <w:p>
            <w:pPr>
              <w:spacing w:line="240" w:lineRule="auto"/>
              <w:jc w:val="right"/>
            </w:pPr>
            <w:r>
              <w:rPr>
                <w:rFonts w:ascii="宋体" w:hAnsi="宋体" w:eastAsia="宋体" w:cs="宋体"/>
                <w:b w:val="0"/>
              </w:rPr>
              <w:t>1,407,059,765.40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203,835,787.82</w:t>
            </w:r>
          </w:p>
        </w:tc>
        <w:tc>
          <w:tcPr>
            <w:tcW w:w="1300" w:type="pct"/>
            <w:vAlign w:val="center"/>
          </w:tcPr>
          <w:p>
            <w:pPr>
              <w:spacing w:line="240" w:lineRule="auto"/>
              <w:jc w:val="right"/>
            </w:pPr>
            <w:r>
              <w:rPr>
                <w:rFonts w:ascii="宋体" w:hAnsi="宋体" w:eastAsia="宋体" w:cs="宋体"/>
                <w:b w:val="0"/>
              </w:rPr>
              <w:t>923,428,493.50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1,216,883,984.63</w:t>
            </w:r>
          </w:p>
        </w:tc>
        <w:tc>
          <w:tcPr>
            <w:tcW w:w="1300" w:type="pct"/>
            <w:vAlign w:val="center"/>
          </w:tcPr>
          <w:p>
            <w:pPr>
              <w:spacing w:line="240" w:lineRule="auto"/>
              <w:jc w:val="right"/>
            </w:pPr>
            <w:r>
              <w:rPr>
                <w:rFonts w:ascii="宋体" w:hAnsi="宋体" w:eastAsia="宋体" w:cs="宋体"/>
                <w:b w:val="0"/>
              </w:rPr>
              <w:t>895,986,041.22</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spacing w:line="240" w:lineRule="auto"/>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spacing w:line="240" w:lineRule="auto"/>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spacing w:line="240" w:lineRule="auto"/>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1、中国证券监督管理委员会批准的东方阿尔法产业先锋混合型发起式证券投资基金设立的文件；</w:t>
      </w:r>
      <w:r>
        <w:rPr>
          <w:rFonts w:ascii="宋体" w:hAnsi="宋体" w:eastAsia="宋体" w:cs="宋体"/>
          <w:b w:val="0"/>
        </w:rPr>
        <w:cr/>
      </w:r>
      <w:r>
        <w:rPr>
          <w:rFonts w:ascii="宋体" w:hAnsi="宋体" w:eastAsia="宋体" w:cs="宋体"/>
          <w:b w:val="0"/>
        </w:rPr>
        <w:t xml:space="preserve">    2、《东方阿尔法产业先锋混合型发起式证券投资基金基金合同》；</w:t>
      </w:r>
      <w:r>
        <w:rPr>
          <w:rFonts w:ascii="宋体" w:hAnsi="宋体" w:eastAsia="宋体" w:cs="宋体"/>
          <w:b w:val="0"/>
        </w:rPr>
        <w:cr/>
      </w:r>
      <w:r>
        <w:rPr>
          <w:rFonts w:ascii="宋体" w:hAnsi="宋体" w:eastAsia="宋体" w:cs="宋体"/>
          <w:b w:val="0"/>
        </w:rPr>
        <w:t xml:space="preserve">    3、《东方阿尔法产业先锋混合型发起式证券投资基金托管协议》；</w:t>
      </w:r>
      <w:r>
        <w:rPr>
          <w:rFonts w:ascii="宋体" w:hAnsi="宋体" w:eastAsia="宋体" w:cs="宋体"/>
          <w:b w:val="0"/>
        </w:rPr>
        <w:cr/>
      </w:r>
      <w:r>
        <w:rPr>
          <w:rFonts w:ascii="宋体" w:hAnsi="宋体" w:eastAsia="宋体" w:cs="宋体"/>
          <w:b w:val="0"/>
        </w:rPr>
        <w:t xml:space="preserve">    4、《东方阿尔法产业先锋混合型发起式证券投资基金招募说明书》（含更新）；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Pr>
        <w:jc w:val="right"/>
      </w:pPr>
      <w:r>
        <w:rPr>
          <w:rFonts w:ascii="宋体" w:hAnsi="宋体" w:eastAsia="宋体" w:cs="宋体"/>
          <w:b/>
        </w:rPr>
        <w:t>东方阿尔法基金管理有限公司</w:t>
      </w:r>
    </w:p>
    <w:p>
      <w:pPr>
        <w:jc w:val="right"/>
      </w:pPr>
      <w:r>
        <w:rPr>
          <w:rFonts w:ascii="宋体" w:hAnsi="宋体" w:eastAsia="宋体" w:cs="宋体"/>
          <w:b/>
        </w:rPr>
        <w:t>二〇二五年十月二十五日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东方阿尔法产业先锋混合型发起式证券投资基金2025年第3季度报告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1ECF5C90"/>
    <w:rsid w:val="312016A7"/>
    <w:rsid w:val="328572ED"/>
    <w:rsid w:val="3E9A1429"/>
    <w:rsid w:val="515B5526"/>
    <w:rsid w:val="529F69DA"/>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0</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2025-10-23T06:41:51Z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