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东方阿尔法健康产业混合型发起式证券投资基金</w:t>
      </w: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2025年第3季度报告</w:t>
      </w:r>
    </w:p>
    <w:p>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2025年09月30日</w:t>
      </w: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2025年10月25日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基金托管人中信银行股份有限公司根据本基金合同规定，于2025年10月24日复核了本报告中的财务指标、净值表现和投资组合报告等内容，保证复核内容不存在虚假记载、误导性陈述或者重大遗漏。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本报告期自2025年07月01日起至2025年09月30日止。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东方阿尔法健康产业混合发起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2025年06月12日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130,800,786.03份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本基金采用自上而下与自下而上相结合的投资方法，以基本面分析为立足点，精选健康产业相关行业证券，在科学严格管理风险的前提下，谋求基金资产的中长期稳健增值。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基金通过基本面研究，专注健康产业投资主题股票，跟踪行业发展，把握子行业轮动机会。在具体操作上，本基金将主要采用“自上而下”与“自下而上”相结合的方法，自上而下是分析每个阶段行业的主要增长驱动力和产业趋势，进而判断健康产业相关行业内各细分领域的景气度和预期风险收益，在其中配置优质个股。</w:t>
            </w:r>
            <w:r>
              <w:rPr>
                <w:rFonts w:ascii="宋体" w:hAnsi="宋体" w:eastAsia="宋体" w:cs="宋体"/>
                <w:b w:val="0"/>
              </w:rPr>
              <w:br w:type="textWrapping"/>
            </w:r>
            <w:r>
              <w:rPr>
                <w:rFonts w:ascii="宋体" w:hAnsi="宋体" w:eastAsia="宋体" w:cs="宋体"/>
                <w:b w:val="0"/>
              </w:rPr>
              <w:t>3、港股通标的股票投资策略</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10、股票期权投资策略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中证医药卫生指数收益率× 40%+ 中证内地消费主题指数收益率× 20%+恒生指数收益率×20%+ 中证综合债券指数收益率×20%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东方阿尔法健康产业混合发起A</w:t>
            </w:r>
          </w:p>
        </w:tc>
        <w:tc>
          <w:tcPr>
            <w:tcW w:w="1500" w:type="pct"/>
            <w:vAlign w:val="center"/>
          </w:tcPr>
          <w:p>
            <w:pPr>
              <w:spacing w:line="240" w:lineRule="auto"/>
              <w:jc w:val="left"/>
            </w:pPr>
            <w:r>
              <w:rPr>
                <w:rFonts w:ascii="宋体" w:hAnsi="宋体" w:eastAsia="宋体" w:cs="宋体"/>
                <w:b w:val="0"/>
              </w:rPr>
              <w:t>东方阿尔法健康产业混合发起C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024357</w:t>
            </w:r>
          </w:p>
        </w:tc>
        <w:tc>
          <w:tcPr>
            <w:tcW w:w="1500" w:type="pct"/>
            <w:vAlign w:val="center"/>
          </w:tcPr>
          <w:p>
            <w:pPr>
              <w:spacing w:line="240" w:lineRule="auto"/>
              <w:jc w:val="left"/>
            </w:pPr>
            <w:r>
              <w:rPr>
                <w:rFonts w:ascii="宋体" w:hAnsi="宋体" w:eastAsia="宋体" w:cs="宋体"/>
                <w:b w:val="0"/>
              </w:rPr>
              <w:t>024358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33,523,945.74份</w:t>
            </w:r>
          </w:p>
        </w:tc>
        <w:tc>
          <w:tcPr>
            <w:tcW w:w="1500" w:type="pct"/>
            <w:vAlign w:val="center"/>
          </w:tcPr>
          <w:p>
            <w:pPr>
              <w:spacing w:line="240" w:lineRule="auto"/>
              <w:jc w:val="left"/>
            </w:pPr>
            <w:r>
              <w:rPr>
                <w:rFonts w:ascii="宋体" w:hAnsi="宋体" w:eastAsia="宋体" w:cs="宋体"/>
                <w:b w:val="0"/>
              </w:rPr>
              <w:t>97,276,840.29份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报告期（2025年07月01日-2025年09月30日）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东方阿尔法健康产业混合发起A</w:t>
            </w:r>
          </w:p>
        </w:tc>
        <w:tc>
          <w:tcPr>
            <w:tcW w:w="1500" w:type="pct"/>
            <w:shd w:val="clear" w:color="auto" w:fill="D9D9D9"/>
            <w:vAlign w:val="center"/>
          </w:tcPr>
          <w:p>
            <w:pPr>
              <w:spacing w:line="240" w:lineRule="auto"/>
              <w:jc w:val="center"/>
            </w:pPr>
            <w:r>
              <w:rPr>
                <w:rFonts w:ascii="宋体" w:hAnsi="宋体" w:eastAsia="宋体" w:cs="宋体"/>
                <w:b w:val="0"/>
              </w:rPr>
              <w:t>东方阿尔法健康产业混合发起C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305,492.36</w:t>
            </w:r>
          </w:p>
        </w:tc>
        <w:tc>
          <w:tcPr>
            <w:tcW w:w="1500" w:type="pct"/>
            <w:vAlign w:val="center"/>
          </w:tcPr>
          <w:p>
            <w:pPr>
              <w:spacing w:line="240" w:lineRule="auto"/>
              <w:jc w:val="right"/>
            </w:pPr>
            <w:r>
              <w:rPr>
                <w:rFonts w:ascii="宋体" w:hAnsi="宋体" w:eastAsia="宋体" w:cs="宋体"/>
                <w:b w:val="0"/>
              </w:rPr>
              <w:t>522,710.15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-1,297,689.35</w:t>
            </w:r>
          </w:p>
        </w:tc>
        <w:tc>
          <w:tcPr>
            <w:tcW w:w="1500" w:type="pct"/>
            <w:vAlign w:val="center"/>
          </w:tcPr>
          <w:p>
            <w:pPr>
              <w:spacing w:line="240" w:lineRule="auto"/>
              <w:jc w:val="right"/>
            </w:pPr>
            <w:r>
              <w:rPr>
                <w:rFonts w:ascii="宋体" w:hAnsi="宋体" w:eastAsia="宋体" w:cs="宋体"/>
                <w:b w:val="0"/>
              </w:rPr>
              <w:t>-7,459,469.84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-0.0551</w:t>
            </w:r>
          </w:p>
        </w:tc>
        <w:tc>
          <w:tcPr>
            <w:tcW w:w="1500" w:type="pct"/>
            <w:vAlign w:val="center"/>
          </w:tcPr>
          <w:p>
            <w:pPr>
              <w:spacing w:line="240" w:lineRule="auto"/>
              <w:jc w:val="right"/>
            </w:pPr>
            <w:r>
              <w:rPr>
                <w:rFonts w:ascii="宋体" w:hAnsi="宋体" w:eastAsia="宋体" w:cs="宋体"/>
                <w:b w:val="0"/>
              </w:rPr>
              <w:t>-0.1052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35,395,070.67</w:t>
            </w:r>
          </w:p>
        </w:tc>
        <w:tc>
          <w:tcPr>
            <w:tcW w:w="1500" w:type="pct"/>
            <w:vAlign w:val="center"/>
          </w:tcPr>
          <w:p>
            <w:pPr>
              <w:spacing w:line="240" w:lineRule="auto"/>
              <w:jc w:val="right"/>
            </w:pPr>
            <w:r>
              <w:rPr>
                <w:rFonts w:ascii="宋体" w:hAnsi="宋体" w:eastAsia="宋体" w:cs="宋体"/>
                <w:b w:val="0"/>
              </w:rPr>
              <w:t>102,561,803.72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1.0558</w:t>
            </w:r>
          </w:p>
        </w:tc>
        <w:tc>
          <w:tcPr>
            <w:tcW w:w="1500" w:type="pct"/>
            <w:vAlign w:val="center"/>
          </w:tcPr>
          <w:p>
            <w:pPr>
              <w:spacing w:line="240" w:lineRule="auto"/>
              <w:jc w:val="right"/>
            </w:pPr>
            <w:r>
              <w:rPr>
                <w:rFonts w:ascii="宋体" w:hAnsi="宋体" w:eastAsia="宋体" w:cs="宋体"/>
                <w:b w:val="0"/>
              </w:rPr>
              <w:t>1.0543</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东方阿尔法健康产业混合发起A净值表现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11.15%</w:t>
            </w:r>
          </w:p>
        </w:tc>
        <w:tc>
          <w:tcPr>
            <w:tcW w:w="0" w:type="dxa"/>
            <w:vAlign w:val="center"/>
          </w:tcPr>
          <w:p>
            <w:pPr>
              <w:spacing w:line="240" w:lineRule="auto"/>
              <w:jc w:val="right"/>
            </w:pPr>
            <w:r>
              <w:rPr>
                <w:rFonts w:ascii="宋体" w:hAnsi="宋体" w:eastAsia="宋体" w:cs="宋体"/>
                <w:b w:val="0"/>
              </w:rPr>
              <w:t>2.19%</w:t>
            </w:r>
          </w:p>
        </w:tc>
        <w:tc>
          <w:tcPr>
            <w:tcW w:w="0" w:type="dxa"/>
            <w:vAlign w:val="center"/>
          </w:tcPr>
          <w:p>
            <w:pPr>
              <w:spacing w:line="240" w:lineRule="auto"/>
              <w:jc w:val="right"/>
            </w:pPr>
            <w:r>
              <w:rPr>
                <w:rFonts w:ascii="宋体" w:hAnsi="宋体" w:eastAsia="宋体" w:cs="宋体"/>
                <w:b w:val="0"/>
              </w:rPr>
              <w:t>10.28%</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0.87%</w:t>
            </w:r>
          </w:p>
        </w:tc>
        <w:tc>
          <w:tcPr>
            <w:tcW w:w="0" w:type="dxa"/>
            <w:vAlign w:val="center"/>
          </w:tcPr>
          <w:p>
            <w:pPr>
              <w:spacing w:line="240" w:lineRule="auto"/>
              <w:jc w:val="right"/>
            </w:pPr>
            <w:r>
              <w:rPr>
                <w:rFonts w:ascii="宋体" w:hAnsi="宋体" w:eastAsia="宋体" w:cs="宋体"/>
                <w:b w:val="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5.58%</w:t>
            </w:r>
          </w:p>
        </w:tc>
        <w:tc>
          <w:tcPr>
            <w:tcW w:w="0" w:type="dxa"/>
            <w:vAlign w:val="center"/>
          </w:tcPr>
          <w:p>
            <w:pPr>
              <w:spacing w:line="240" w:lineRule="auto"/>
              <w:jc w:val="right"/>
            </w:pPr>
            <w:r>
              <w:rPr>
                <w:rFonts w:ascii="宋体" w:hAnsi="宋体" w:eastAsia="宋体" w:cs="宋体"/>
                <w:b w:val="0"/>
              </w:rPr>
              <w:t>2.12%</w:t>
            </w:r>
          </w:p>
        </w:tc>
        <w:tc>
          <w:tcPr>
            <w:tcW w:w="0" w:type="dxa"/>
            <w:vAlign w:val="center"/>
          </w:tcPr>
          <w:p>
            <w:pPr>
              <w:spacing w:line="240" w:lineRule="auto"/>
              <w:jc w:val="right"/>
            </w:pPr>
            <w:r>
              <w:rPr>
                <w:rFonts w:ascii="宋体" w:hAnsi="宋体" w:eastAsia="宋体" w:cs="宋体"/>
                <w:b w:val="0"/>
              </w:rPr>
              <w:t>8.00%</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-2.42%</w:t>
            </w:r>
          </w:p>
        </w:tc>
        <w:tc>
          <w:tcPr>
            <w:tcW w:w="0" w:type="dxa"/>
            <w:vAlign w:val="center"/>
          </w:tcPr>
          <w:p>
            <w:pPr>
              <w:spacing w:line="240" w:lineRule="auto"/>
              <w:jc w:val="right"/>
            </w:pPr>
            <w:r>
              <w:rPr>
                <w:rFonts w:ascii="宋体" w:hAnsi="宋体" w:eastAsia="宋体" w:cs="宋体"/>
                <w:b w:val="0"/>
              </w:rPr>
              <w:t>1.42%</w:t>
            </w:r>
          </w:p>
        </w:tc>
      </w:tr>
    </w:tbl>
    <w:p>
      <w:pPr>
        <w:jc w:val="left"/>
      </w:pPr>
      <w:r>
        <w:rPr>
          <w:rFonts w:ascii="宋体" w:hAnsi="宋体" w:eastAsia="宋体" w:cs="宋体"/>
          <w:b/>
        </w:rPr>
        <w:t>东方阿尔法健康产业混合发起C净值表现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11.03%</w:t>
            </w:r>
          </w:p>
        </w:tc>
        <w:tc>
          <w:tcPr>
            <w:tcW w:w="0" w:type="dxa"/>
            <w:vAlign w:val="center"/>
          </w:tcPr>
          <w:p>
            <w:pPr>
              <w:spacing w:line="240" w:lineRule="auto"/>
              <w:jc w:val="right"/>
            </w:pPr>
            <w:r>
              <w:rPr>
                <w:rFonts w:ascii="宋体" w:hAnsi="宋体" w:eastAsia="宋体" w:cs="宋体"/>
                <w:b w:val="0"/>
              </w:rPr>
              <w:t>2.19%</w:t>
            </w:r>
          </w:p>
        </w:tc>
        <w:tc>
          <w:tcPr>
            <w:tcW w:w="0" w:type="dxa"/>
            <w:vAlign w:val="center"/>
          </w:tcPr>
          <w:p>
            <w:pPr>
              <w:spacing w:line="240" w:lineRule="auto"/>
              <w:jc w:val="right"/>
            </w:pPr>
            <w:r>
              <w:rPr>
                <w:rFonts w:ascii="宋体" w:hAnsi="宋体" w:eastAsia="宋体" w:cs="宋体"/>
                <w:b w:val="0"/>
              </w:rPr>
              <w:t>10.28%</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0.75%</w:t>
            </w:r>
          </w:p>
        </w:tc>
        <w:tc>
          <w:tcPr>
            <w:tcW w:w="0" w:type="dxa"/>
            <w:vAlign w:val="center"/>
          </w:tcPr>
          <w:p>
            <w:pPr>
              <w:spacing w:line="240" w:lineRule="auto"/>
              <w:jc w:val="right"/>
            </w:pPr>
            <w:r>
              <w:rPr>
                <w:rFonts w:ascii="宋体" w:hAnsi="宋体" w:eastAsia="宋体" w:cs="宋体"/>
                <w:b w:val="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5.43%</w:t>
            </w:r>
          </w:p>
        </w:tc>
        <w:tc>
          <w:tcPr>
            <w:tcW w:w="0" w:type="dxa"/>
            <w:vAlign w:val="center"/>
          </w:tcPr>
          <w:p>
            <w:pPr>
              <w:spacing w:line="240" w:lineRule="auto"/>
              <w:jc w:val="right"/>
            </w:pPr>
            <w:r>
              <w:rPr>
                <w:rFonts w:ascii="宋体" w:hAnsi="宋体" w:eastAsia="宋体" w:cs="宋体"/>
                <w:b w:val="0"/>
              </w:rPr>
              <w:t>2.12%</w:t>
            </w:r>
          </w:p>
        </w:tc>
        <w:tc>
          <w:tcPr>
            <w:tcW w:w="0" w:type="dxa"/>
            <w:vAlign w:val="center"/>
          </w:tcPr>
          <w:p>
            <w:pPr>
              <w:spacing w:line="240" w:lineRule="auto"/>
              <w:jc w:val="right"/>
            </w:pPr>
            <w:r>
              <w:rPr>
                <w:rFonts w:ascii="宋体" w:hAnsi="宋体" w:eastAsia="宋体" w:cs="宋体"/>
                <w:b w:val="0"/>
              </w:rPr>
              <w:t>8.00%</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-2.57%</w:t>
            </w:r>
          </w:p>
        </w:tc>
        <w:tc>
          <w:tcPr>
            <w:tcW w:w="0" w:type="dxa"/>
            <w:vAlign w:val="center"/>
          </w:tcPr>
          <w:p>
            <w:pPr>
              <w:spacing w:line="240" w:lineRule="auto"/>
              <w:jc w:val="right"/>
            </w:pPr>
            <w:r>
              <w:rPr>
                <w:rFonts w:ascii="宋体" w:hAnsi="宋体" w:eastAsia="宋体" w:cs="宋体"/>
                <w:b w:val="0"/>
              </w:rPr>
              <w:t>1.42%</w:t>
            </w:r>
          </w:p>
        </w:tc>
      </w:tr>
    </w:tbl>
    <w:p>
      <w:r>
        <w:rPr>
          <w:rFonts w:ascii="宋体" w:hAnsi="宋体" w:eastAsia="宋体" w:cs="宋体"/>
          <w:b w:val="0"/>
        </w:rPr>
        <w:t>注：1、本基金业绩比较基准为：中证医药卫生指数收益率× 40%+ 中证内地消费主题指数收益率× 20%+恒生指数收益率×20%+ 中证综合债券指数收益率×20%。</w:t>
      </w:r>
      <w:r>
        <w:rPr>
          <w:rFonts w:ascii="宋体" w:hAnsi="宋体" w:eastAsia="宋体" w:cs="宋体"/>
          <w:b w:val="0"/>
        </w:rPr>
        <w:cr/>
      </w:r>
      <w:r>
        <w:rPr>
          <w:rFonts w:ascii="宋体" w:hAnsi="宋体" w:eastAsia="宋体" w:cs="宋体"/>
          <w:b w:val="0"/>
        </w:rPr>
        <w:t>2、本基金自2025年06月12日成立至今尚未满6个月，无过去六个月、过去一年、过去三年和过去五年的净值表现。</w:t>
      </w:r>
    </w:p>
    <w:p/>
    <w:p>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孟昱</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2025-06-12</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5年</w:t>
            </w:r>
          </w:p>
        </w:tc>
        <w:tc>
          <w:tcPr>
            <w:tcW w:w="0" w:type="dxa"/>
            <w:vAlign w:val="center"/>
          </w:tcPr>
          <w:p>
            <w:pPr>
              <w:spacing w:line="240" w:lineRule="auto"/>
              <w:jc w:val="left"/>
              <w:rPr>
                <w:rFonts w:hint="eastAsia" w:eastAsia="宋体"/>
                <w:lang w:eastAsia="zh-CN"/>
              </w:rPr>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r>
              <w:rPr>
                <w:rFonts w:hint="eastAsia" w:ascii="宋体" w:hAnsi="宋体" w:cs="宋体"/>
                <w:b w:val="0"/>
                <w:lang w:eastAsia="zh-CN"/>
              </w:rPr>
              <w:t>。</w:t>
            </w:r>
            <w:bookmarkStart w:id="1" w:name="_GoBack"/>
            <w:bookmarkEnd w:id="1"/>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2025年第三季度，医药板块各子板块涨跌情况差异较大，A股和港股市场表现各有不同，具体如下：</w:t>
      </w:r>
      <w:r>
        <w:rPr>
          <w:rFonts w:ascii="宋体" w:hAnsi="宋体" w:eastAsia="宋体" w:cs="宋体"/>
          <w:b w:val="0"/>
        </w:rPr>
        <w:cr/>
      </w:r>
      <w:r>
        <w:rPr>
          <w:rFonts w:ascii="宋体" w:hAnsi="宋体" w:eastAsia="宋体" w:cs="宋体"/>
          <w:b w:val="0"/>
        </w:rPr>
        <w:t xml:space="preserve">    A股市场方面，生物医药指数上涨了14%。其中，医药研发外包（CXO）涨幅显著，达到48%；医疗耗材上涨22%；创新药相关板块上涨20%。然而，疫苗、线下药店、血液制品、体外诊断、医疗设备等板块表现不佳，面临不同程度的压力。</w:t>
      </w:r>
      <w:r>
        <w:rPr>
          <w:rFonts w:ascii="宋体" w:hAnsi="宋体" w:eastAsia="宋体" w:cs="宋体"/>
          <w:b w:val="0"/>
        </w:rPr>
        <w:cr/>
      </w:r>
      <w:r>
        <w:rPr>
          <w:rFonts w:ascii="宋体" w:hAnsi="宋体" w:eastAsia="宋体" w:cs="宋体"/>
          <w:b w:val="0"/>
        </w:rPr>
        <w:t xml:space="preserve">    港股方面，医疗保健板块涨幅达41%。领涨的子板块包括生物科技，涨幅为54%；生命科学服务上涨51%；制药板块上涨39%。从单月表现来看，7月份指数由于BD（商务拓展）催化，大幅上涨。而在8月和9月，由于创新药公司BD进入真空期，市场预期落空，导致创新药大幅回调。</w:t>
      </w:r>
      <w:r>
        <w:rPr>
          <w:rFonts w:ascii="宋体" w:hAnsi="宋体" w:eastAsia="宋体" w:cs="宋体"/>
          <w:b w:val="0"/>
        </w:rPr>
        <w:cr/>
      </w:r>
      <w:r>
        <w:rPr>
          <w:rFonts w:ascii="宋体" w:hAnsi="宋体" w:eastAsia="宋体" w:cs="宋体"/>
          <w:b w:val="0"/>
        </w:rPr>
        <w:t xml:space="preserve">    从季度表现来看，第一季度医药板块整体强势，但内部结构分化明显，创新药、CXO、AI医疗等细分领域表现优异。进入第二季度，创新药板块进一步脱颖而出，成为市场焦点。这一轮创新药的崛起，主要得益于海外BD授权预期的推动。2025年上半年，创新药海外BD授权交易累计达46笔，首付款总计233.4亿元，交易对价总包合计4710亿元，已超过2023至2024年全年的水平。中国创新药海外授权的历史总交易对价有望突破2000亿美元，首付款累计达成165.8亿美元。据CNBC报道，截至2025年5月20日，在首付款5000万美元以上的BD交易中，中国占比高达42%，而2024年这一比例为27%，2019年时仅为0%。这一显著增长表明，全球医药领域对中国新药研发的认可度正在不断提升。第三季度，创新药呈现前高后低的走势，主要因素是对于BD预期的极致乐观和反转。</w:t>
      </w:r>
      <w:r>
        <w:rPr>
          <w:rFonts w:ascii="宋体" w:hAnsi="宋体" w:eastAsia="宋体" w:cs="宋体"/>
          <w:b w:val="0"/>
        </w:rPr>
        <w:cr/>
      </w:r>
      <w:r>
        <w:rPr>
          <w:rFonts w:ascii="宋体" w:hAnsi="宋体" w:eastAsia="宋体" w:cs="宋体"/>
          <w:b w:val="0"/>
        </w:rPr>
        <w:t xml:space="preserve">    对于市场关注的创新药BD三大疑问，我们的观点如下：不能因短期无大BD就否定行业潜力或推断未来无大BD。短期情况受过高预期、BD本身偶然性与阶段性（如MNC大额BD多集中在10月-次年1月）影响。而中国创新药的全球竞争力持续提升，只要分子创新与进度领先，后续大BD仍值得期待。MNC（跨国公司）布局欧美Biotech与中国BD并行不悖，并非放弃中国。中国创新药企已跻身全球创新牌桌且话语权、产业替代力增强。短期BD减少与美国对华投资限制仅是时间巧合，非企业刻意为之。评估BD质量不应只看首付款或总包金额，核心是项目成功概率、市场潜力及后续里程碑。真正有价值的是具备全球竞争力的“海外大药”。后续来看，短期BD减少是随机事件，需坚定中国创新药竞争力带来的长期BD潜力信心。当前市场情绪低迷正是中长期加仓创新药的时机，中国创新药出海是未来5-10年的明确产业趋势。</w:t>
      </w:r>
      <w:r>
        <w:rPr>
          <w:rFonts w:ascii="宋体" w:hAnsi="宋体" w:eastAsia="宋体" w:cs="宋体"/>
          <w:b w:val="0"/>
        </w:rPr>
        <w:cr/>
      </w:r>
      <w:r>
        <w:rPr>
          <w:rFonts w:ascii="宋体" w:hAnsi="宋体" w:eastAsia="宋体" w:cs="宋体"/>
          <w:b w:val="0"/>
        </w:rPr>
        <w:t xml:space="preserve">    综上所述，创新药产业的发展趋势已经形成。当前，创新药的定价仍遵循产品销售峰值3～4xPS（市销率）的大框架，DCF（折现现金流）模型仍可有效评估大多数创新药资产的合理价值，属于合理偏低。从单一创新药物的价值兑现来看，可分为三个阶段：创新分子临床价值POC（概念验证）阶段、海外市场拓展或授权阶段以及药物上市后的商业化快速爬坡期。目前，本轮创新药板块的快速上涨主要基于临床POC阶段的成果和海外授权预期，尚未进入商业化阶段的价值释放。</w:t>
      </w:r>
      <w:r>
        <w:rPr>
          <w:rFonts w:ascii="宋体" w:hAnsi="宋体" w:eastAsia="宋体" w:cs="宋体"/>
          <w:b w:val="0"/>
        </w:rPr>
        <w:cr/>
      </w:r>
      <w:r>
        <w:rPr>
          <w:rFonts w:ascii="宋体" w:hAnsi="宋体" w:eastAsia="宋体" w:cs="宋体"/>
          <w:b w:val="0"/>
        </w:rPr>
        <w:t xml:space="preserve">    CXO板块作为创新药的上下游产业链，经历一轮寒冬后，明显看到了订单规模的拐点和复苏。其中，受益于多肽类药物放量的CDMO已经率先走出低谷。而更多的临床CRO，我们通过复盘发现，其股价表现往往与创新药指数成强正相关，而与自身业绩表现存在1～2季度的错位。当第三季度创新药短期见顶回落之际，CXO却走出了一波大行情，单季度指数涨幅48%。我们认为一方面，有基本面进一步走强的原因，比如龙头公司业绩和订单超预期；另一方面，资金在创新药板块过于拥挤，溢出后选择CXO这样一个创新药产业链上下游板块也是必行之举。</w:t>
      </w:r>
      <w:r>
        <w:rPr>
          <w:rFonts w:ascii="宋体" w:hAnsi="宋体" w:eastAsia="宋体" w:cs="宋体"/>
          <w:b w:val="0"/>
        </w:rPr>
        <w:cr/>
      </w:r>
      <w:r>
        <w:rPr>
          <w:rFonts w:ascii="宋体" w:hAnsi="宋体" w:eastAsia="宋体" w:cs="宋体"/>
          <w:b w:val="0"/>
        </w:rPr>
        <w:t xml:space="preserve">    基于以上分析，我们在第三季度没有大幅度的变仓，依然选择头部确定性高的创新药和弹性创新药的两头配置策略。对于回撤，选择有限度忍耐。</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健康产业混合发起A基金份额净值为1.0558元，本报告期内，该类基金份额净值增长率为11.15%，同期业绩比较基准收益率为10.28%；截至报告期末东方阿尔法健康产业混合发起C基金份额净值为1.0543元，本报告期内，该类基金份额净值增长率为11.03%，同期业绩比较基准收益率为10.28%。</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无。</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122,727,384.62</w:t>
            </w:r>
          </w:p>
        </w:tc>
        <w:tc>
          <w:tcPr>
            <w:tcW w:w="0" w:type="dxa"/>
            <w:vAlign w:val="center"/>
          </w:tcPr>
          <w:p>
            <w:pPr>
              <w:spacing w:line="240" w:lineRule="auto"/>
              <w:jc w:val="right"/>
            </w:pPr>
            <w:r>
              <w:rPr>
                <w:rFonts w:ascii="宋体" w:hAnsi="宋体" w:eastAsia="宋体" w:cs="宋体"/>
                <w:b w:val="0"/>
              </w:rPr>
              <w:t>87.93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122,727,384.62</w:t>
            </w:r>
          </w:p>
        </w:tc>
        <w:tc>
          <w:tcPr>
            <w:tcW w:w="0" w:type="dxa"/>
            <w:vAlign w:val="center"/>
          </w:tcPr>
          <w:p>
            <w:pPr>
              <w:spacing w:line="240" w:lineRule="auto"/>
              <w:jc w:val="right"/>
            </w:pPr>
            <w:r>
              <w:rPr>
                <w:rFonts w:ascii="宋体" w:hAnsi="宋体" w:eastAsia="宋体" w:cs="宋体"/>
                <w:b w:val="0"/>
              </w:rPr>
              <w:t>87.93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7,641,660.76</w:t>
            </w:r>
          </w:p>
        </w:tc>
        <w:tc>
          <w:tcPr>
            <w:tcW w:w="0" w:type="dxa"/>
            <w:vAlign w:val="center"/>
          </w:tcPr>
          <w:p>
            <w:pPr>
              <w:spacing w:line="240" w:lineRule="auto"/>
              <w:jc w:val="right"/>
            </w:pPr>
            <w:r>
              <w:rPr>
                <w:rFonts w:ascii="宋体" w:hAnsi="宋体" w:eastAsia="宋体" w:cs="宋体"/>
                <w:b w:val="0"/>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7,641,660.76</w:t>
            </w:r>
          </w:p>
        </w:tc>
        <w:tc>
          <w:tcPr>
            <w:tcW w:w="0" w:type="dxa"/>
            <w:vAlign w:val="center"/>
          </w:tcPr>
          <w:p>
            <w:pPr>
              <w:spacing w:line="240" w:lineRule="auto"/>
              <w:jc w:val="right"/>
            </w:pPr>
            <w:r>
              <w:rPr>
                <w:rFonts w:ascii="宋体" w:hAnsi="宋体" w:eastAsia="宋体" w:cs="宋体"/>
                <w:b w:val="0"/>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5,775,294.61</w:t>
            </w:r>
          </w:p>
        </w:tc>
        <w:tc>
          <w:tcPr>
            <w:tcW w:w="0" w:type="dxa"/>
            <w:vAlign w:val="center"/>
          </w:tcPr>
          <w:p>
            <w:pPr>
              <w:spacing w:line="240" w:lineRule="auto"/>
              <w:jc w:val="right"/>
            </w:pPr>
            <w:r>
              <w:rPr>
                <w:rFonts w:ascii="宋体" w:hAnsi="宋体" w:eastAsia="宋体" w:cs="宋体"/>
                <w:b w:val="0"/>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3,425,282.85</w:t>
            </w:r>
          </w:p>
        </w:tc>
        <w:tc>
          <w:tcPr>
            <w:tcW w:w="0" w:type="dxa"/>
            <w:vAlign w:val="center"/>
          </w:tcPr>
          <w:p>
            <w:pPr>
              <w:spacing w:line="240" w:lineRule="auto"/>
              <w:jc w:val="right"/>
            </w:pPr>
            <w:r>
              <w:rPr>
                <w:rFonts w:ascii="宋体" w:hAnsi="宋体" w:eastAsia="宋体" w:cs="宋体"/>
                <w:b w:val="0"/>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139,569,622.84</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注：报告期末本基金通过港股通交易机制投资的港股公允价值合计57,316,318.36元，占基金资产净值的比例为41.55%。</w:t>
      </w:r>
    </w:p>
    <w:p/>
    <w:p>
      <w:pPr>
        <w:pStyle w:val="3"/>
        <w:jc w:val="left"/>
      </w:pPr>
      <w:r>
        <w:rPr>
          <w:rFonts w:ascii="宋体" w:hAnsi="宋体" w:eastAsia="宋体" w:cs="宋体"/>
        </w:rPr>
        <w:t>5.2 报告期末按行业分类的股票投资组合</w:t>
      </w:r>
    </w:p>
    <w:p>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65,411,066.26</w:t>
            </w:r>
          </w:p>
        </w:tc>
        <w:tc>
          <w:tcPr>
            <w:tcW w:w="0" w:type="dxa"/>
            <w:vAlign w:val="center"/>
          </w:tcPr>
          <w:p>
            <w:pPr>
              <w:spacing w:line="240" w:lineRule="auto"/>
              <w:jc w:val="right"/>
            </w:pPr>
            <w:r>
              <w:rPr>
                <w:rFonts w:ascii="宋体" w:hAnsi="宋体" w:eastAsia="宋体" w:cs="宋体"/>
                <w:b w:val="0"/>
              </w:rPr>
              <w:t>47.41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65,411,066.26</w:t>
            </w:r>
          </w:p>
        </w:tc>
        <w:tc>
          <w:tcPr>
            <w:tcW w:w="0" w:type="dxa"/>
            <w:vAlign w:val="center"/>
          </w:tcPr>
          <w:p>
            <w:pPr>
              <w:spacing w:line="240" w:lineRule="auto"/>
              <w:jc w:val="right"/>
            </w:pPr>
            <w:r>
              <w:rPr>
                <w:rFonts w:ascii="宋体" w:hAnsi="宋体" w:eastAsia="宋体" w:cs="宋体"/>
                <w:b w:val="0"/>
              </w:rPr>
              <w:t>47.41</w:t>
            </w:r>
          </w:p>
        </w:tc>
      </w:tr>
    </w:tbl>
    <w:p/>
    <w:p>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医疗保健</w:t>
            </w:r>
          </w:p>
        </w:tc>
        <w:tc>
          <w:tcPr>
            <w:tcW w:w="0" w:type="dxa"/>
            <w:vAlign w:val="center"/>
          </w:tcPr>
          <w:p>
            <w:pPr>
              <w:spacing w:line="240" w:lineRule="auto"/>
              <w:jc w:val="right"/>
            </w:pPr>
            <w:r>
              <w:rPr>
                <w:rFonts w:ascii="宋体" w:hAnsi="宋体" w:eastAsia="宋体" w:cs="宋体"/>
                <w:b w:val="0"/>
              </w:rPr>
              <w:t>57,316,318.36</w:t>
            </w:r>
          </w:p>
        </w:tc>
        <w:tc>
          <w:tcPr>
            <w:tcW w:w="0" w:type="dxa"/>
            <w:vAlign w:val="center"/>
          </w:tcPr>
          <w:p>
            <w:pPr>
              <w:spacing w:line="240" w:lineRule="auto"/>
              <w:jc w:val="right"/>
            </w:pPr>
            <w:r>
              <w:rPr>
                <w:rFonts w:ascii="宋体" w:hAnsi="宋体" w:eastAsia="宋体" w:cs="宋体"/>
                <w:b w:val="0"/>
              </w:rPr>
              <w:t>41.55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57,316,318.36</w:t>
            </w:r>
          </w:p>
        </w:tc>
        <w:tc>
          <w:tcPr>
            <w:tcW w:w="0" w:type="dxa"/>
            <w:vAlign w:val="center"/>
          </w:tcPr>
          <w:p>
            <w:pPr>
              <w:spacing w:line="240" w:lineRule="auto"/>
              <w:jc w:val="right"/>
            </w:pPr>
            <w:r>
              <w:rPr>
                <w:rFonts w:ascii="宋体" w:hAnsi="宋体" w:eastAsia="宋体" w:cs="宋体"/>
                <w:b w:val="0"/>
              </w:rPr>
              <w:t>41.55</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06990</w:t>
            </w:r>
          </w:p>
        </w:tc>
        <w:tc>
          <w:tcPr>
            <w:tcW w:w="0" w:type="dxa"/>
            <w:vAlign w:val="center"/>
          </w:tcPr>
          <w:p>
            <w:pPr>
              <w:spacing w:line="240" w:lineRule="auto"/>
              <w:jc w:val="left"/>
            </w:pPr>
            <w:r>
              <w:rPr>
                <w:rFonts w:ascii="宋体" w:hAnsi="宋体" w:eastAsia="宋体" w:cs="宋体"/>
                <w:b w:val="0"/>
              </w:rPr>
              <w:t>科伦博泰生物－Ｂ</w:t>
            </w:r>
          </w:p>
        </w:tc>
        <w:tc>
          <w:tcPr>
            <w:tcW w:w="0" w:type="dxa"/>
            <w:vAlign w:val="center"/>
          </w:tcPr>
          <w:p>
            <w:pPr>
              <w:spacing w:line="240" w:lineRule="auto"/>
              <w:jc w:val="right"/>
            </w:pPr>
            <w:r>
              <w:rPr>
                <w:rFonts w:ascii="宋体" w:hAnsi="宋体" w:eastAsia="宋体" w:cs="宋体"/>
                <w:b w:val="0"/>
              </w:rPr>
              <w:t>28,000</w:t>
            </w:r>
          </w:p>
        </w:tc>
        <w:tc>
          <w:tcPr>
            <w:tcW w:w="0" w:type="dxa"/>
            <w:vAlign w:val="center"/>
          </w:tcPr>
          <w:p>
            <w:pPr>
              <w:spacing w:line="240" w:lineRule="auto"/>
              <w:jc w:val="right"/>
            </w:pPr>
            <w:r>
              <w:rPr>
                <w:rFonts w:ascii="宋体" w:hAnsi="宋体" w:eastAsia="宋体" w:cs="宋体"/>
                <w:b w:val="0"/>
              </w:rPr>
              <w:t>13,139,608.16</w:t>
            </w:r>
          </w:p>
        </w:tc>
        <w:tc>
          <w:tcPr>
            <w:tcW w:w="0" w:type="dxa"/>
            <w:vAlign w:val="center"/>
          </w:tcPr>
          <w:p>
            <w:pPr>
              <w:spacing w:line="240" w:lineRule="auto"/>
              <w:jc w:val="right"/>
            </w:pPr>
            <w:r>
              <w:rPr>
                <w:rFonts w:ascii="宋体" w:hAnsi="宋体" w:eastAsia="宋体" w:cs="宋体"/>
                <w:b w:val="0"/>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01801</w:t>
            </w:r>
          </w:p>
        </w:tc>
        <w:tc>
          <w:tcPr>
            <w:tcW w:w="0" w:type="dxa"/>
            <w:vAlign w:val="center"/>
          </w:tcPr>
          <w:p>
            <w:pPr>
              <w:spacing w:line="240" w:lineRule="auto"/>
              <w:jc w:val="left"/>
            </w:pPr>
            <w:r>
              <w:rPr>
                <w:rFonts w:ascii="宋体" w:hAnsi="宋体" w:eastAsia="宋体" w:cs="宋体"/>
                <w:b w:val="0"/>
              </w:rPr>
              <w:t>信达生物</w:t>
            </w:r>
          </w:p>
        </w:tc>
        <w:tc>
          <w:tcPr>
            <w:tcW w:w="0" w:type="dxa"/>
            <w:vAlign w:val="center"/>
          </w:tcPr>
          <w:p>
            <w:pPr>
              <w:spacing w:line="240" w:lineRule="auto"/>
              <w:jc w:val="right"/>
            </w:pPr>
            <w:r>
              <w:rPr>
                <w:rFonts w:ascii="宋体" w:hAnsi="宋体" w:eastAsia="宋体" w:cs="宋体"/>
                <w:b w:val="0"/>
              </w:rPr>
              <w:t>147,500</w:t>
            </w:r>
          </w:p>
        </w:tc>
        <w:tc>
          <w:tcPr>
            <w:tcW w:w="0" w:type="dxa"/>
            <w:vAlign w:val="center"/>
          </w:tcPr>
          <w:p>
            <w:pPr>
              <w:spacing w:line="240" w:lineRule="auto"/>
              <w:jc w:val="right"/>
            </w:pPr>
            <w:r>
              <w:rPr>
                <w:rFonts w:ascii="宋体" w:hAnsi="宋体" w:eastAsia="宋体" w:cs="宋体"/>
                <w:b w:val="0"/>
              </w:rPr>
              <w:t>12,981,662.62</w:t>
            </w:r>
          </w:p>
        </w:tc>
        <w:tc>
          <w:tcPr>
            <w:tcW w:w="0" w:type="dxa"/>
            <w:vAlign w:val="center"/>
          </w:tcPr>
          <w:p>
            <w:pPr>
              <w:spacing w:line="240" w:lineRule="auto"/>
              <w:jc w:val="right"/>
            </w:pPr>
            <w:r>
              <w:rPr>
                <w:rFonts w:ascii="宋体" w:hAnsi="宋体" w:eastAsia="宋体" w:cs="宋体"/>
                <w:b w:val="0"/>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01530</w:t>
            </w:r>
          </w:p>
        </w:tc>
        <w:tc>
          <w:tcPr>
            <w:tcW w:w="0" w:type="dxa"/>
            <w:vAlign w:val="center"/>
          </w:tcPr>
          <w:p>
            <w:pPr>
              <w:spacing w:line="240" w:lineRule="auto"/>
              <w:jc w:val="left"/>
            </w:pPr>
            <w:r>
              <w:rPr>
                <w:rFonts w:ascii="宋体" w:hAnsi="宋体" w:eastAsia="宋体" w:cs="宋体"/>
                <w:b w:val="0"/>
              </w:rPr>
              <w:t>三生制药</w:t>
            </w:r>
          </w:p>
        </w:tc>
        <w:tc>
          <w:tcPr>
            <w:tcW w:w="0" w:type="dxa"/>
            <w:vAlign w:val="center"/>
          </w:tcPr>
          <w:p>
            <w:pPr>
              <w:spacing w:line="240" w:lineRule="auto"/>
              <w:jc w:val="right"/>
            </w:pPr>
            <w:r>
              <w:rPr>
                <w:rFonts w:ascii="宋体" w:hAnsi="宋体" w:eastAsia="宋体" w:cs="宋体"/>
                <w:b w:val="0"/>
              </w:rPr>
              <w:t>473,500</w:t>
            </w:r>
          </w:p>
        </w:tc>
        <w:tc>
          <w:tcPr>
            <w:tcW w:w="0" w:type="dxa"/>
            <w:vAlign w:val="center"/>
          </w:tcPr>
          <w:p>
            <w:pPr>
              <w:spacing w:line="240" w:lineRule="auto"/>
              <w:jc w:val="right"/>
            </w:pPr>
            <w:r>
              <w:rPr>
                <w:rFonts w:ascii="宋体" w:hAnsi="宋体" w:eastAsia="宋体" w:cs="宋体"/>
                <w:b w:val="0"/>
              </w:rPr>
              <w:t>12,968,880.90</w:t>
            </w:r>
          </w:p>
        </w:tc>
        <w:tc>
          <w:tcPr>
            <w:tcW w:w="0" w:type="dxa"/>
            <w:vAlign w:val="center"/>
          </w:tcPr>
          <w:p>
            <w:pPr>
              <w:spacing w:line="240" w:lineRule="auto"/>
              <w:jc w:val="right"/>
            </w:pPr>
            <w:r>
              <w:rPr>
                <w:rFonts w:ascii="宋体" w:hAnsi="宋体" w:eastAsia="宋体" w:cs="宋体"/>
                <w:b w:val="0"/>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09969</w:t>
            </w:r>
          </w:p>
        </w:tc>
        <w:tc>
          <w:tcPr>
            <w:tcW w:w="0" w:type="dxa"/>
            <w:vAlign w:val="center"/>
          </w:tcPr>
          <w:p>
            <w:pPr>
              <w:spacing w:line="240" w:lineRule="auto"/>
              <w:jc w:val="left"/>
            </w:pPr>
            <w:r>
              <w:rPr>
                <w:rFonts w:ascii="宋体" w:hAnsi="宋体" w:eastAsia="宋体" w:cs="宋体"/>
                <w:b w:val="0"/>
              </w:rPr>
              <w:t>诺诚健华</w:t>
            </w:r>
          </w:p>
        </w:tc>
        <w:tc>
          <w:tcPr>
            <w:tcW w:w="0" w:type="dxa"/>
            <w:vAlign w:val="center"/>
          </w:tcPr>
          <w:p>
            <w:pPr>
              <w:spacing w:line="240" w:lineRule="auto"/>
              <w:jc w:val="right"/>
            </w:pPr>
            <w:r>
              <w:rPr>
                <w:rFonts w:ascii="宋体" w:hAnsi="宋体" w:eastAsia="宋体" w:cs="宋体"/>
                <w:b w:val="0"/>
              </w:rPr>
              <w:t>630,000</w:t>
            </w:r>
          </w:p>
        </w:tc>
        <w:tc>
          <w:tcPr>
            <w:tcW w:w="0" w:type="dxa"/>
            <w:vAlign w:val="center"/>
          </w:tcPr>
          <w:p>
            <w:pPr>
              <w:spacing w:line="240" w:lineRule="auto"/>
              <w:jc w:val="right"/>
            </w:pPr>
            <w:r>
              <w:rPr>
                <w:rFonts w:ascii="宋体" w:hAnsi="宋体" w:eastAsia="宋体" w:cs="宋体"/>
                <w:b w:val="0"/>
              </w:rPr>
              <w:t>10,767,320.93</w:t>
            </w:r>
          </w:p>
        </w:tc>
        <w:tc>
          <w:tcPr>
            <w:tcW w:w="0" w:type="dxa"/>
            <w:vAlign w:val="center"/>
          </w:tcPr>
          <w:p>
            <w:pPr>
              <w:spacing w:line="240" w:lineRule="auto"/>
              <w:jc w:val="right"/>
            </w:pPr>
            <w:r>
              <w:rPr>
                <w:rFonts w:ascii="宋体" w:hAnsi="宋体" w:eastAsia="宋体" w:cs="宋体"/>
                <w:b w:val="0"/>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002294</w:t>
            </w:r>
          </w:p>
        </w:tc>
        <w:tc>
          <w:tcPr>
            <w:tcW w:w="0" w:type="dxa"/>
            <w:vAlign w:val="center"/>
          </w:tcPr>
          <w:p>
            <w:pPr>
              <w:spacing w:line="240" w:lineRule="auto"/>
              <w:jc w:val="left"/>
            </w:pPr>
            <w:r>
              <w:rPr>
                <w:rFonts w:ascii="宋体" w:hAnsi="宋体" w:eastAsia="宋体" w:cs="宋体"/>
                <w:b w:val="0"/>
              </w:rPr>
              <w:t>信立泰</w:t>
            </w:r>
          </w:p>
        </w:tc>
        <w:tc>
          <w:tcPr>
            <w:tcW w:w="0" w:type="dxa"/>
            <w:vAlign w:val="center"/>
          </w:tcPr>
          <w:p>
            <w:pPr>
              <w:spacing w:line="240" w:lineRule="auto"/>
              <w:jc w:val="right"/>
            </w:pPr>
            <w:r>
              <w:rPr>
                <w:rFonts w:ascii="宋体" w:hAnsi="宋体" w:eastAsia="宋体" w:cs="宋体"/>
                <w:b w:val="0"/>
              </w:rPr>
              <w:t>174,600</w:t>
            </w:r>
          </w:p>
        </w:tc>
        <w:tc>
          <w:tcPr>
            <w:tcW w:w="0" w:type="dxa"/>
            <w:vAlign w:val="center"/>
          </w:tcPr>
          <w:p>
            <w:pPr>
              <w:spacing w:line="240" w:lineRule="auto"/>
              <w:jc w:val="right"/>
            </w:pPr>
            <w:r>
              <w:rPr>
                <w:rFonts w:ascii="宋体" w:hAnsi="宋体" w:eastAsia="宋体" w:cs="宋体"/>
                <w:b w:val="0"/>
              </w:rPr>
              <w:t>10,537,110.00</w:t>
            </w:r>
          </w:p>
        </w:tc>
        <w:tc>
          <w:tcPr>
            <w:tcW w:w="0" w:type="dxa"/>
            <w:vAlign w:val="center"/>
          </w:tcPr>
          <w:p>
            <w:pPr>
              <w:spacing w:line="240" w:lineRule="auto"/>
              <w:jc w:val="right"/>
            </w:pPr>
            <w:r>
              <w:rPr>
                <w:rFonts w:ascii="宋体" w:hAnsi="宋体" w:eastAsia="宋体" w:cs="宋体"/>
                <w:b w:val="0"/>
              </w:rP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688382</w:t>
            </w:r>
          </w:p>
        </w:tc>
        <w:tc>
          <w:tcPr>
            <w:tcW w:w="0" w:type="dxa"/>
            <w:vAlign w:val="center"/>
          </w:tcPr>
          <w:p>
            <w:pPr>
              <w:spacing w:line="240" w:lineRule="auto"/>
              <w:jc w:val="left"/>
            </w:pPr>
            <w:r>
              <w:rPr>
                <w:rFonts w:ascii="宋体" w:hAnsi="宋体" w:eastAsia="宋体" w:cs="宋体"/>
                <w:b w:val="0"/>
              </w:rPr>
              <w:t>益方生物</w:t>
            </w:r>
          </w:p>
        </w:tc>
        <w:tc>
          <w:tcPr>
            <w:tcW w:w="0" w:type="dxa"/>
            <w:vAlign w:val="center"/>
          </w:tcPr>
          <w:p>
            <w:pPr>
              <w:spacing w:line="240" w:lineRule="auto"/>
              <w:jc w:val="right"/>
            </w:pPr>
            <w:r>
              <w:rPr>
                <w:rFonts w:ascii="宋体" w:hAnsi="宋体" w:eastAsia="宋体" w:cs="宋体"/>
                <w:b w:val="0"/>
              </w:rPr>
              <w:t>319,212</w:t>
            </w:r>
          </w:p>
        </w:tc>
        <w:tc>
          <w:tcPr>
            <w:tcW w:w="0" w:type="dxa"/>
            <w:vAlign w:val="center"/>
          </w:tcPr>
          <w:p>
            <w:pPr>
              <w:spacing w:line="240" w:lineRule="auto"/>
              <w:jc w:val="right"/>
            </w:pPr>
            <w:r>
              <w:rPr>
                <w:rFonts w:ascii="宋体" w:hAnsi="宋体" w:eastAsia="宋体" w:cs="宋体"/>
                <w:b w:val="0"/>
              </w:rPr>
              <w:t>9,930,685.32</w:t>
            </w:r>
          </w:p>
        </w:tc>
        <w:tc>
          <w:tcPr>
            <w:tcW w:w="0" w:type="dxa"/>
            <w:vAlign w:val="center"/>
          </w:tcPr>
          <w:p>
            <w:pPr>
              <w:spacing w:line="240" w:lineRule="auto"/>
              <w:jc w:val="right"/>
            </w:pPr>
            <w:r>
              <w:rPr>
                <w:rFonts w:ascii="宋体" w:hAnsi="宋体" w:eastAsia="宋体" w:cs="宋体"/>
                <w:b w:val="0"/>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688068</w:t>
            </w:r>
          </w:p>
        </w:tc>
        <w:tc>
          <w:tcPr>
            <w:tcW w:w="0" w:type="dxa"/>
            <w:vAlign w:val="center"/>
          </w:tcPr>
          <w:p>
            <w:pPr>
              <w:spacing w:line="240" w:lineRule="auto"/>
              <w:jc w:val="left"/>
            </w:pPr>
            <w:r>
              <w:rPr>
                <w:rFonts w:ascii="宋体" w:hAnsi="宋体" w:eastAsia="宋体" w:cs="宋体"/>
                <w:b w:val="0"/>
              </w:rPr>
              <w:t>热景生物</w:t>
            </w:r>
          </w:p>
        </w:tc>
        <w:tc>
          <w:tcPr>
            <w:tcW w:w="0" w:type="dxa"/>
            <w:vAlign w:val="center"/>
          </w:tcPr>
          <w:p>
            <w:pPr>
              <w:spacing w:line="240" w:lineRule="auto"/>
              <w:jc w:val="right"/>
            </w:pPr>
            <w:r>
              <w:rPr>
                <w:rFonts w:ascii="宋体" w:hAnsi="宋体" w:eastAsia="宋体" w:cs="宋体"/>
                <w:b w:val="0"/>
              </w:rPr>
              <w:t>58,337</w:t>
            </w:r>
          </w:p>
        </w:tc>
        <w:tc>
          <w:tcPr>
            <w:tcW w:w="0" w:type="dxa"/>
            <w:vAlign w:val="center"/>
          </w:tcPr>
          <w:p>
            <w:pPr>
              <w:spacing w:line="240" w:lineRule="auto"/>
              <w:jc w:val="right"/>
            </w:pPr>
            <w:r>
              <w:rPr>
                <w:rFonts w:ascii="宋体" w:hAnsi="宋体" w:eastAsia="宋体" w:cs="宋体"/>
                <w:b w:val="0"/>
              </w:rPr>
              <w:t>9,912,623.04</w:t>
            </w:r>
          </w:p>
        </w:tc>
        <w:tc>
          <w:tcPr>
            <w:tcW w:w="0" w:type="dxa"/>
            <w:vAlign w:val="center"/>
          </w:tcPr>
          <w:p>
            <w:pPr>
              <w:spacing w:line="240" w:lineRule="auto"/>
              <w:jc w:val="right"/>
            </w:pPr>
            <w:r>
              <w:rPr>
                <w:rFonts w:ascii="宋体" w:hAnsi="宋体" w:eastAsia="宋体" w:cs="宋体"/>
                <w:b w:val="0"/>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300204</w:t>
            </w:r>
          </w:p>
        </w:tc>
        <w:tc>
          <w:tcPr>
            <w:tcW w:w="0" w:type="dxa"/>
            <w:vAlign w:val="center"/>
          </w:tcPr>
          <w:p>
            <w:pPr>
              <w:spacing w:line="240" w:lineRule="auto"/>
              <w:jc w:val="left"/>
            </w:pPr>
            <w:r>
              <w:rPr>
                <w:rFonts w:ascii="宋体" w:hAnsi="宋体" w:eastAsia="宋体" w:cs="宋体"/>
                <w:b w:val="0"/>
              </w:rPr>
              <w:t>舒泰神</w:t>
            </w:r>
          </w:p>
        </w:tc>
        <w:tc>
          <w:tcPr>
            <w:tcW w:w="0" w:type="dxa"/>
            <w:vAlign w:val="center"/>
          </w:tcPr>
          <w:p>
            <w:pPr>
              <w:spacing w:line="240" w:lineRule="auto"/>
              <w:jc w:val="right"/>
            </w:pPr>
            <w:r>
              <w:rPr>
                <w:rFonts w:ascii="宋体" w:hAnsi="宋体" w:eastAsia="宋体" w:cs="宋体"/>
                <w:b w:val="0"/>
              </w:rPr>
              <w:t>239,457</w:t>
            </w:r>
          </w:p>
        </w:tc>
        <w:tc>
          <w:tcPr>
            <w:tcW w:w="0" w:type="dxa"/>
            <w:vAlign w:val="center"/>
          </w:tcPr>
          <w:p>
            <w:pPr>
              <w:spacing w:line="240" w:lineRule="auto"/>
              <w:jc w:val="right"/>
            </w:pPr>
            <w:r>
              <w:rPr>
                <w:rFonts w:ascii="宋体" w:hAnsi="宋体" w:eastAsia="宋体" w:cs="宋体"/>
                <w:b w:val="0"/>
              </w:rPr>
              <w:t>8,383,389.57</w:t>
            </w:r>
          </w:p>
        </w:tc>
        <w:tc>
          <w:tcPr>
            <w:tcW w:w="0" w:type="dxa"/>
            <w:vAlign w:val="center"/>
          </w:tcPr>
          <w:p>
            <w:pPr>
              <w:spacing w:line="240" w:lineRule="auto"/>
              <w:jc w:val="right"/>
            </w:pPr>
            <w:r>
              <w:rPr>
                <w:rFonts w:ascii="宋体" w:hAnsi="宋体" w:eastAsia="宋体" w:cs="宋体"/>
                <w:b w:val="0"/>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300723</w:t>
            </w:r>
          </w:p>
        </w:tc>
        <w:tc>
          <w:tcPr>
            <w:tcW w:w="0" w:type="dxa"/>
            <w:vAlign w:val="center"/>
          </w:tcPr>
          <w:p>
            <w:pPr>
              <w:spacing w:line="240" w:lineRule="auto"/>
              <w:jc w:val="left"/>
            </w:pPr>
            <w:r>
              <w:rPr>
                <w:rFonts w:ascii="宋体" w:hAnsi="宋体" w:eastAsia="宋体" w:cs="宋体"/>
                <w:b w:val="0"/>
              </w:rPr>
              <w:t>一品红</w:t>
            </w:r>
          </w:p>
        </w:tc>
        <w:tc>
          <w:tcPr>
            <w:tcW w:w="0" w:type="dxa"/>
            <w:vAlign w:val="center"/>
          </w:tcPr>
          <w:p>
            <w:pPr>
              <w:spacing w:line="240" w:lineRule="auto"/>
              <w:jc w:val="right"/>
            </w:pPr>
            <w:r>
              <w:rPr>
                <w:rFonts w:ascii="宋体" w:hAnsi="宋体" w:eastAsia="宋体" w:cs="宋体"/>
                <w:b w:val="0"/>
              </w:rPr>
              <w:t>139,700</w:t>
            </w:r>
          </w:p>
        </w:tc>
        <w:tc>
          <w:tcPr>
            <w:tcW w:w="0" w:type="dxa"/>
            <w:vAlign w:val="center"/>
          </w:tcPr>
          <w:p>
            <w:pPr>
              <w:spacing w:line="240" w:lineRule="auto"/>
              <w:jc w:val="right"/>
            </w:pPr>
            <w:r>
              <w:rPr>
                <w:rFonts w:ascii="宋体" w:hAnsi="宋体" w:eastAsia="宋体" w:cs="宋体"/>
                <w:b w:val="0"/>
              </w:rPr>
              <w:t>8,302,371.00</w:t>
            </w:r>
          </w:p>
        </w:tc>
        <w:tc>
          <w:tcPr>
            <w:tcW w:w="0" w:type="dxa"/>
            <w:vAlign w:val="center"/>
          </w:tcPr>
          <w:p>
            <w:pPr>
              <w:spacing w:line="240" w:lineRule="auto"/>
              <w:jc w:val="right"/>
            </w:pPr>
            <w:r>
              <w:rPr>
                <w:rFonts w:ascii="宋体" w:hAnsi="宋体" w:eastAsia="宋体" w:cs="宋体"/>
                <w:b w:val="0"/>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688321</w:t>
            </w:r>
          </w:p>
        </w:tc>
        <w:tc>
          <w:tcPr>
            <w:tcW w:w="0" w:type="dxa"/>
            <w:vAlign w:val="center"/>
          </w:tcPr>
          <w:p>
            <w:pPr>
              <w:spacing w:line="240" w:lineRule="auto"/>
              <w:jc w:val="left"/>
            </w:pPr>
            <w:r>
              <w:rPr>
                <w:rFonts w:ascii="宋体" w:hAnsi="宋体" w:eastAsia="宋体" w:cs="宋体"/>
                <w:b w:val="0"/>
              </w:rPr>
              <w:t>微芯生物</w:t>
            </w:r>
          </w:p>
        </w:tc>
        <w:tc>
          <w:tcPr>
            <w:tcW w:w="0" w:type="dxa"/>
            <w:vAlign w:val="center"/>
          </w:tcPr>
          <w:p>
            <w:pPr>
              <w:spacing w:line="240" w:lineRule="auto"/>
              <w:jc w:val="right"/>
            </w:pPr>
            <w:r>
              <w:rPr>
                <w:rFonts w:ascii="宋体" w:hAnsi="宋体" w:eastAsia="宋体" w:cs="宋体"/>
                <w:b w:val="0"/>
              </w:rPr>
              <w:t>162,272</w:t>
            </w:r>
          </w:p>
        </w:tc>
        <w:tc>
          <w:tcPr>
            <w:tcW w:w="0" w:type="dxa"/>
            <w:vAlign w:val="center"/>
          </w:tcPr>
          <w:p>
            <w:pPr>
              <w:spacing w:line="240" w:lineRule="auto"/>
              <w:jc w:val="right"/>
            </w:pPr>
            <w:r>
              <w:rPr>
                <w:rFonts w:ascii="宋体" w:hAnsi="宋体" w:eastAsia="宋体" w:cs="宋体"/>
                <w:b w:val="0"/>
              </w:rPr>
              <w:t>5,205,685.76</w:t>
            </w:r>
          </w:p>
        </w:tc>
        <w:tc>
          <w:tcPr>
            <w:tcW w:w="0" w:type="dxa"/>
            <w:vAlign w:val="center"/>
          </w:tcPr>
          <w:p>
            <w:pPr>
              <w:spacing w:line="240" w:lineRule="auto"/>
              <w:jc w:val="right"/>
            </w:pPr>
            <w:r>
              <w:rPr>
                <w:rFonts w:ascii="宋体" w:hAnsi="宋体" w:eastAsia="宋体" w:cs="宋体"/>
                <w:b w:val="0"/>
              </w:rPr>
              <w:t>3.77</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7,641,660.76</w:t>
            </w:r>
          </w:p>
        </w:tc>
        <w:tc>
          <w:tcPr>
            <w:tcW w:w="0" w:type="dxa"/>
            <w:vAlign w:val="center"/>
          </w:tcPr>
          <w:p>
            <w:pPr>
              <w:spacing w:line="240" w:lineRule="auto"/>
              <w:jc w:val="right"/>
            </w:pPr>
            <w:r>
              <w:rPr>
                <w:rFonts w:ascii="宋体" w:hAnsi="宋体" w:eastAsia="宋体" w:cs="宋体"/>
                <w:b w:val="0"/>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7,641,660.76</w:t>
            </w:r>
          </w:p>
        </w:tc>
        <w:tc>
          <w:tcPr>
            <w:tcW w:w="0" w:type="dxa"/>
            <w:vAlign w:val="center"/>
          </w:tcPr>
          <w:p>
            <w:pPr>
              <w:spacing w:line="240" w:lineRule="auto"/>
              <w:jc w:val="right"/>
            </w:pPr>
            <w:r>
              <w:rPr>
                <w:rFonts w:ascii="宋体" w:hAnsi="宋体" w:eastAsia="宋体" w:cs="宋体"/>
                <w:b w:val="0"/>
              </w:rPr>
              <w:t>5.54</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019773</w:t>
            </w:r>
          </w:p>
        </w:tc>
        <w:tc>
          <w:tcPr>
            <w:tcW w:w="0" w:type="dxa"/>
            <w:vAlign w:val="center"/>
          </w:tcPr>
          <w:p>
            <w:pPr>
              <w:spacing w:line="240" w:lineRule="auto"/>
              <w:jc w:val="left"/>
            </w:pPr>
            <w:r>
              <w:rPr>
                <w:rFonts w:ascii="宋体" w:hAnsi="宋体" w:eastAsia="宋体" w:cs="宋体"/>
                <w:b w:val="0"/>
              </w:rPr>
              <w:t>25国债08</w:t>
            </w:r>
          </w:p>
        </w:tc>
        <w:tc>
          <w:tcPr>
            <w:tcW w:w="0" w:type="dxa"/>
            <w:vAlign w:val="center"/>
          </w:tcPr>
          <w:p>
            <w:pPr>
              <w:spacing w:line="240" w:lineRule="auto"/>
              <w:jc w:val="right"/>
            </w:pPr>
            <w:r>
              <w:rPr>
                <w:rFonts w:ascii="宋体" w:hAnsi="宋体" w:eastAsia="宋体" w:cs="宋体"/>
                <w:b w:val="0"/>
              </w:rPr>
              <w:t>61,000</w:t>
            </w:r>
          </w:p>
        </w:tc>
        <w:tc>
          <w:tcPr>
            <w:tcW w:w="0" w:type="dxa"/>
            <w:vAlign w:val="center"/>
          </w:tcPr>
          <w:p>
            <w:pPr>
              <w:spacing w:line="240" w:lineRule="auto"/>
              <w:jc w:val="right"/>
            </w:pPr>
            <w:r>
              <w:rPr>
                <w:rFonts w:ascii="宋体" w:hAnsi="宋体" w:eastAsia="宋体" w:cs="宋体"/>
                <w:b w:val="0"/>
              </w:rPr>
              <w:t>6,138,694.05</w:t>
            </w:r>
          </w:p>
        </w:tc>
        <w:tc>
          <w:tcPr>
            <w:tcW w:w="0" w:type="dxa"/>
            <w:vAlign w:val="center"/>
          </w:tcPr>
          <w:p>
            <w:pPr>
              <w:spacing w:line="240" w:lineRule="auto"/>
              <w:jc w:val="right"/>
            </w:pPr>
            <w:r>
              <w:rPr>
                <w:rFonts w:ascii="宋体" w:hAnsi="宋体" w:eastAsia="宋体" w:cs="宋体"/>
                <w:b w:val="0"/>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15,000</w:t>
            </w:r>
          </w:p>
        </w:tc>
        <w:tc>
          <w:tcPr>
            <w:tcW w:w="0" w:type="dxa"/>
            <w:vAlign w:val="center"/>
          </w:tcPr>
          <w:p>
            <w:pPr>
              <w:spacing w:line="240" w:lineRule="auto"/>
              <w:jc w:val="right"/>
            </w:pPr>
            <w:r>
              <w:rPr>
                <w:rFonts w:ascii="宋体" w:hAnsi="宋体" w:eastAsia="宋体" w:cs="宋体"/>
                <w:b w:val="0"/>
              </w:rPr>
              <w:t>1,502,966.71</w:t>
            </w:r>
          </w:p>
        </w:tc>
        <w:tc>
          <w:tcPr>
            <w:tcW w:w="0" w:type="dxa"/>
            <w:vAlign w:val="center"/>
          </w:tcPr>
          <w:p>
            <w:pPr>
              <w:spacing w:line="240" w:lineRule="auto"/>
              <w:jc w:val="right"/>
            </w:pPr>
            <w:r>
              <w:rPr>
                <w:rFonts w:ascii="宋体" w:hAnsi="宋体" w:eastAsia="宋体" w:cs="宋体"/>
                <w:b w:val="0"/>
              </w:rPr>
              <w:t>1.09</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2,950,427.74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474,855.11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3,425,282.85</w:t>
            </w:r>
          </w:p>
        </w:tc>
      </w:tr>
    </w:tbl>
    <w:p/>
    <w:p>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东方阿尔法健康产业混合发起A</w:t>
            </w:r>
          </w:p>
        </w:tc>
        <w:tc>
          <w:tcPr>
            <w:tcW w:w="1300" w:type="pct"/>
            <w:vAlign w:val="center"/>
          </w:tcPr>
          <w:p>
            <w:pPr>
              <w:spacing w:line="240" w:lineRule="auto"/>
              <w:jc w:val="center"/>
            </w:pPr>
            <w:r>
              <w:rPr>
                <w:rFonts w:ascii="宋体" w:hAnsi="宋体" w:eastAsia="宋体" w:cs="宋体"/>
                <w:b w:val="0"/>
              </w:rPr>
              <w:t>东方阿尔法健康产业混合发起C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10,068,231.91</w:t>
            </w:r>
          </w:p>
        </w:tc>
        <w:tc>
          <w:tcPr>
            <w:tcW w:w="1300" w:type="pct"/>
            <w:vAlign w:val="center"/>
          </w:tcPr>
          <w:p>
            <w:pPr>
              <w:spacing w:line="240" w:lineRule="auto"/>
              <w:jc w:val="right"/>
            </w:pPr>
            <w:r>
              <w:rPr>
                <w:rFonts w:ascii="宋体" w:hAnsi="宋体" w:eastAsia="宋体" w:cs="宋体"/>
                <w:b w:val="0"/>
              </w:rPr>
              <w:t>603,316.14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24,250,227.21</w:t>
            </w:r>
          </w:p>
        </w:tc>
        <w:tc>
          <w:tcPr>
            <w:tcW w:w="1300" w:type="pct"/>
            <w:vAlign w:val="center"/>
          </w:tcPr>
          <w:p>
            <w:pPr>
              <w:spacing w:line="240" w:lineRule="auto"/>
              <w:jc w:val="right"/>
            </w:pPr>
            <w:r>
              <w:rPr>
                <w:rFonts w:ascii="宋体" w:hAnsi="宋体" w:eastAsia="宋体" w:cs="宋体"/>
                <w:b w:val="0"/>
              </w:rPr>
              <w:t>194,956,232.37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794,513.38</w:t>
            </w:r>
          </w:p>
        </w:tc>
        <w:tc>
          <w:tcPr>
            <w:tcW w:w="1300" w:type="pct"/>
            <w:vAlign w:val="center"/>
          </w:tcPr>
          <w:p>
            <w:pPr>
              <w:spacing w:line="240" w:lineRule="auto"/>
              <w:jc w:val="right"/>
            </w:pPr>
            <w:r>
              <w:rPr>
                <w:rFonts w:ascii="宋体" w:hAnsi="宋体" w:eastAsia="宋体" w:cs="宋体"/>
                <w:b w:val="0"/>
              </w:rPr>
              <w:t>98,282,708.22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33,523,945.74</w:t>
            </w:r>
          </w:p>
        </w:tc>
        <w:tc>
          <w:tcPr>
            <w:tcW w:w="1300" w:type="pct"/>
            <w:vAlign w:val="center"/>
          </w:tcPr>
          <w:p>
            <w:pPr>
              <w:spacing w:line="240" w:lineRule="auto"/>
              <w:jc w:val="right"/>
            </w:pPr>
            <w:r>
              <w:rPr>
                <w:rFonts w:ascii="宋体" w:hAnsi="宋体" w:eastAsia="宋体" w:cs="宋体"/>
                <w:b w:val="0"/>
              </w:rPr>
              <w:t>97,276,840.29</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1773"/>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东方阿尔法健康产业混合发起A</w:t>
            </w:r>
          </w:p>
        </w:tc>
        <w:tc>
          <w:tcPr>
            <w:tcW w:w="950" w:type="pct"/>
            <w:vAlign w:val="center"/>
          </w:tcPr>
          <w:p>
            <w:pPr>
              <w:spacing w:line="240" w:lineRule="auto"/>
              <w:jc w:val="center"/>
            </w:pPr>
            <w:r>
              <w:rPr>
                <w:rFonts w:ascii="宋体" w:hAnsi="宋体" w:eastAsia="宋体" w:cs="宋体"/>
                <w:b w:val="0"/>
              </w:rPr>
              <w:t>东方阿尔法健康产业混合发起C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报告期期初管理人持有的本基金份额</w:t>
            </w:r>
          </w:p>
        </w:tc>
        <w:tc>
          <w:tcPr>
            <w:tcW w:w="950" w:type="pct"/>
            <w:vAlign w:val="center"/>
          </w:tcPr>
          <w:p>
            <w:pPr>
              <w:spacing w:line="240" w:lineRule="auto"/>
              <w:jc w:val="right"/>
            </w:pPr>
            <w:r>
              <w:rPr>
                <w:rFonts w:ascii="宋体" w:hAnsi="宋体" w:eastAsia="宋体" w:cs="宋体"/>
                <w:b w:val="0"/>
              </w:rPr>
              <w:t>5,000,388.96</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报告期期间卖出/赎回总份额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5,000,388.96</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3.82</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5,000,388.96</w:t>
            </w:r>
          </w:p>
        </w:tc>
        <w:tc>
          <w:tcPr>
            <w:tcW w:w="0" w:type="dxa"/>
            <w:vAlign w:val="center"/>
          </w:tcPr>
          <w:p>
            <w:pPr>
              <w:spacing w:line="240" w:lineRule="auto"/>
              <w:jc w:val="right"/>
            </w:pPr>
            <w:r>
              <w:rPr>
                <w:rFonts w:ascii="宋体" w:hAnsi="宋体" w:eastAsia="宋体" w:cs="宋体"/>
                <w:b w:val="0"/>
              </w:rPr>
              <w:t>3.82%</w:t>
            </w:r>
          </w:p>
        </w:tc>
        <w:tc>
          <w:tcPr>
            <w:tcW w:w="0" w:type="dxa"/>
            <w:vAlign w:val="center"/>
          </w:tcPr>
          <w:p>
            <w:pPr>
              <w:spacing w:line="240" w:lineRule="auto"/>
              <w:jc w:val="right"/>
            </w:pPr>
            <w:r>
              <w:rPr>
                <w:rFonts w:ascii="宋体" w:hAnsi="宋体" w:eastAsia="宋体" w:cs="宋体"/>
                <w:b w:val="0"/>
              </w:rPr>
              <w:t>5,000,388.96</w:t>
            </w:r>
          </w:p>
        </w:tc>
        <w:tc>
          <w:tcPr>
            <w:tcW w:w="0" w:type="dxa"/>
            <w:vAlign w:val="center"/>
          </w:tcPr>
          <w:p>
            <w:pPr>
              <w:spacing w:line="240" w:lineRule="auto"/>
              <w:jc w:val="right"/>
            </w:pPr>
            <w:r>
              <w:rPr>
                <w:rFonts w:ascii="宋体" w:hAnsi="宋体" w:eastAsia="宋体" w:cs="宋体"/>
                <w:b w:val="0"/>
              </w:rPr>
              <w:t>3.82%</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4,500,711.07</w:t>
            </w:r>
          </w:p>
        </w:tc>
        <w:tc>
          <w:tcPr>
            <w:tcW w:w="0" w:type="dxa"/>
            <w:vAlign w:val="center"/>
          </w:tcPr>
          <w:p>
            <w:pPr>
              <w:spacing w:line="240" w:lineRule="auto"/>
              <w:jc w:val="right"/>
            </w:pPr>
            <w:r>
              <w:rPr>
                <w:rFonts w:ascii="宋体" w:hAnsi="宋体" w:eastAsia="宋体" w:cs="宋体"/>
                <w:b w:val="0"/>
              </w:rPr>
              <w:t>3.44%</w:t>
            </w:r>
          </w:p>
        </w:tc>
        <w:tc>
          <w:tcPr>
            <w:tcW w:w="0" w:type="dxa"/>
            <w:vAlign w:val="center"/>
          </w:tcPr>
          <w:p>
            <w:pPr>
              <w:spacing w:line="240" w:lineRule="auto"/>
              <w:jc w:val="right"/>
            </w:pPr>
            <w:r>
              <w:rPr>
                <w:rFonts w:ascii="宋体" w:hAnsi="宋体" w:eastAsia="宋体" w:cs="宋体"/>
                <w:b w:val="0"/>
              </w:rPr>
              <w:t>4,500,711.07</w:t>
            </w:r>
          </w:p>
        </w:tc>
        <w:tc>
          <w:tcPr>
            <w:tcW w:w="0" w:type="dxa"/>
            <w:vAlign w:val="center"/>
          </w:tcPr>
          <w:p>
            <w:pPr>
              <w:spacing w:line="240" w:lineRule="auto"/>
              <w:jc w:val="right"/>
            </w:pPr>
            <w:r>
              <w:rPr>
                <w:rFonts w:ascii="宋体" w:hAnsi="宋体" w:eastAsia="宋体" w:cs="宋体"/>
                <w:b w:val="0"/>
              </w:rPr>
              <w:t>3.44%</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500,419.00</w:t>
            </w:r>
          </w:p>
        </w:tc>
        <w:tc>
          <w:tcPr>
            <w:tcW w:w="0" w:type="dxa"/>
            <w:vAlign w:val="center"/>
          </w:tcPr>
          <w:p>
            <w:pPr>
              <w:spacing w:line="240" w:lineRule="auto"/>
              <w:jc w:val="right"/>
            </w:pPr>
            <w:r>
              <w:rPr>
                <w:rFonts w:ascii="宋体" w:hAnsi="宋体" w:eastAsia="宋体" w:cs="宋体"/>
                <w:b w:val="0"/>
              </w:rPr>
              <w:t>0.38%</w:t>
            </w:r>
          </w:p>
        </w:tc>
        <w:tc>
          <w:tcPr>
            <w:tcW w:w="0" w:type="dxa"/>
            <w:vAlign w:val="center"/>
          </w:tcPr>
          <w:p>
            <w:pPr>
              <w:spacing w:line="240" w:lineRule="auto"/>
              <w:jc w:val="right"/>
            </w:pPr>
            <w:r>
              <w:rPr>
                <w:rFonts w:ascii="宋体" w:hAnsi="宋体" w:eastAsia="宋体" w:cs="宋体"/>
                <w:b w:val="0"/>
              </w:rPr>
              <w:t>500,419.00</w:t>
            </w:r>
          </w:p>
        </w:tc>
        <w:tc>
          <w:tcPr>
            <w:tcW w:w="0" w:type="dxa"/>
            <w:vAlign w:val="center"/>
          </w:tcPr>
          <w:p>
            <w:pPr>
              <w:spacing w:line="240" w:lineRule="auto"/>
              <w:jc w:val="right"/>
            </w:pPr>
            <w:r>
              <w:rPr>
                <w:rFonts w:ascii="宋体" w:hAnsi="宋体" w:eastAsia="宋体" w:cs="宋体"/>
                <w:b w:val="0"/>
              </w:rPr>
              <w:t>0.38%</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10,001,519.03</w:t>
            </w:r>
          </w:p>
        </w:tc>
        <w:tc>
          <w:tcPr>
            <w:tcW w:w="0" w:type="dxa"/>
            <w:vAlign w:val="center"/>
          </w:tcPr>
          <w:p>
            <w:pPr>
              <w:spacing w:line="240" w:lineRule="auto"/>
              <w:jc w:val="right"/>
            </w:pPr>
            <w:r>
              <w:rPr>
                <w:rFonts w:ascii="宋体" w:hAnsi="宋体" w:eastAsia="宋体" w:cs="宋体"/>
                <w:b w:val="0"/>
              </w:rPr>
              <w:t>7.65%</w:t>
            </w:r>
          </w:p>
        </w:tc>
        <w:tc>
          <w:tcPr>
            <w:tcW w:w="0" w:type="dxa"/>
            <w:vAlign w:val="center"/>
          </w:tcPr>
          <w:p>
            <w:pPr>
              <w:spacing w:line="240" w:lineRule="auto"/>
              <w:jc w:val="right"/>
            </w:pPr>
            <w:r>
              <w:rPr>
                <w:rFonts w:ascii="宋体" w:hAnsi="宋体" w:eastAsia="宋体" w:cs="宋体"/>
                <w:b w:val="0"/>
              </w:rPr>
              <w:t>10,001,519.03</w:t>
            </w:r>
          </w:p>
        </w:tc>
        <w:tc>
          <w:tcPr>
            <w:tcW w:w="0" w:type="dxa"/>
            <w:vAlign w:val="center"/>
          </w:tcPr>
          <w:p>
            <w:pPr>
              <w:spacing w:line="240" w:lineRule="auto"/>
              <w:jc w:val="right"/>
            </w:pPr>
            <w:r>
              <w:rPr>
                <w:rFonts w:ascii="宋体" w:hAnsi="宋体" w:eastAsia="宋体" w:cs="宋体"/>
                <w:b w:val="0"/>
              </w:rPr>
              <w:t>7.65%</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030"/>
        <w:gridCol w:w="1476"/>
        <w:gridCol w:w="1581"/>
        <w:gridCol w:w="919"/>
        <w:gridCol w:w="1581"/>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2025年07月01日-2025年07月15日</w:t>
            </w:r>
          </w:p>
        </w:tc>
        <w:tc>
          <w:tcPr>
            <w:tcW w:w="0" w:type="dxa"/>
            <w:vAlign w:val="center"/>
          </w:tcPr>
          <w:p>
            <w:pPr>
              <w:spacing w:line="240" w:lineRule="auto"/>
              <w:jc w:val="right"/>
            </w:pPr>
            <w:r>
              <w:rPr>
                <w:rFonts w:ascii="宋体" w:hAnsi="宋体" w:eastAsia="宋体" w:cs="宋体"/>
                <w:b w:val="0"/>
              </w:rPr>
              <w:t>5,000,388.96</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5,000,388.96</w:t>
            </w:r>
          </w:p>
        </w:tc>
        <w:tc>
          <w:tcPr>
            <w:tcW w:w="0" w:type="dxa"/>
            <w:vAlign w:val="center"/>
          </w:tcPr>
          <w:p>
            <w:pPr>
              <w:spacing w:line="240" w:lineRule="auto"/>
              <w:jc w:val="right"/>
            </w:pPr>
            <w:r>
              <w:rPr>
                <w:rFonts w:ascii="宋体" w:hAnsi="宋体" w:eastAsia="宋体" w:cs="宋体"/>
                <w:b w:val="0"/>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center"/>
            </w:pPr>
            <w:r>
              <w:rPr>
                <w:rFonts w:ascii="宋体" w:hAnsi="宋体" w:eastAsia="宋体" w:cs="宋体"/>
                <w:b w:val="0"/>
              </w:rPr>
              <w:t>2025年08月07日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22,591,299.61</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22,591,299.61</w:t>
            </w:r>
          </w:p>
        </w:tc>
        <w:tc>
          <w:tcPr>
            <w:tcW w:w="0" w:type="dxa"/>
            <w:vAlign w:val="center"/>
          </w:tcPr>
          <w:p>
            <w:pPr>
              <w:spacing w:line="240" w:lineRule="auto"/>
              <w:jc w:val="right"/>
            </w:pPr>
            <w:r>
              <w:rPr>
                <w:rFonts w:ascii="宋体" w:hAnsi="宋体" w:eastAsia="宋体" w:cs="宋体"/>
                <w:b w:val="0"/>
              </w:rPr>
              <w:t>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1、中国证券监督管理委员会批准的东方阿尔法健康产业混合型发起式证券投资基金设立的文件；</w:t>
      </w:r>
      <w:r>
        <w:rPr>
          <w:rFonts w:ascii="宋体" w:hAnsi="宋体" w:eastAsia="宋体" w:cs="宋体"/>
          <w:b w:val="0"/>
        </w:rPr>
        <w:cr/>
      </w:r>
      <w:r>
        <w:rPr>
          <w:rFonts w:ascii="宋体" w:hAnsi="宋体" w:eastAsia="宋体" w:cs="宋体"/>
          <w:b w:val="0"/>
        </w:rPr>
        <w:t xml:space="preserve">    2、《东方阿尔法健康产业混合型发起式证券投资基金基金合同》；</w:t>
      </w:r>
      <w:r>
        <w:rPr>
          <w:rFonts w:ascii="宋体" w:hAnsi="宋体" w:eastAsia="宋体" w:cs="宋体"/>
          <w:b w:val="0"/>
        </w:rPr>
        <w:cr/>
      </w:r>
      <w:r>
        <w:rPr>
          <w:rFonts w:ascii="宋体" w:hAnsi="宋体" w:eastAsia="宋体" w:cs="宋体"/>
          <w:b w:val="0"/>
        </w:rPr>
        <w:t xml:space="preserve">    3、《东方阿尔法健康产业混合型发起式证券投资基金托管协议》；</w:t>
      </w:r>
      <w:r>
        <w:rPr>
          <w:rFonts w:ascii="宋体" w:hAnsi="宋体" w:eastAsia="宋体" w:cs="宋体"/>
          <w:b w:val="0"/>
        </w:rPr>
        <w:cr/>
      </w:r>
      <w:r>
        <w:rPr>
          <w:rFonts w:ascii="宋体" w:hAnsi="宋体" w:eastAsia="宋体" w:cs="宋体"/>
          <w:b w:val="0"/>
        </w:rPr>
        <w:t xml:space="preserve">    4、《东方阿尔法健康产业混合型发起式证券投资基金招募说明书》；</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二〇二五年十月二十五日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东方阿尔法健康产业混合型发起式证券投资基金2025年第3季度报告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6DD44D5"/>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2025-10-23T06:10:03Z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