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东方阿尔法精选灵活配置混合型发起式证券投资基金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2025年第3季度报告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2025年09月30日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2025年10月25日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基金托管人招商银行股份有限公司根据本基金合同规定，于2025年10月24日复核了本报告中的财务指标、净值表现和投资组合报告等内容，保证复核内容不存在虚假记载、误导性陈述或者重大遗漏。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本报告期自2025年07月01日起至2025年09月30日止。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东方阿尔法精选混合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005358</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2018年02月08日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210,399,058.43份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在严格控制风险的基础之上，通过灵活、主动的投资管理方式力求实现组合资产的稳健增值。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本基金的投资策略主要有以下10个方面内容：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本基金港股投资将重点关注A股稀缺性行业个股、A股缺乏投资标的行业、具有持续领先优势或核心竞争力的企业、符合内地政策和投资逻辑的主题性行业个股以及与A股同类公司相比具有估值优势的公司。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6、权证投资策略</w:t>
              <w:br/>
            </w:r>
            <w:r>
              <w:rPr>
                <w:rFonts w:ascii="宋体" w:hAnsi="宋体" w:cs="宋体" w:eastAsia="宋体"/>
                <w:b w:val="false"/>
              </w:rPr>
              <w:t>采用市场公认的多种期权定价模型对权证进行定价，作为权证投资的价值基准，并根据权证标的股票基本面的研究估值，结合权证理论价值进行权证趋势投资。</w:t>
              <w:br/>
            </w:r>
            <w:r>
              <w:rPr>
                <w:rFonts w:ascii="宋体" w:hAnsi="宋体" w:cs="宋体" w:eastAsia="宋体"/>
                <w:b w:val="false"/>
              </w:rPr>
              <w:t>7、股指期货投资策略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8、融资买入股票策略</w:t>
              <w:br/>
            </w:r>
            <w:r>
              <w:rPr>
                <w:rFonts w:ascii="宋体" w:hAnsi="宋体" w:cs="宋体" w:eastAsia="宋体"/>
                <w:b w:val="false"/>
              </w:rPr>
              <w:t>本基金将根据融资买入股票成本以及其他投资工具收益率综合评估是否采用融资方式买入股票。</w:t>
              <w:br/>
            </w:r>
            <w:r>
              <w:rPr>
                <w:rFonts w:ascii="宋体" w:hAnsi="宋体" w:cs="宋体" w:eastAsia="宋体"/>
                <w:b w:val="false"/>
              </w:rPr>
              <w:t>9、国债期货的投资策略</w:t>
              <w:br/>
            </w:r>
            <w:r>
              <w:rPr>
                <w:rFonts w:ascii="宋体" w:hAnsi="宋体" w:cs="宋体" w:eastAsia="宋体"/>
                <w:b w:val="false"/>
              </w:rPr>
              <w:t>基金管理人将结合对宏观经济形势和政策趋势的判断、对债券市场进行定性和定量分析，构建量化分析体系，对国债期货和现货的基差、国债期货的流动性、波动水平、套期保值的有效性等指标进行跟踪监控。</w:t>
              <w:br/>
            </w:r>
            <w:r>
              <w:rPr>
                <w:rFonts w:ascii="宋体" w:hAnsi="宋体" w:cs="宋体" w:eastAsia="宋体"/>
                <w:b w:val="false"/>
              </w:rPr>
              <w:t>10、中小企业私募债券投资策略</w:t>
              <w:br/>
            </w:r>
            <w:r>
              <w:rPr>
                <w:rFonts w:ascii="宋体" w:hAnsi="宋体" w:cs="宋体" w:eastAsia="宋体"/>
                <w:b w:val="false"/>
              </w:rPr>
              <w:t>本基金根据内部的信用分析方法对可选的中小企业私募债券品种进行筛选过滤，重点分析发行主体的公司背景、竞争地位、治理结构、盈利能力、偿债能力、现金流水平等诸多因素，采用数量化方法对主体所发行债券进行打分和投资价值评估，选择发行主体资质优良，估值合理且流通相对充分的品种进行适度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沪深300指数收益率×40%+中证综合债券指数收益率×40%+恒生指数收益率×20%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东方阿尔法精选混合A</w:t>
            </w:r>
          </w:p>
        </w:tc>
        <w:tc>
          <w:tcPr>
            <w:tcW w:type="pct" w:w="1500"/>
            <w:vAlign w:val="center"/>
          </w:tcPr>
          <w:p>
            <w:pPr>
              <w:spacing w:line="240" w:lineRule="auto"/>
              <w:jc w:val="left"/>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005358</w:t>
            </w:r>
          </w:p>
        </w:tc>
        <w:tc>
          <w:tcPr>
            <w:tcW w:type="pct" w:w="1500"/>
            <w:vAlign w:val="center"/>
          </w:tcPr>
          <w:p>
            <w:pPr>
              <w:spacing w:line="240" w:lineRule="auto"/>
              <w:jc w:val="left"/>
            </w:pPr>
            <w:r>
              <w:rPr>
                <w:rFonts w:ascii="宋体" w:hAnsi="宋体" w:cs="宋体" w:eastAsia="宋体"/>
                <w:b w:val="false"/>
              </w:rPr>
              <w:t>005359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175,601,641.11份</w:t>
            </w:r>
          </w:p>
        </w:tc>
        <w:tc>
          <w:tcPr>
            <w:tcW w:type="pct" w:w="1500"/>
            <w:vAlign w:val="center"/>
          </w:tcPr>
          <w:p>
            <w:pPr>
              <w:spacing w:line="240" w:lineRule="auto"/>
              <w:jc w:val="left"/>
            </w:pPr>
            <w:r>
              <w:rPr>
                <w:rFonts w:ascii="宋体" w:hAnsi="宋体" w:cs="宋体" w:eastAsia="宋体"/>
                <w:b w:val="false"/>
              </w:rPr>
              <w:t>34,797,417.32份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报告期（2025年07月01日-2025年09月30日）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东方阿尔法精选混合A</w:t>
            </w:r>
          </w:p>
        </w:tc>
        <w:tc>
          <w:tcPr>
            <w:tcW w:type="pct" w:w="1500"/>
            <w:vAlign w:val="center"/>
          </w:tcPr>
          <w:tcPr>
            <w:shd w:fill="d9d9d9"/>
          </w:tcPr>
          <w:p>
            <w:pPr>
              <w:spacing w:line="240" w:lineRule="auto"/>
              <w:jc w:val="center"/>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22,074,121.43</w:t>
            </w:r>
          </w:p>
        </w:tc>
        <w:tc>
          <w:tcPr>
            <w:tcW w:type="pct" w:w="1500"/>
            <w:vAlign w:val="center"/>
          </w:tcPr>
          <w:p>
            <w:pPr>
              <w:spacing w:line="240" w:lineRule="auto"/>
              <w:jc w:val="right"/>
            </w:pPr>
            <w:r>
              <w:rPr>
                <w:rFonts w:ascii="宋体" w:hAnsi="宋体" w:cs="宋体" w:eastAsia="宋体"/>
                <w:b w:val="false"/>
              </w:rPr>
              <w:t>4,219,015.10</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24,602,747.01</w:t>
            </w:r>
          </w:p>
        </w:tc>
        <w:tc>
          <w:tcPr>
            <w:tcW w:type="pct" w:w="1500"/>
            <w:vAlign w:val="center"/>
          </w:tcPr>
          <w:p>
            <w:pPr>
              <w:spacing w:line="240" w:lineRule="auto"/>
              <w:jc w:val="right"/>
            </w:pPr>
            <w:r>
              <w:rPr>
                <w:rFonts w:ascii="宋体" w:hAnsi="宋体" w:cs="宋体" w:eastAsia="宋体"/>
                <w:b w:val="false"/>
              </w:rPr>
              <w:t>4,714,416.96</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0.1325</w:t>
            </w:r>
          </w:p>
        </w:tc>
        <w:tc>
          <w:tcPr>
            <w:tcW w:type="pct" w:w="1500"/>
            <w:vAlign w:val="center"/>
          </w:tcPr>
          <w:p>
            <w:pPr>
              <w:spacing w:line="240" w:lineRule="auto"/>
              <w:jc w:val="right"/>
            </w:pPr>
            <w:r>
              <w:rPr>
                <w:rFonts w:ascii="宋体" w:hAnsi="宋体" w:cs="宋体" w:eastAsia="宋体"/>
                <w:b w:val="false"/>
              </w:rPr>
              <w:t>0.1263</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177,820,151.68</w:t>
            </w:r>
          </w:p>
        </w:tc>
        <w:tc>
          <w:tcPr>
            <w:tcW w:type="pct" w:w="1500"/>
            <w:vAlign w:val="center"/>
          </w:tcPr>
          <w:p>
            <w:pPr>
              <w:spacing w:line="240" w:lineRule="auto"/>
              <w:jc w:val="right"/>
            </w:pPr>
            <w:r>
              <w:rPr>
                <w:rFonts w:ascii="宋体" w:hAnsi="宋体" w:cs="宋体" w:eastAsia="宋体"/>
                <w:b w:val="false"/>
              </w:rPr>
              <w:t>33,938,869.05</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1.0126</w:t>
            </w:r>
          </w:p>
        </w:tc>
        <w:tc>
          <w:tcPr>
            <w:tcW w:type="pct" w:w="1500"/>
            <w:vAlign w:val="center"/>
          </w:tcPr>
          <w:p>
            <w:pPr>
              <w:spacing w:line="240" w:lineRule="auto"/>
              <w:jc w:val="right"/>
            </w:pPr>
            <w:r>
              <w:rPr>
                <w:rFonts w:ascii="宋体" w:hAnsi="宋体" w:cs="宋体" w:eastAsia="宋体"/>
                <w:b w:val="false"/>
              </w:rPr>
              <w:t>0.9753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东方阿尔法精选混合A净值表现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15.13%</w:t>
            </w:r>
          </w:p>
        </w:tc>
        <w:tc>
          <w:tcPr>
            <w:tcW/>
            <w:vAlign w:val="center"/>
          </w:tcPr>
          <w:p>
            <w:pPr>
              <w:spacing w:line="240" w:lineRule="auto"/>
              <w:jc w:val="right"/>
            </w:pPr>
            <w:r>
              <w:rPr>
                <w:rFonts w:ascii="宋体" w:hAnsi="宋体" w:cs="宋体" w:eastAsia="宋体"/>
                <w:b w:val="false"/>
              </w:rPr>
              <w:t>1.04%</w:t>
            </w:r>
          </w:p>
        </w:tc>
        <w:tc>
          <w:tcPr>
            <w:tcW/>
            <w:vAlign w:val="center"/>
          </w:tcPr>
          <w:p>
            <w:pPr>
              <w:spacing w:line="240" w:lineRule="auto"/>
              <w:jc w:val="right"/>
            </w:pPr>
            <w:r>
              <w:rPr>
                <w:rFonts w:ascii="宋体" w:hAnsi="宋体" w:cs="宋体" w:eastAsia="宋体"/>
                <w:b w:val="false"/>
              </w:rPr>
              <w:t>8.87%</w:t>
            </w:r>
          </w:p>
        </w:tc>
        <w:tc>
          <w:tcPr>
            <w:tcW/>
            <w:vAlign w:val="center"/>
          </w:tcPr>
          <w:p>
            <w:pPr>
              <w:spacing w:line="240" w:lineRule="auto"/>
              <w:jc w:val="right"/>
            </w:pPr>
            <w:r>
              <w:rPr>
                <w:rFonts w:ascii="宋体" w:hAnsi="宋体" w:cs="宋体" w:eastAsia="宋体"/>
                <w:b w:val="false"/>
              </w:rPr>
              <w:t>0.47%</w:t>
            </w:r>
          </w:p>
        </w:tc>
        <w:tc>
          <w:tcPr>
            <w:tcW/>
            <w:vAlign w:val="center"/>
          </w:tcPr>
          <w:p>
            <w:pPr>
              <w:spacing w:line="240" w:lineRule="auto"/>
              <w:jc w:val="right"/>
            </w:pPr>
            <w:r>
              <w:rPr>
                <w:rFonts w:ascii="宋体" w:hAnsi="宋体" w:cs="宋体" w:eastAsia="宋体"/>
                <w:b w:val="false"/>
              </w:rPr>
              <w:t>6.26%</w:t>
            </w:r>
          </w:p>
        </w:tc>
        <w:tc>
          <w:tcPr>
            <w:tcW/>
            <w:vAlign w:val="center"/>
          </w:tcPr>
          <w:p>
            <w:pPr>
              <w:spacing w:line="240" w:lineRule="auto"/>
              <w:jc w:val="right"/>
            </w:pPr>
            <w:r>
              <w:rPr>
                <w:rFonts w:ascii="宋体" w:hAnsi="宋体" w:cs="宋体" w:eastAsia="宋体"/>
                <w:b w:val="false"/>
              </w:rPr>
              <w:t>0.57%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15.47%</w:t>
            </w:r>
          </w:p>
        </w:tc>
        <w:tc>
          <w:tcPr>
            <w:tcW/>
            <w:vAlign w:val="center"/>
          </w:tcPr>
          <w:p>
            <w:pPr>
              <w:spacing w:line="240" w:lineRule="auto"/>
              <w:jc w:val="right"/>
            </w:pPr>
            <w:r>
              <w:rPr>
                <w:rFonts w:ascii="宋体" w:hAnsi="宋体" w:cs="宋体" w:eastAsia="宋体"/>
                <w:b w:val="false"/>
              </w:rPr>
              <w:t>1.21%</w:t>
            </w:r>
          </w:p>
        </w:tc>
        <w:tc>
          <w:tcPr>
            <w:tcW/>
            <w:vAlign w:val="center"/>
          </w:tcPr>
          <w:p>
            <w:pPr>
              <w:spacing w:line="240" w:lineRule="auto"/>
              <w:jc w:val="right"/>
            </w:pPr>
            <w:r>
              <w:rPr>
                <w:rFonts w:ascii="宋体" w:hAnsi="宋体" w:cs="宋体" w:eastAsia="宋体"/>
                <w:b w:val="false"/>
              </w:rPr>
              <w:t>11.32%</w:t>
            </w:r>
          </w:p>
        </w:tc>
        <w:tc>
          <w:tcPr>
            <w:tcW/>
            <w:vAlign w:val="center"/>
          </w:tcPr>
          <w:p>
            <w:pPr>
              <w:spacing w:line="240" w:lineRule="auto"/>
              <w:jc w:val="right"/>
            </w:pPr>
            <w:r>
              <w:rPr>
                <w:rFonts w:ascii="宋体" w:hAnsi="宋体" w:cs="宋体" w:eastAsia="宋体"/>
                <w:b w:val="false"/>
              </w:rPr>
              <w:t>0.65%</w:t>
            </w:r>
          </w:p>
        </w:tc>
        <w:tc>
          <w:tcPr>
            <w:tcW/>
            <w:vAlign w:val="center"/>
          </w:tcPr>
          <w:p>
            <w:pPr>
              <w:spacing w:line="240" w:lineRule="auto"/>
              <w:jc w:val="right"/>
            </w:pPr>
            <w:r>
              <w:rPr>
                <w:rFonts w:ascii="宋体" w:hAnsi="宋体" w:cs="宋体" w:eastAsia="宋体"/>
                <w:b w:val="false"/>
              </w:rPr>
              <w:t>4.15%</w:t>
            </w:r>
          </w:p>
        </w:tc>
        <w:tc>
          <w:tcPr>
            <w:tcW/>
            <w:vAlign w:val="center"/>
          </w:tcPr>
          <w:p>
            <w:pPr>
              <w:spacing w:line="240" w:lineRule="auto"/>
              <w:jc w:val="right"/>
            </w:pPr>
            <w:r>
              <w:rPr>
                <w:rFonts w:ascii="宋体" w:hAnsi="宋体" w:cs="宋体" w:eastAsia="宋体"/>
                <w:b w:val="false"/>
              </w:rPr>
              <w:t>0.56%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28.57%</w:t>
            </w:r>
          </w:p>
        </w:tc>
        <w:tc>
          <w:tcPr>
            <w:tcW/>
            <w:vAlign w:val="center"/>
          </w:tcPr>
          <w:p>
            <w:pPr>
              <w:spacing w:line="240" w:lineRule="auto"/>
              <w:jc w:val="right"/>
            </w:pPr>
            <w:r>
              <w:rPr>
                <w:rFonts w:ascii="宋体" w:hAnsi="宋体" w:cs="宋体" w:eastAsia="宋体"/>
                <w:b w:val="false"/>
              </w:rPr>
              <w:t>1.75%</w:t>
            </w:r>
          </w:p>
        </w:tc>
        <w:tc>
          <w:tcPr>
            <w:tcW/>
            <w:vAlign w:val="center"/>
          </w:tcPr>
          <w:p>
            <w:pPr>
              <w:spacing w:line="240" w:lineRule="auto"/>
              <w:jc w:val="right"/>
            </w:pPr>
            <w:r>
              <w:rPr>
                <w:rFonts w:ascii="宋体" w:hAnsi="宋体" w:cs="宋体" w:eastAsia="宋体"/>
                <w:b w:val="false"/>
              </w:rPr>
              <w:t>13.20%</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15.37%</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-15.81%</w:t>
            </w:r>
          </w:p>
        </w:tc>
        <w:tc>
          <w:tcPr>
            <w:tcW/>
            <w:vAlign w:val="center"/>
          </w:tcPr>
          <w:p>
            <w:pPr>
              <w:spacing w:line="240" w:lineRule="auto"/>
              <w:jc w:val="right"/>
            </w:pPr>
            <w:r>
              <w:rPr>
                <w:rFonts w:ascii="宋体" w:hAnsi="宋体" w:cs="宋体" w:eastAsia="宋体"/>
                <w:b w:val="false"/>
              </w:rPr>
              <w:t>1.81%</w:t>
            </w:r>
          </w:p>
        </w:tc>
        <w:tc>
          <w:tcPr>
            <w:tcW/>
            <w:vAlign w:val="center"/>
          </w:tcPr>
          <w:p>
            <w:pPr>
              <w:spacing w:line="240" w:lineRule="auto"/>
              <w:jc w:val="right"/>
            </w:pPr>
            <w:r>
              <w:rPr>
                <w:rFonts w:ascii="宋体" w:hAnsi="宋体" w:cs="宋体" w:eastAsia="宋体"/>
                <w:b w:val="false"/>
              </w:rPr>
              <w:t>26.74%</w:t>
            </w:r>
          </w:p>
        </w:tc>
        <w:tc>
          <w:tcPr>
            <w:tcW/>
            <w:vAlign w:val="center"/>
          </w:tcPr>
          <w:p>
            <w:pPr>
              <w:spacing w:line="240" w:lineRule="auto"/>
              <w:jc w:val="right"/>
            </w:pPr>
            <w:r>
              <w:rPr>
                <w:rFonts w:ascii="宋体" w:hAnsi="宋体" w:cs="宋体" w:eastAsia="宋体"/>
                <w:b w:val="false"/>
              </w:rPr>
              <w:t>0.67%</w:t>
            </w:r>
          </w:p>
        </w:tc>
        <w:tc>
          <w:tcPr>
            <w:tcW/>
            <w:vAlign w:val="center"/>
          </w:tcPr>
          <w:p>
            <w:pPr>
              <w:spacing w:line="240" w:lineRule="auto"/>
              <w:jc w:val="right"/>
            </w:pPr>
            <w:r>
              <w:rPr>
                <w:rFonts w:ascii="宋体" w:hAnsi="宋体" w:cs="宋体" w:eastAsia="宋体"/>
                <w:b w:val="false"/>
              </w:rPr>
              <w:t>-42.55%</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-35.05%</w:t>
            </w:r>
          </w:p>
        </w:tc>
        <w:tc>
          <w:tcPr>
            <w:tcW/>
            <w:vAlign w:val="center"/>
          </w:tcPr>
          <w:p>
            <w:pPr>
              <w:spacing w:line="240" w:lineRule="auto"/>
              <w:jc w:val="right"/>
            </w:pPr>
            <w:r>
              <w:rPr>
                <w:rFonts w:ascii="宋体" w:hAnsi="宋体" w:cs="宋体" w:eastAsia="宋体"/>
                <w:b w:val="false"/>
              </w:rPr>
              <w:t>1.77%</w:t>
            </w:r>
          </w:p>
        </w:tc>
        <w:tc>
          <w:tcPr>
            <w:tcW/>
            <w:vAlign w:val="center"/>
          </w:tcPr>
          <w:p>
            <w:pPr>
              <w:spacing w:line="240" w:lineRule="auto"/>
              <w:jc w:val="right"/>
            </w:pPr>
            <w:r>
              <w:rPr>
                <w:rFonts w:ascii="宋体" w:hAnsi="宋体" w:cs="宋体" w:eastAsia="宋体"/>
                <w:b w:val="false"/>
              </w:rPr>
              <w:t>16.32%</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-51.37%</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right"/>
            </w:pPr>
            <w:r>
              <w:rPr>
                <w:rFonts w:ascii="宋体" w:hAnsi="宋体" w:cs="宋体" w:eastAsia="宋体"/>
                <w:b w:val="false"/>
              </w:rPr>
              <w:t>24.77%</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-23.51%</w:t>
            </w:r>
          </w:p>
        </w:tc>
        <w:tc>
          <w:tcPr>
            <w:tcW/>
            <w:vAlign w:val="center"/>
          </w:tcPr>
          <w:p>
            <w:pPr>
              <w:spacing w:line="240" w:lineRule="auto"/>
              <w:jc w:val="right"/>
            </w:pPr>
            <w:r>
              <w:rPr>
                <w:rFonts w:ascii="宋体" w:hAnsi="宋体" w:cs="宋体" w:eastAsia="宋体"/>
                <w:b w:val="false"/>
              </w:rPr>
              <w:t>0.95%</w:t>
            </w:r>
          </w:p>
        </w:tc>
      </w:tr>
    </w:tbl>
    <w:p>
      <w:pPr>
        <w:jc w:val="left"/>
      </w:pPr>
      <w:r>
        <w:rPr>
          <w:rFonts w:ascii="宋体" w:hAnsi="宋体" w:cs="宋体" w:eastAsia="宋体"/>
          <w:b w:val="true"/>
        </w:rPr>
        <w:t>东方阿尔法精选混合C净值表现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14.98%</w:t>
            </w:r>
          </w:p>
        </w:tc>
        <w:tc>
          <w:tcPr>
            <w:tcW/>
            <w:vAlign w:val="center"/>
          </w:tcPr>
          <w:p>
            <w:pPr>
              <w:spacing w:line="240" w:lineRule="auto"/>
              <w:jc w:val="right"/>
            </w:pPr>
            <w:r>
              <w:rPr>
                <w:rFonts w:ascii="宋体" w:hAnsi="宋体" w:cs="宋体" w:eastAsia="宋体"/>
                <w:b w:val="false"/>
              </w:rPr>
              <w:t>1.04%</w:t>
            </w:r>
          </w:p>
        </w:tc>
        <w:tc>
          <w:tcPr>
            <w:tcW/>
            <w:vAlign w:val="center"/>
          </w:tcPr>
          <w:p>
            <w:pPr>
              <w:spacing w:line="240" w:lineRule="auto"/>
              <w:jc w:val="right"/>
            </w:pPr>
            <w:r>
              <w:rPr>
                <w:rFonts w:ascii="宋体" w:hAnsi="宋体" w:cs="宋体" w:eastAsia="宋体"/>
                <w:b w:val="false"/>
              </w:rPr>
              <w:t>8.87%</w:t>
            </w:r>
          </w:p>
        </w:tc>
        <w:tc>
          <w:tcPr>
            <w:tcW/>
            <w:vAlign w:val="center"/>
          </w:tcPr>
          <w:p>
            <w:pPr>
              <w:spacing w:line="240" w:lineRule="auto"/>
              <w:jc w:val="right"/>
            </w:pPr>
            <w:r>
              <w:rPr>
                <w:rFonts w:ascii="宋体" w:hAnsi="宋体" w:cs="宋体" w:eastAsia="宋体"/>
                <w:b w:val="false"/>
              </w:rPr>
              <w:t>0.47%</w:t>
            </w:r>
          </w:p>
        </w:tc>
        <w:tc>
          <w:tcPr>
            <w:tcW/>
            <w:vAlign w:val="center"/>
          </w:tcPr>
          <w:p>
            <w:pPr>
              <w:spacing w:line="240" w:lineRule="auto"/>
              <w:jc w:val="right"/>
            </w:pPr>
            <w:r>
              <w:rPr>
                <w:rFonts w:ascii="宋体" w:hAnsi="宋体" w:cs="宋体" w:eastAsia="宋体"/>
                <w:b w:val="false"/>
              </w:rPr>
              <w:t>6.11%</w:t>
            </w:r>
          </w:p>
        </w:tc>
        <w:tc>
          <w:tcPr>
            <w:tcW/>
            <w:vAlign w:val="center"/>
          </w:tcPr>
          <w:p>
            <w:pPr>
              <w:spacing w:line="240" w:lineRule="auto"/>
              <w:jc w:val="right"/>
            </w:pPr>
            <w:r>
              <w:rPr>
                <w:rFonts w:ascii="宋体" w:hAnsi="宋体" w:cs="宋体" w:eastAsia="宋体"/>
                <w:b w:val="false"/>
              </w:rPr>
              <w:t>0.57%</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15.26%</w:t>
            </w:r>
          </w:p>
        </w:tc>
        <w:tc>
          <w:tcPr>
            <w:tcW/>
            <w:vAlign w:val="center"/>
          </w:tcPr>
          <w:p>
            <w:pPr>
              <w:spacing w:line="240" w:lineRule="auto"/>
              <w:jc w:val="right"/>
            </w:pPr>
            <w:r>
              <w:rPr>
                <w:rFonts w:ascii="宋体" w:hAnsi="宋体" w:cs="宋体" w:eastAsia="宋体"/>
                <w:b w:val="false"/>
              </w:rPr>
              <w:t>1.21%</w:t>
            </w:r>
          </w:p>
        </w:tc>
        <w:tc>
          <w:tcPr>
            <w:tcW/>
            <w:vAlign w:val="center"/>
          </w:tcPr>
          <w:p>
            <w:pPr>
              <w:spacing w:line="240" w:lineRule="auto"/>
              <w:jc w:val="right"/>
            </w:pPr>
            <w:r>
              <w:rPr>
                <w:rFonts w:ascii="宋体" w:hAnsi="宋体" w:cs="宋体" w:eastAsia="宋体"/>
                <w:b w:val="false"/>
              </w:rPr>
              <w:t>11.32%</w:t>
            </w:r>
          </w:p>
        </w:tc>
        <w:tc>
          <w:tcPr>
            <w:tcW/>
            <w:vAlign w:val="center"/>
          </w:tcPr>
          <w:p>
            <w:pPr>
              <w:spacing w:line="240" w:lineRule="auto"/>
              <w:jc w:val="right"/>
            </w:pPr>
            <w:r>
              <w:rPr>
                <w:rFonts w:ascii="宋体" w:hAnsi="宋体" w:cs="宋体" w:eastAsia="宋体"/>
                <w:b w:val="false"/>
              </w:rPr>
              <w:t>0.65%</w:t>
            </w:r>
          </w:p>
        </w:tc>
        <w:tc>
          <w:tcPr>
            <w:tcW/>
            <w:vAlign w:val="center"/>
          </w:tcPr>
          <w:p>
            <w:pPr>
              <w:spacing w:line="240" w:lineRule="auto"/>
              <w:jc w:val="right"/>
            </w:pPr>
            <w:r>
              <w:rPr>
                <w:rFonts w:ascii="宋体" w:hAnsi="宋体" w:cs="宋体" w:eastAsia="宋体"/>
                <w:b w:val="false"/>
              </w:rPr>
              <w:t>3.94%</w:t>
            </w:r>
          </w:p>
        </w:tc>
        <w:tc>
          <w:tcPr>
            <w:tcW/>
            <w:vAlign w:val="center"/>
          </w:tcPr>
          <w:p>
            <w:pPr>
              <w:spacing w:line="240" w:lineRule="auto"/>
              <w:jc w:val="right"/>
            </w:pPr>
            <w:r>
              <w:rPr>
                <w:rFonts w:ascii="宋体" w:hAnsi="宋体" w:cs="宋体" w:eastAsia="宋体"/>
                <w:b w:val="false"/>
              </w:rPr>
              <w:t>0.56%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28.01%</w:t>
            </w:r>
          </w:p>
        </w:tc>
        <w:tc>
          <w:tcPr>
            <w:tcW/>
            <w:vAlign w:val="center"/>
          </w:tcPr>
          <w:p>
            <w:pPr>
              <w:spacing w:line="240" w:lineRule="auto"/>
              <w:jc w:val="right"/>
            </w:pPr>
            <w:r>
              <w:rPr>
                <w:rFonts w:ascii="宋体" w:hAnsi="宋体" w:cs="宋体" w:eastAsia="宋体"/>
                <w:b w:val="false"/>
              </w:rPr>
              <w:t>1.75%</w:t>
            </w:r>
          </w:p>
        </w:tc>
        <w:tc>
          <w:tcPr>
            <w:tcW/>
            <w:vAlign w:val="center"/>
          </w:tcPr>
          <w:p>
            <w:pPr>
              <w:spacing w:line="240" w:lineRule="auto"/>
              <w:jc w:val="right"/>
            </w:pPr>
            <w:r>
              <w:rPr>
                <w:rFonts w:ascii="宋体" w:hAnsi="宋体" w:cs="宋体" w:eastAsia="宋体"/>
                <w:b w:val="false"/>
              </w:rPr>
              <w:t>13.20%</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14.81%</w:t>
            </w:r>
          </w:p>
        </w:tc>
        <w:tc>
          <w:tcPr>
            <w:tcW/>
            <w:vAlign w:val="center"/>
          </w:tcPr>
          <w:p>
            <w:pPr>
              <w:spacing w:line="240" w:lineRule="auto"/>
              <w:jc w:val="right"/>
            </w:pPr>
            <w:r>
              <w:rPr>
                <w:rFonts w:ascii="宋体" w:hAnsi="宋体" w:cs="宋体" w:eastAsia="宋体"/>
                <w:b w:val="false"/>
              </w:rPr>
              <w:t>1.04%</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-17.00%</w:t>
            </w:r>
          </w:p>
        </w:tc>
        <w:tc>
          <w:tcPr>
            <w:tcW/>
            <w:vAlign w:val="center"/>
          </w:tcPr>
          <w:p>
            <w:pPr>
              <w:spacing w:line="240" w:lineRule="auto"/>
              <w:jc w:val="right"/>
            </w:pPr>
            <w:r>
              <w:rPr>
                <w:rFonts w:ascii="宋体" w:hAnsi="宋体" w:cs="宋体" w:eastAsia="宋体"/>
                <w:b w:val="false"/>
              </w:rPr>
              <w:t>1.81%</w:t>
            </w:r>
          </w:p>
        </w:tc>
        <w:tc>
          <w:tcPr>
            <w:tcW/>
            <w:vAlign w:val="center"/>
          </w:tcPr>
          <w:p>
            <w:pPr>
              <w:spacing w:line="240" w:lineRule="auto"/>
              <w:jc w:val="right"/>
            </w:pPr>
            <w:r>
              <w:rPr>
                <w:rFonts w:ascii="宋体" w:hAnsi="宋体" w:cs="宋体" w:eastAsia="宋体"/>
                <w:b w:val="false"/>
              </w:rPr>
              <w:t>26.74%</w:t>
            </w:r>
          </w:p>
        </w:tc>
        <w:tc>
          <w:tcPr>
            <w:tcW/>
            <w:vAlign w:val="center"/>
          </w:tcPr>
          <w:p>
            <w:pPr>
              <w:spacing w:line="240" w:lineRule="auto"/>
              <w:jc w:val="right"/>
            </w:pPr>
            <w:r>
              <w:rPr>
                <w:rFonts w:ascii="宋体" w:hAnsi="宋体" w:cs="宋体" w:eastAsia="宋体"/>
                <w:b w:val="false"/>
              </w:rPr>
              <w:t>0.67%</w:t>
            </w:r>
          </w:p>
        </w:tc>
        <w:tc>
          <w:tcPr>
            <w:tcW/>
            <w:vAlign w:val="center"/>
          </w:tcPr>
          <w:p>
            <w:pPr>
              <w:spacing w:line="240" w:lineRule="auto"/>
              <w:jc w:val="right"/>
            </w:pPr>
            <w:r>
              <w:rPr>
                <w:rFonts w:ascii="宋体" w:hAnsi="宋体" w:cs="宋体" w:eastAsia="宋体"/>
                <w:b w:val="false"/>
              </w:rPr>
              <w:t>-43.74%</w:t>
            </w:r>
          </w:p>
        </w:tc>
        <w:tc>
          <w:tcPr>
            <w:tcW/>
            <w:vAlign w:val="center"/>
          </w:tcPr>
          <w:p>
            <w:pPr>
              <w:spacing w:line="240" w:lineRule="auto"/>
              <w:jc w:val="right"/>
            </w:pPr>
            <w:r>
              <w:rPr>
                <w:rFonts w:ascii="宋体" w:hAnsi="宋体" w:cs="宋体" w:eastAsia="宋体"/>
                <w:b w:val="false"/>
              </w:rPr>
              <w:t>1.14%</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-36.61%</w:t>
            </w:r>
          </w:p>
        </w:tc>
        <w:tc>
          <w:tcPr>
            <w:tcW/>
            <w:vAlign w:val="center"/>
          </w:tcPr>
          <w:p>
            <w:pPr>
              <w:spacing w:line="240" w:lineRule="auto"/>
              <w:jc w:val="right"/>
            </w:pPr>
            <w:r>
              <w:rPr>
                <w:rFonts w:ascii="宋体" w:hAnsi="宋体" w:cs="宋体" w:eastAsia="宋体"/>
                <w:b w:val="false"/>
              </w:rPr>
              <w:t>1.77%</w:t>
            </w:r>
          </w:p>
        </w:tc>
        <w:tc>
          <w:tcPr>
            <w:tcW/>
            <w:vAlign w:val="center"/>
          </w:tcPr>
          <w:p>
            <w:pPr>
              <w:spacing w:line="240" w:lineRule="auto"/>
              <w:jc w:val="right"/>
            </w:pPr>
            <w:r>
              <w:rPr>
                <w:rFonts w:ascii="宋体" w:hAnsi="宋体" w:cs="宋体" w:eastAsia="宋体"/>
                <w:b w:val="false"/>
              </w:rPr>
              <w:t>16.32%</w:t>
            </w:r>
          </w:p>
        </w:tc>
        <w:tc>
          <w:tcPr>
            <w:tcW/>
            <w:vAlign w:val="center"/>
          </w:tcPr>
          <w:p>
            <w:pPr>
              <w:spacing w:line="240" w:lineRule="auto"/>
              <w:jc w:val="right"/>
            </w:pPr>
            <w:r>
              <w:rPr>
                <w:rFonts w:ascii="宋体" w:hAnsi="宋体" w:cs="宋体" w:eastAsia="宋体"/>
                <w:b w:val="false"/>
              </w:rPr>
              <w:t>0.69%</w:t>
            </w:r>
          </w:p>
        </w:tc>
        <w:tc>
          <w:tcPr>
            <w:tcW/>
            <w:vAlign w:val="center"/>
          </w:tcPr>
          <w:p>
            <w:pPr>
              <w:spacing w:line="240" w:lineRule="auto"/>
              <w:jc w:val="right"/>
            </w:pPr>
            <w:r>
              <w:rPr>
                <w:rFonts w:ascii="宋体" w:hAnsi="宋体" w:cs="宋体" w:eastAsia="宋体"/>
                <w:b w:val="false"/>
              </w:rPr>
              <w:t>-52.93%</w:t>
            </w:r>
          </w:p>
        </w:tc>
        <w:tc>
          <w:tcPr>
            <w:tcW/>
            <w:vAlign w:val="center"/>
          </w:tcPr>
          <w:p>
            <w:pPr>
              <w:spacing w:line="240" w:lineRule="auto"/>
              <w:jc w:val="right"/>
            </w:pPr>
            <w:r>
              <w:rPr>
                <w:rFonts w:ascii="宋体" w:hAnsi="宋体" w:cs="宋体" w:eastAsia="宋体"/>
                <w:b w:val="false"/>
              </w:rPr>
              <w:t>1.08%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1.66%</w:t>
            </w:r>
          </w:p>
        </w:tc>
        <w:tc>
          <w:tcPr>
            <w:tcW/>
            <w:vAlign w:val="center"/>
          </w:tcPr>
          <w:p>
            <w:pPr>
              <w:spacing w:line="240" w:lineRule="auto"/>
              <w:jc w:val="right"/>
            </w:pPr>
            <w:r>
              <w:rPr>
                <w:rFonts w:ascii="宋体" w:hAnsi="宋体" w:cs="宋体" w:eastAsia="宋体"/>
                <w:b w:val="false"/>
              </w:rPr>
              <w:t>24.77%</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-27.24%</w:t>
            </w:r>
          </w:p>
        </w:tc>
        <w:tc>
          <w:tcPr>
            <w:tcW/>
            <w:vAlign w:val="center"/>
          </w:tcPr>
          <w:p>
            <w:pPr>
              <w:spacing w:line="240" w:lineRule="auto"/>
              <w:jc w:val="right"/>
            </w:pPr>
            <w:r>
              <w:rPr>
                <w:rFonts w:ascii="宋体" w:hAnsi="宋体" w:cs="宋体" w:eastAsia="宋体"/>
                <w:b w:val="false"/>
              </w:rPr>
              <w:t>0.95%</w:t>
            </w:r>
          </w:p>
        </w:tc>
      </w:tr>
    </w:tbl>
    <w:p>
      <w:r>
        <w:rPr>
          <w:rFonts w:ascii="宋体" w:hAnsi="宋体" w:cs="宋体" w:eastAsia="宋体"/>
          <w:b w:val="false"/>
        </w:rPr>
        <w:t>注：本基金业绩比较基准为：沪深300指数收益率×40%+中证综合债券指数收益率×40%+恒生指数收益率×20%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2025-04-07</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9年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第三季度，国内制造业呈现出明显的景气度分化态势，尽管如此，整体制造业采购经理指数（PMI）仍处于收缩区间。具体来看，7月至9月的制造业PMI分别为49.3%、49.4%和49.8%。在生产规模方面，国内规模以上工业增加值在7月和8月分别实现了5.7%和5.2%的同比增长，显示出“量”的增长仍保持了较为良好的增速。在价格指数方面，7月至9月的消费者价格指数（CPI）分别同比持平、下降0.4%和下降0.3%，而同期的生产者价格指数（PPI）分别同比下降3.6%、2.9%和2.3%。价格指数同比仍处于负区间，但预计随着“反内卷”政策的逐步落地实施，后续需求侧也将有望逐步提升，市场供需格局将逐渐改善，价格指数有望回升至正区间。</w:t>
        <w:cr/>
      </w:r>
      <w:r>
        <w:rPr>
          <w:rFonts w:ascii="宋体" w:hAnsi="宋体" w:cs="宋体" w:eastAsia="宋体"/>
          <w:b w:val="false"/>
        </w:rPr>
        <w:t xml:space="preserve">    在A股市场方面，2025年第三季度主要宽基指数整体呈现出震荡上行的走势。具体来看，上证指数上涨了12.73%，沪深300指数上涨了17.9%，创业板指上涨了50.4%，科创50指数上涨了49.02%，中证500指数上涨了25.31%。在申万一级行业指数方面，行业表现差异较为明显。其中，通信、电子、电力设备、有色金属等行业指数涨幅领先，均超过了40%。而交通运输、石油石化、公用事业、食品饮料、纺织服饰等行业指数上涨幅度不到3%，仅有银行行业指数出现下跌，下跌幅度为10.19%。</w:t>
        <w:cr/>
      </w:r>
      <w:r>
        <w:rPr>
          <w:rFonts w:ascii="宋体" w:hAnsi="宋体" w:cs="宋体" w:eastAsia="宋体"/>
          <w:b w:val="false"/>
        </w:rPr>
        <w:t xml:space="preserve">    作为一只灵活配置型的混合型基金产品，我们依据对宏观经济形势、货币流动性以及市场风险偏好等多方面因素的综合判断，来灵活配置权益资产的投资比例。本基金的目标是在追求较高收益率的同时，也能有效兼顾控制投资回撤风险。在行业配置策略方面，我们相对看好高端制造业与信息产业这两大方向，这也是本报告期内我们主要的配置方向。近年来，我国加快了经济结构转型的步伐，致力于追求高质量发展。在此过程中，制造业投资一直保持着较高的增速，同时我国的产业链也较为完备，国际竞争力在逐步提升。制造业产业升级将是中长期的发展趋势，高端制造业有望成为我国经济发展的新动能， 我们认为这其中蕴含着较大的投资机会。信息产业是我国政策上一直大力支持发展的重要产业之一，也逐渐成为我国一大重要支柱产业。此外，全球科技创新层出不穷，每一轮大的产业创新周期，权益市场的相关个股都会迎来较大的估值提升机会。同时，我们会保持对新科技产品或应用的紧密跟踪，争取把握其中从0到1、从1到N的投资机会，努力为持有人带来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精选混合A基金份额净值为1.0126元，本报告期内，该类基金份额净值增长率为15.13%，同期业绩比较基准收益率为8.87%；截至报告期末东方阿尔法精选混合C基金份额净值为0.9753元，本报告期内，该类基金份额净值增长率为14.98%，同期业绩比较基准收益率为8.87%。</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114,747,117.90</w:t>
            </w:r>
          </w:p>
        </w:tc>
        <w:tc>
          <w:tcPr>
            <w:tcW/>
            <w:vAlign w:val="center"/>
          </w:tcPr>
          <w:p>
            <w:pPr>
              <w:spacing w:line="240" w:lineRule="auto"/>
              <w:jc w:val="right"/>
            </w:pPr>
            <w:r>
              <w:rPr>
                <w:rFonts w:ascii="宋体" w:hAnsi="宋体" w:cs="宋体" w:eastAsia="宋体"/>
                <w:b w:val="false"/>
              </w:rPr>
              <w:t>53.75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114,747,117.90</w:t>
            </w:r>
          </w:p>
        </w:tc>
        <w:tc>
          <w:tcPr>
            <w:tcW/>
            <w:vAlign w:val="center"/>
          </w:tcPr>
          <w:p>
            <w:pPr>
              <w:spacing w:line="240" w:lineRule="auto"/>
              <w:jc w:val="right"/>
            </w:pPr>
            <w:r>
              <w:rPr>
                <w:rFonts w:ascii="宋体" w:hAnsi="宋体" w:cs="宋体" w:eastAsia="宋体"/>
                <w:b w:val="false"/>
              </w:rPr>
              <w:t>53.75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22,426,086.63</w:t>
            </w:r>
          </w:p>
        </w:tc>
        <w:tc>
          <w:tcPr>
            <w:tcW/>
            <w:vAlign w:val="center"/>
          </w:tcPr>
          <w:p>
            <w:pPr>
              <w:spacing w:line="240" w:lineRule="auto"/>
              <w:jc w:val="right"/>
            </w:pPr>
            <w:r>
              <w:rPr>
                <w:rFonts w:ascii="宋体" w:hAnsi="宋体" w:cs="宋体" w:eastAsia="宋体"/>
                <w:b w:val="false"/>
              </w:rPr>
              <w:t>10.50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22,426,086.63</w:t>
            </w:r>
          </w:p>
        </w:tc>
        <w:tc>
          <w:tcPr>
            <w:tcW/>
            <w:vAlign w:val="center"/>
          </w:tcPr>
          <w:p>
            <w:pPr>
              <w:spacing w:line="240" w:lineRule="auto"/>
              <w:jc w:val="right"/>
            </w:pPr>
            <w:r>
              <w:rPr>
                <w:rFonts w:ascii="宋体" w:hAnsi="宋体" w:cs="宋体" w:eastAsia="宋体"/>
                <w:b w:val="false"/>
              </w:rPr>
              <w:t>10.50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59,980,190.12</w:t>
            </w:r>
          </w:p>
        </w:tc>
        <w:tc>
          <w:tcPr>
            <w:tcW/>
            <w:vAlign w:val="center"/>
          </w:tcPr>
          <w:p>
            <w:pPr>
              <w:spacing w:line="240" w:lineRule="auto"/>
              <w:jc w:val="right"/>
            </w:pPr>
            <w:r>
              <w:rPr>
                <w:rFonts w:ascii="宋体" w:hAnsi="宋体" w:cs="宋体" w:eastAsia="宋体"/>
                <w:b w:val="false"/>
              </w:rPr>
              <w:t>28.09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16,255,192.24</w:t>
            </w:r>
          </w:p>
        </w:tc>
        <w:tc>
          <w:tcPr>
            <w:tcW/>
            <w:vAlign w:val="center"/>
          </w:tcPr>
          <w:p>
            <w:pPr>
              <w:spacing w:line="240" w:lineRule="auto"/>
              <w:jc w:val="right"/>
            </w:pPr>
            <w:r>
              <w:rPr>
                <w:rFonts w:ascii="宋体" w:hAnsi="宋体" w:cs="宋体" w:eastAsia="宋体"/>
                <w:b w:val="false"/>
              </w:rPr>
              <w:t>7.61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90,536.63</w:t>
            </w:r>
          </w:p>
        </w:tc>
        <w:tc>
          <w:tcPr>
            <w:tcW/>
            <w:vAlign w:val="center"/>
          </w:tcPr>
          <w:p>
            <w:pPr>
              <w:spacing w:line="240" w:lineRule="auto"/>
              <w:jc w:val="right"/>
            </w:pPr>
            <w:r>
              <w:rPr>
                <w:rFonts w:ascii="宋体" w:hAnsi="宋体" w:cs="宋体" w:eastAsia="宋体"/>
                <w:b w:val="false"/>
              </w:rPr>
              <w:t>0.04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213,499,123.52</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注：报告期末本基金通过港股通交易机制投资的港股公允价值合计21,772,436.63元，占基金资产净值的比例为10.28%。</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53,737,312.37</w:t>
            </w:r>
          </w:p>
        </w:tc>
        <w:tc>
          <w:tcPr>
            <w:tcW/>
            <w:vAlign w:val="center"/>
          </w:tcPr>
          <w:p>
            <w:pPr>
              <w:spacing w:line="240" w:lineRule="auto"/>
              <w:jc w:val="right"/>
            </w:pPr>
            <w:r>
              <w:rPr>
                <w:rFonts w:ascii="宋体" w:hAnsi="宋体" w:cs="宋体" w:eastAsia="宋体"/>
                <w:b w:val="false"/>
              </w:rPr>
              <w:t>25.38</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3,070.40</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35,905,903.62</w:t>
            </w:r>
          </w:p>
        </w:tc>
        <w:tc>
          <w:tcPr>
            <w:tcW/>
            <w:vAlign w:val="center"/>
          </w:tcPr>
          <w:p>
            <w:pPr>
              <w:spacing w:line="240" w:lineRule="auto"/>
              <w:jc w:val="right"/>
            </w:pPr>
            <w:r>
              <w:rPr>
                <w:rFonts w:ascii="宋体" w:hAnsi="宋体" w:cs="宋体" w:eastAsia="宋体"/>
                <w:b w:val="false"/>
              </w:rPr>
              <w:t>16.96</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3,323,547.18</w:t>
            </w:r>
          </w:p>
        </w:tc>
        <w:tc>
          <w:tcPr>
            <w:tcW/>
            <w:vAlign w:val="center"/>
          </w:tcPr>
          <w:p>
            <w:pPr>
              <w:spacing w:line="240" w:lineRule="auto"/>
              <w:jc w:val="right"/>
            </w:pPr>
            <w:r>
              <w:rPr>
                <w:rFonts w:ascii="宋体" w:hAnsi="宋体" w:cs="宋体" w:eastAsia="宋体"/>
                <w:b w:val="false"/>
              </w:rPr>
              <w:t>1.57</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4,847.70</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92,974,681.27</w:t>
            </w:r>
          </w:p>
        </w:tc>
        <w:tc>
          <w:tcPr>
            <w:tcW/>
            <w:vAlign w:val="center"/>
          </w:tcPr>
          <w:p>
            <w:pPr>
              <w:spacing w:line="240" w:lineRule="auto"/>
              <w:jc w:val="right"/>
            </w:pPr>
            <w:r>
              <w:rPr>
                <w:rFonts w:ascii="宋体" w:hAnsi="宋体" w:cs="宋体" w:eastAsia="宋体"/>
                <w:b w:val="false"/>
              </w:rPr>
              <w:t>43.91</w:t>
            </w:r>
          </w:p>
        </w:tc>
      </w:tr>
    </w:tbl>
    <w:p/>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非日常生活消费品</w:t>
            </w:r>
          </w:p>
        </w:tc>
        <w:tc>
          <w:tcPr>
            <w:tcW/>
            <w:vAlign w:val="center"/>
          </w:tcPr>
          <w:p>
            <w:pPr>
              <w:spacing w:line="240" w:lineRule="auto"/>
              <w:jc w:val="right"/>
            </w:pPr>
            <w:r>
              <w:rPr>
                <w:rFonts w:ascii="宋体" w:hAnsi="宋体" w:cs="宋体" w:eastAsia="宋体"/>
                <w:b w:val="false"/>
              </w:rPr>
              <w:t>3,725,232.29</w:t>
            </w:r>
          </w:p>
        </w:tc>
        <w:tc>
          <w:tcPr>
            <w:tcW/>
            <w:vAlign w:val="center"/>
          </w:tcPr>
          <w:p>
            <w:pPr>
              <w:spacing w:line="240" w:lineRule="auto"/>
              <w:jc w:val="right"/>
            </w:pPr>
            <w:r>
              <w:rPr>
                <w:rFonts w:ascii="宋体" w:hAnsi="宋体" w:cs="宋体" w:eastAsia="宋体"/>
                <w:b w:val="false"/>
              </w:rPr>
              <w:t>1.76</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18,047,204.34</w:t>
            </w:r>
          </w:p>
        </w:tc>
        <w:tc>
          <w:tcPr>
            <w:tcW/>
            <w:vAlign w:val="center"/>
          </w:tcPr>
          <w:p>
            <w:pPr>
              <w:spacing w:line="240" w:lineRule="auto"/>
              <w:jc w:val="right"/>
            </w:pPr>
            <w:r>
              <w:rPr>
                <w:rFonts w:ascii="宋体" w:hAnsi="宋体" w:cs="宋体" w:eastAsia="宋体"/>
                <w:b w:val="false"/>
              </w:rPr>
              <w:t>8.52</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21,772,436.63</w:t>
            </w:r>
          </w:p>
        </w:tc>
        <w:tc>
          <w:tcPr>
            <w:tcW/>
            <w:vAlign w:val="center"/>
          </w:tcPr>
          <w:p>
            <w:pPr>
              <w:spacing w:line="240" w:lineRule="auto"/>
              <w:jc w:val="right"/>
            </w:pPr>
            <w:r>
              <w:rPr>
                <w:rFonts w:ascii="宋体" w:hAnsi="宋体" w:cs="宋体" w:eastAsia="宋体"/>
                <w:b w:val="false"/>
              </w:rPr>
              <w:t>10.28</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603986</w:t>
            </w:r>
          </w:p>
        </w:tc>
        <w:tc>
          <w:tcPr>
            <w:tcW/>
            <w:vAlign w:val="center"/>
          </w:tcPr>
          <w:p>
            <w:pPr>
              <w:spacing w:line="240" w:lineRule="auto"/>
              <w:jc w:val="left"/>
            </w:pPr>
            <w:r>
              <w:rPr>
                <w:rFonts w:ascii="宋体" w:hAnsi="宋体" w:cs="宋体" w:eastAsia="宋体"/>
                <w:b w:val="false"/>
              </w:rPr>
              <w:t>兆易创新</w:t>
            </w:r>
          </w:p>
        </w:tc>
        <w:tc>
          <w:tcPr>
            <w:tcW/>
            <w:vAlign w:val="center"/>
          </w:tcPr>
          <w:p>
            <w:pPr>
              <w:spacing w:line="240" w:lineRule="auto"/>
              <w:jc w:val="right"/>
            </w:pPr>
            <w:r>
              <w:rPr>
                <w:rFonts w:ascii="宋体" w:hAnsi="宋体" w:cs="宋体" w:eastAsia="宋体"/>
                <w:b w:val="false"/>
              </w:rPr>
              <w:t>34,800</w:t>
            </w:r>
          </w:p>
        </w:tc>
        <w:tc>
          <w:tcPr>
            <w:tcW/>
            <w:vAlign w:val="center"/>
          </w:tcPr>
          <w:p>
            <w:pPr>
              <w:spacing w:line="240" w:lineRule="auto"/>
              <w:jc w:val="right"/>
            </w:pPr>
            <w:r>
              <w:rPr>
                <w:rFonts w:ascii="宋体" w:hAnsi="宋体" w:cs="宋体" w:eastAsia="宋体"/>
                <w:b w:val="false"/>
              </w:rPr>
              <w:t>7,422,840.00</w:t>
            </w:r>
          </w:p>
        </w:tc>
        <w:tc>
          <w:tcPr>
            <w:tcW/>
            <w:vAlign w:val="center"/>
          </w:tcPr>
          <w:p>
            <w:pPr>
              <w:spacing w:line="240" w:lineRule="auto"/>
              <w:jc w:val="right"/>
            </w:pPr>
            <w:r>
              <w:rPr>
                <w:rFonts w:ascii="宋体" w:hAnsi="宋体" w:cs="宋体" w:eastAsia="宋体"/>
                <w:b w:val="false"/>
              </w:rPr>
              <w:t>3.51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00981</w:t>
            </w:r>
          </w:p>
        </w:tc>
        <w:tc>
          <w:tcPr>
            <w:tcW/>
            <w:vAlign w:val="center"/>
          </w:tcPr>
          <w:p>
            <w:pPr>
              <w:spacing w:line="240" w:lineRule="auto"/>
              <w:jc w:val="left"/>
            </w:pPr>
            <w:r>
              <w:rPr>
                <w:rFonts w:ascii="宋体" w:hAnsi="宋体" w:cs="宋体" w:eastAsia="宋体"/>
                <w:b w:val="false"/>
              </w:rPr>
              <w:t>中芯国际</w:t>
            </w:r>
          </w:p>
        </w:tc>
        <w:tc>
          <w:tcPr>
            <w:tcW/>
            <w:vAlign w:val="center"/>
          </w:tcPr>
          <w:p>
            <w:pPr>
              <w:spacing w:line="240" w:lineRule="auto"/>
              <w:jc w:val="right"/>
            </w:pPr>
            <w:r>
              <w:rPr>
                <w:rFonts w:ascii="宋体" w:hAnsi="宋体" w:cs="宋体" w:eastAsia="宋体"/>
                <w:b w:val="false"/>
              </w:rPr>
              <w:t>99,000</w:t>
            </w:r>
          </w:p>
        </w:tc>
        <w:tc>
          <w:tcPr>
            <w:tcW/>
            <w:vAlign w:val="center"/>
          </w:tcPr>
          <w:p>
            <w:pPr>
              <w:spacing w:line="240" w:lineRule="auto"/>
              <w:jc w:val="right"/>
            </w:pPr>
            <w:r>
              <w:rPr>
                <w:rFonts w:ascii="宋体" w:hAnsi="宋体" w:cs="宋体" w:eastAsia="宋体"/>
                <w:b w:val="false"/>
              </w:rPr>
              <w:t>7,190,128.34</w:t>
            </w:r>
          </w:p>
        </w:tc>
        <w:tc>
          <w:tcPr>
            <w:tcW/>
            <w:vAlign w:val="center"/>
          </w:tcPr>
          <w:p>
            <w:pPr>
              <w:spacing w:line="240" w:lineRule="auto"/>
              <w:jc w:val="right"/>
            </w:pPr>
            <w:r>
              <w:rPr>
                <w:rFonts w:ascii="宋体" w:hAnsi="宋体" w:cs="宋体" w:eastAsia="宋体"/>
                <w:b w:val="false"/>
              </w:rPr>
              <w:t>3.40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002384</w:t>
            </w:r>
          </w:p>
        </w:tc>
        <w:tc>
          <w:tcPr>
            <w:tcW/>
            <w:vAlign w:val="center"/>
          </w:tcPr>
          <w:p>
            <w:pPr>
              <w:spacing w:line="240" w:lineRule="auto"/>
              <w:jc w:val="left"/>
            </w:pPr>
            <w:r>
              <w:rPr>
                <w:rFonts w:ascii="宋体" w:hAnsi="宋体" w:cs="宋体" w:eastAsia="宋体"/>
                <w:b w:val="false"/>
              </w:rPr>
              <w:t>东山精密</w:t>
            </w:r>
          </w:p>
        </w:tc>
        <w:tc>
          <w:tcPr>
            <w:tcW/>
            <w:vAlign w:val="center"/>
          </w:tcPr>
          <w:p>
            <w:pPr>
              <w:spacing w:line="240" w:lineRule="auto"/>
              <w:jc w:val="right"/>
            </w:pPr>
            <w:r>
              <w:rPr>
                <w:rFonts w:ascii="宋体" w:hAnsi="宋体" w:cs="宋体" w:eastAsia="宋体"/>
                <w:b w:val="false"/>
              </w:rPr>
              <w:t>88,700</w:t>
            </w:r>
          </w:p>
        </w:tc>
        <w:tc>
          <w:tcPr>
            <w:tcW/>
            <w:vAlign w:val="center"/>
          </w:tcPr>
          <w:p>
            <w:pPr>
              <w:spacing w:line="240" w:lineRule="auto"/>
              <w:jc w:val="right"/>
            </w:pPr>
            <w:r>
              <w:rPr>
                <w:rFonts w:ascii="宋体" w:hAnsi="宋体" w:cs="宋体" w:eastAsia="宋体"/>
                <w:b w:val="false"/>
              </w:rPr>
              <w:t>6,342,050.00</w:t>
            </w:r>
          </w:p>
        </w:tc>
        <w:tc>
          <w:tcPr>
            <w:tcW/>
            <w:vAlign w:val="center"/>
          </w:tcPr>
          <w:p>
            <w:pPr>
              <w:spacing w:line="240" w:lineRule="auto"/>
              <w:jc w:val="right"/>
            </w:pPr>
            <w:r>
              <w:rPr>
                <w:rFonts w:ascii="宋体" w:hAnsi="宋体" w:cs="宋体" w:eastAsia="宋体"/>
                <w:b w:val="false"/>
              </w:rPr>
              <w:t>2.99</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002602</w:t>
            </w:r>
          </w:p>
        </w:tc>
        <w:tc>
          <w:tcPr>
            <w:tcW/>
            <w:vAlign w:val="center"/>
          </w:tcPr>
          <w:p>
            <w:pPr>
              <w:spacing w:line="240" w:lineRule="auto"/>
              <w:jc w:val="left"/>
            </w:pPr>
            <w:r>
              <w:rPr>
                <w:rFonts w:ascii="宋体" w:hAnsi="宋体" w:cs="宋体" w:eastAsia="宋体"/>
                <w:b w:val="false"/>
              </w:rPr>
              <w:t>ST华通</w:t>
            </w:r>
          </w:p>
        </w:tc>
        <w:tc>
          <w:tcPr>
            <w:tcW/>
            <w:vAlign w:val="center"/>
          </w:tcPr>
          <w:p>
            <w:pPr>
              <w:spacing w:line="240" w:lineRule="auto"/>
              <w:jc w:val="right"/>
            </w:pPr>
            <w:r>
              <w:rPr>
                <w:rFonts w:ascii="宋体" w:hAnsi="宋体" w:cs="宋体" w:eastAsia="宋体"/>
                <w:b w:val="false"/>
              </w:rPr>
              <w:t>298,200</w:t>
            </w:r>
          </w:p>
        </w:tc>
        <w:tc>
          <w:tcPr>
            <w:tcW/>
            <w:vAlign w:val="center"/>
          </w:tcPr>
          <w:p>
            <w:pPr>
              <w:spacing w:line="240" w:lineRule="auto"/>
              <w:jc w:val="right"/>
            </w:pPr>
            <w:r>
              <w:rPr>
                <w:rFonts w:ascii="宋体" w:hAnsi="宋体" w:cs="宋体" w:eastAsia="宋体"/>
                <w:b w:val="false"/>
              </w:rPr>
              <w:t>6,175,722.00</w:t>
            </w:r>
          </w:p>
        </w:tc>
        <w:tc>
          <w:tcPr>
            <w:tcW/>
            <w:vAlign w:val="center"/>
          </w:tcPr>
          <w:p>
            <w:pPr>
              <w:spacing w:line="240" w:lineRule="auto"/>
              <w:jc w:val="right"/>
            </w:pPr>
            <w:r>
              <w:rPr>
                <w:rFonts w:ascii="宋体" w:hAnsi="宋体" w:cs="宋体" w:eastAsia="宋体"/>
                <w:b w:val="false"/>
              </w:rPr>
              <w:t>2.92</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00285</w:t>
            </w:r>
          </w:p>
        </w:tc>
        <w:tc>
          <w:tcPr>
            <w:tcW/>
            <w:vAlign w:val="center"/>
          </w:tcPr>
          <w:p>
            <w:pPr>
              <w:spacing w:line="240" w:lineRule="auto"/>
              <w:jc w:val="left"/>
            </w:pPr>
            <w:r>
              <w:rPr>
                <w:rFonts w:ascii="宋体" w:hAnsi="宋体" w:cs="宋体" w:eastAsia="宋体"/>
                <w:b w:val="false"/>
              </w:rPr>
              <w:t>比亚迪电子</w:t>
            </w:r>
          </w:p>
        </w:tc>
        <w:tc>
          <w:tcPr>
            <w:tcW/>
            <w:vAlign w:val="center"/>
          </w:tcPr>
          <w:p>
            <w:pPr>
              <w:spacing w:line="240" w:lineRule="auto"/>
              <w:jc w:val="right"/>
            </w:pPr>
            <w:r>
              <w:rPr>
                <w:rFonts w:ascii="宋体" w:hAnsi="宋体" w:cs="宋体" w:eastAsia="宋体"/>
                <w:b w:val="false"/>
              </w:rPr>
              <w:t>128,000</w:t>
            </w:r>
          </w:p>
        </w:tc>
        <w:tc>
          <w:tcPr>
            <w:tcW/>
            <w:vAlign w:val="center"/>
          </w:tcPr>
          <w:p>
            <w:pPr>
              <w:spacing w:line="240" w:lineRule="auto"/>
              <w:jc w:val="right"/>
            </w:pPr>
            <w:r>
              <w:rPr>
                <w:rFonts w:ascii="宋体" w:hAnsi="宋体" w:cs="宋体" w:eastAsia="宋体"/>
                <w:b w:val="false"/>
              </w:rPr>
              <w:t>4,831,051.93</w:t>
            </w:r>
          </w:p>
        </w:tc>
        <w:tc>
          <w:tcPr>
            <w:tcW/>
            <w:vAlign w:val="center"/>
          </w:tcPr>
          <w:p>
            <w:pPr>
              <w:spacing w:line="240" w:lineRule="auto"/>
              <w:jc w:val="right"/>
            </w:pPr>
            <w:r>
              <w:rPr>
                <w:rFonts w:ascii="宋体" w:hAnsi="宋体" w:cs="宋体" w:eastAsia="宋体"/>
                <w:b w:val="false"/>
              </w:rPr>
              <w:t>2.28</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688099</w:t>
            </w:r>
          </w:p>
        </w:tc>
        <w:tc>
          <w:tcPr>
            <w:tcW/>
            <w:vAlign w:val="center"/>
          </w:tcPr>
          <w:p>
            <w:pPr>
              <w:spacing w:line="240" w:lineRule="auto"/>
              <w:jc w:val="left"/>
            </w:pPr>
            <w:r>
              <w:rPr>
                <w:rFonts w:ascii="宋体" w:hAnsi="宋体" w:cs="宋体" w:eastAsia="宋体"/>
                <w:b w:val="false"/>
              </w:rPr>
              <w:t>晶晨股份</w:t>
            </w:r>
          </w:p>
        </w:tc>
        <w:tc>
          <w:tcPr>
            <w:tcW/>
            <w:vAlign w:val="center"/>
          </w:tcPr>
          <w:p>
            <w:pPr>
              <w:spacing w:line="240" w:lineRule="auto"/>
              <w:jc w:val="right"/>
            </w:pPr>
            <w:r>
              <w:rPr>
                <w:rFonts w:ascii="宋体" w:hAnsi="宋体" w:cs="宋体" w:eastAsia="宋体"/>
                <w:b w:val="false"/>
              </w:rPr>
              <w:t>42,877</w:t>
            </w:r>
          </w:p>
        </w:tc>
        <w:tc>
          <w:tcPr>
            <w:tcW/>
            <w:vAlign w:val="center"/>
          </w:tcPr>
          <w:p>
            <w:pPr>
              <w:spacing w:line="240" w:lineRule="auto"/>
              <w:jc w:val="right"/>
            </w:pPr>
            <w:r>
              <w:rPr>
                <w:rFonts w:ascii="宋体" w:hAnsi="宋体" w:cs="宋体" w:eastAsia="宋体"/>
                <w:b w:val="false"/>
              </w:rPr>
              <w:t>4,767,064.86</w:t>
            </w:r>
          </w:p>
        </w:tc>
        <w:tc>
          <w:tcPr>
            <w:tcW/>
            <w:vAlign w:val="center"/>
          </w:tcPr>
          <w:p>
            <w:pPr>
              <w:spacing w:line="240" w:lineRule="auto"/>
              <w:jc w:val="right"/>
            </w:pPr>
            <w:r>
              <w:rPr>
                <w:rFonts w:ascii="宋体" w:hAnsi="宋体" w:cs="宋体" w:eastAsia="宋体"/>
                <w:b w:val="false"/>
              </w:rPr>
              <w:t>2.25</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002475</w:t>
            </w:r>
          </w:p>
        </w:tc>
        <w:tc>
          <w:tcPr>
            <w:tcW/>
            <w:vAlign w:val="center"/>
          </w:tcPr>
          <w:p>
            <w:pPr>
              <w:spacing w:line="240" w:lineRule="auto"/>
              <w:jc w:val="left"/>
            </w:pPr>
            <w:r>
              <w:rPr>
                <w:rFonts w:ascii="宋体" w:hAnsi="宋体" w:cs="宋体" w:eastAsia="宋体"/>
                <w:b w:val="false"/>
              </w:rPr>
              <w:t>立讯精密</w:t>
            </w:r>
          </w:p>
        </w:tc>
        <w:tc>
          <w:tcPr>
            <w:tcW/>
            <w:vAlign w:val="center"/>
          </w:tcPr>
          <w:p>
            <w:pPr>
              <w:spacing w:line="240" w:lineRule="auto"/>
              <w:jc w:val="right"/>
            </w:pPr>
            <w:r>
              <w:rPr>
                <w:rFonts w:ascii="宋体" w:hAnsi="宋体" w:cs="宋体" w:eastAsia="宋体"/>
                <w:b w:val="false"/>
              </w:rPr>
              <w:t>68,500</w:t>
            </w:r>
          </w:p>
        </w:tc>
        <w:tc>
          <w:tcPr>
            <w:tcW/>
            <w:vAlign w:val="center"/>
          </w:tcPr>
          <w:p>
            <w:pPr>
              <w:spacing w:line="240" w:lineRule="auto"/>
              <w:jc w:val="right"/>
            </w:pPr>
            <w:r>
              <w:rPr>
                <w:rFonts w:ascii="宋体" w:hAnsi="宋体" w:cs="宋体" w:eastAsia="宋体"/>
                <w:b w:val="false"/>
              </w:rPr>
              <w:t>4,431,265.00</w:t>
            </w:r>
          </w:p>
        </w:tc>
        <w:tc>
          <w:tcPr>
            <w:tcW/>
            <w:vAlign w:val="center"/>
          </w:tcPr>
          <w:p>
            <w:pPr>
              <w:spacing w:line="240" w:lineRule="auto"/>
              <w:jc w:val="right"/>
            </w:pPr>
            <w:r>
              <w:rPr>
                <w:rFonts w:ascii="宋体" w:hAnsi="宋体" w:cs="宋体" w:eastAsia="宋体"/>
                <w:b w:val="false"/>
              </w:rPr>
              <w:t>2.09</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603859</w:t>
            </w:r>
          </w:p>
        </w:tc>
        <w:tc>
          <w:tcPr>
            <w:tcW/>
            <w:vAlign w:val="center"/>
          </w:tcPr>
          <w:p>
            <w:pPr>
              <w:spacing w:line="240" w:lineRule="auto"/>
              <w:jc w:val="left"/>
            </w:pPr>
            <w:r>
              <w:rPr>
                <w:rFonts w:ascii="宋体" w:hAnsi="宋体" w:cs="宋体" w:eastAsia="宋体"/>
                <w:b w:val="false"/>
              </w:rPr>
              <w:t>能科科技</w:t>
            </w:r>
          </w:p>
        </w:tc>
        <w:tc>
          <w:tcPr>
            <w:tcW/>
            <w:vAlign w:val="center"/>
          </w:tcPr>
          <w:p>
            <w:pPr>
              <w:spacing w:line="240" w:lineRule="auto"/>
              <w:jc w:val="right"/>
            </w:pPr>
            <w:r>
              <w:rPr>
                <w:rFonts w:ascii="宋体" w:hAnsi="宋体" w:cs="宋体" w:eastAsia="宋体"/>
                <w:b w:val="false"/>
              </w:rPr>
              <w:t>91,500</w:t>
            </w:r>
          </w:p>
        </w:tc>
        <w:tc>
          <w:tcPr>
            <w:tcW/>
            <w:vAlign w:val="center"/>
          </w:tcPr>
          <w:p>
            <w:pPr>
              <w:spacing w:line="240" w:lineRule="auto"/>
              <w:jc w:val="right"/>
            </w:pPr>
            <w:r>
              <w:rPr>
                <w:rFonts w:ascii="宋体" w:hAnsi="宋体" w:cs="宋体" w:eastAsia="宋体"/>
                <w:b w:val="false"/>
              </w:rPr>
              <w:t>4,402,065.00</w:t>
            </w:r>
          </w:p>
        </w:tc>
        <w:tc>
          <w:tcPr>
            <w:tcW/>
            <w:vAlign w:val="center"/>
          </w:tcPr>
          <w:p>
            <w:pPr>
              <w:spacing w:line="240" w:lineRule="auto"/>
              <w:jc w:val="right"/>
            </w:pPr>
            <w:r>
              <w:rPr>
                <w:rFonts w:ascii="宋体" w:hAnsi="宋体" w:cs="宋体" w:eastAsia="宋体"/>
                <w:b w:val="false"/>
              </w:rPr>
              <w:t>2.08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600588</w:t>
            </w:r>
          </w:p>
        </w:tc>
        <w:tc>
          <w:tcPr>
            <w:tcW/>
            <w:vAlign w:val="center"/>
          </w:tcPr>
          <w:p>
            <w:pPr>
              <w:spacing w:line="240" w:lineRule="auto"/>
              <w:jc w:val="left"/>
            </w:pPr>
            <w:r>
              <w:rPr>
                <w:rFonts w:ascii="宋体" w:hAnsi="宋体" w:cs="宋体" w:eastAsia="宋体"/>
                <w:b w:val="false"/>
              </w:rPr>
              <w:t>用友网络</w:t>
            </w:r>
          </w:p>
        </w:tc>
        <w:tc>
          <w:tcPr>
            <w:tcW/>
            <w:vAlign w:val="center"/>
          </w:tcPr>
          <w:p>
            <w:pPr>
              <w:spacing w:line="240" w:lineRule="auto"/>
              <w:jc w:val="right"/>
            </w:pPr>
            <w:r>
              <w:rPr>
                <w:rFonts w:ascii="宋体" w:hAnsi="宋体" w:cs="宋体" w:eastAsia="宋体"/>
                <w:b w:val="false"/>
              </w:rPr>
              <w:t>279,800</w:t>
            </w:r>
          </w:p>
        </w:tc>
        <w:tc>
          <w:tcPr>
            <w:tcW/>
            <w:vAlign w:val="center"/>
          </w:tcPr>
          <w:p>
            <w:pPr>
              <w:spacing w:line="240" w:lineRule="auto"/>
              <w:jc w:val="right"/>
            </w:pPr>
            <w:r>
              <w:rPr>
                <w:rFonts w:ascii="宋体" w:hAnsi="宋体" w:cs="宋体" w:eastAsia="宋体"/>
                <w:b w:val="false"/>
              </w:rPr>
              <w:t>4,370,476.00</w:t>
            </w:r>
          </w:p>
        </w:tc>
        <w:tc>
          <w:tcPr>
            <w:tcW/>
            <w:vAlign w:val="center"/>
          </w:tcPr>
          <w:p>
            <w:pPr>
              <w:spacing w:line="240" w:lineRule="auto"/>
              <w:jc w:val="right"/>
            </w:pPr>
            <w:r>
              <w:rPr>
                <w:rFonts w:ascii="宋体" w:hAnsi="宋体" w:cs="宋体" w:eastAsia="宋体"/>
                <w:b w:val="false"/>
              </w:rPr>
              <w:t>2.06</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300170</w:t>
            </w:r>
          </w:p>
        </w:tc>
        <w:tc>
          <w:tcPr>
            <w:tcW/>
            <w:vAlign w:val="center"/>
          </w:tcPr>
          <w:p>
            <w:pPr>
              <w:spacing w:line="240" w:lineRule="auto"/>
              <w:jc w:val="left"/>
            </w:pPr>
            <w:r>
              <w:rPr>
                <w:rFonts w:ascii="宋体" w:hAnsi="宋体" w:cs="宋体" w:eastAsia="宋体"/>
                <w:b w:val="false"/>
              </w:rPr>
              <w:t>汉得信息</w:t>
            </w:r>
          </w:p>
        </w:tc>
        <w:tc>
          <w:tcPr>
            <w:tcW/>
            <w:vAlign w:val="center"/>
          </w:tcPr>
          <w:p>
            <w:pPr>
              <w:spacing w:line="240" w:lineRule="auto"/>
              <w:jc w:val="right"/>
            </w:pPr>
            <w:r>
              <w:rPr>
                <w:rFonts w:ascii="宋体" w:hAnsi="宋体" w:cs="宋体" w:eastAsia="宋体"/>
                <w:b w:val="false"/>
              </w:rPr>
              <w:t>223,300</w:t>
            </w:r>
          </w:p>
        </w:tc>
        <w:tc>
          <w:tcPr>
            <w:tcW/>
            <w:vAlign w:val="center"/>
          </w:tcPr>
          <w:p>
            <w:pPr>
              <w:spacing w:line="240" w:lineRule="auto"/>
              <w:jc w:val="right"/>
            </w:pPr>
            <w:r>
              <w:rPr>
                <w:rFonts w:ascii="宋体" w:hAnsi="宋体" w:cs="宋体" w:eastAsia="宋体"/>
                <w:b w:val="false"/>
              </w:rPr>
              <w:t>4,198,040.00</w:t>
            </w:r>
          </w:p>
        </w:tc>
        <w:tc>
          <w:tcPr>
            <w:tcW/>
            <w:vAlign w:val="center"/>
          </w:tcPr>
          <w:p>
            <w:pPr>
              <w:spacing w:line="240" w:lineRule="auto"/>
              <w:jc w:val="right"/>
            </w:pPr>
            <w:r>
              <w:rPr>
                <w:rFonts w:ascii="宋体" w:hAnsi="宋体" w:cs="宋体" w:eastAsia="宋体"/>
                <w:b w:val="false"/>
              </w:rPr>
              <w:t>1.98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22,426,086.63</w:t>
            </w:r>
          </w:p>
        </w:tc>
        <w:tc>
          <w:tcPr>
            <w:tcW/>
            <w:vAlign w:val="center"/>
          </w:tcPr>
          <w:p>
            <w:pPr>
              <w:spacing w:line="240" w:lineRule="auto"/>
              <w:jc w:val="right"/>
            </w:pPr>
            <w:r>
              <w:rPr>
                <w:rFonts w:ascii="宋体" w:hAnsi="宋体" w:cs="宋体" w:eastAsia="宋体"/>
                <w:b w:val="false"/>
              </w:rPr>
              <w:t>10.59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22,426,086.63</w:t>
            </w:r>
          </w:p>
        </w:tc>
        <w:tc>
          <w:tcPr>
            <w:tcW/>
            <w:vAlign w:val="center"/>
          </w:tcPr>
          <w:p>
            <w:pPr>
              <w:spacing w:line="240" w:lineRule="auto"/>
              <w:jc w:val="right"/>
            </w:pPr>
            <w:r>
              <w:rPr>
                <w:rFonts w:ascii="宋体" w:hAnsi="宋体" w:cs="宋体" w:eastAsia="宋体"/>
                <w:b w:val="false"/>
              </w:rPr>
              <w:t>10.59</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019758</w:t>
            </w:r>
          </w:p>
        </w:tc>
        <w:tc>
          <w:tcPr>
            <w:tcW/>
            <w:vAlign w:val="center"/>
          </w:tcPr>
          <w:p>
            <w:pPr>
              <w:spacing w:line="240" w:lineRule="auto"/>
              <w:jc w:val="left"/>
            </w:pPr>
            <w:r>
              <w:rPr>
                <w:rFonts w:ascii="宋体" w:hAnsi="宋体" w:cs="宋体" w:eastAsia="宋体"/>
                <w:b w:val="false"/>
              </w:rPr>
              <w:t>24国债21</w:t>
            </w:r>
          </w:p>
        </w:tc>
        <w:tc>
          <w:tcPr>
            <w:tcW/>
            <w:vAlign w:val="center"/>
          </w:tcPr>
          <w:p>
            <w:pPr>
              <w:spacing w:line="240" w:lineRule="auto"/>
              <w:jc w:val="right"/>
            </w:pPr>
            <w:r>
              <w:rPr>
                <w:rFonts w:ascii="宋体" w:hAnsi="宋体" w:cs="宋体" w:eastAsia="宋体"/>
                <w:b w:val="false"/>
              </w:rPr>
              <w:t>116,000</w:t>
            </w:r>
          </w:p>
        </w:tc>
        <w:tc>
          <w:tcPr>
            <w:tcW/>
            <w:vAlign w:val="center"/>
          </w:tcPr>
          <w:p>
            <w:pPr>
              <w:spacing w:line="240" w:lineRule="auto"/>
              <w:jc w:val="right"/>
            </w:pPr>
            <w:r>
              <w:rPr>
                <w:rFonts w:ascii="宋体" w:hAnsi="宋体" w:cs="宋体" w:eastAsia="宋体"/>
                <w:b w:val="false"/>
              </w:rPr>
              <w:t>11,744,135.56</w:t>
            </w:r>
          </w:p>
        </w:tc>
        <w:tc>
          <w:tcPr>
            <w:tcW/>
            <w:vAlign w:val="center"/>
          </w:tcPr>
          <w:p>
            <w:pPr>
              <w:spacing w:line="240" w:lineRule="auto"/>
              <w:jc w:val="right"/>
            </w:pPr>
            <w:r>
              <w:rPr>
                <w:rFonts w:ascii="宋体" w:hAnsi="宋体" w:cs="宋体" w:eastAsia="宋体"/>
                <w:b w:val="false"/>
              </w:rPr>
              <w:t>5.55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106,000</w:t>
            </w:r>
          </w:p>
        </w:tc>
        <w:tc>
          <w:tcPr>
            <w:tcW/>
            <w:vAlign w:val="center"/>
          </w:tcPr>
          <w:p>
            <w:pPr>
              <w:spacing w:line="240" w:lineRule="auto"/>
              <w:jc w:val="right"/>
            </w:pPr>
            <w:r>
              <w:rPr>
                <w:rFonts w:ascii="宋体" w:hAnsi="宋体" w:cs="宋体" w:eastAsia="宋体"/>
                <w:b w:val="false"/>
              </w:rPr>
              <w:t>10,681,951.07</w:t>
            </w:r>
          </w:p>
        </w:tc>
        <w:tc>
          <w:tcPr>
            <w:tcW/>
            <w:vAlign w:val="center"/>
          </w:tcPr>
          <w:p>
            <w:pPr>
              <w:spacing w:line="240" w:lineRule="auto"/>
              <w:jc w:val="right"/>
            </w:pPr>
            <w:r>
              <w:rPr>
                <w:rFonts w:ascii="宋体" w:hAnsi="宋体" w:cs="宋体" w:eastAsia="宋体"/>
                <w:b w:val="false"/>
              </w:rPr>
              <w:t>5.04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中，浙江世纪华通集团股份有限公司在报告编制日前一年内受到中国证券监督管理委员会的处罚和深圳证券交易所的公开谴责。本基金就上述证券的投资决策程序符合相关法规及公司制度的要求。</w:t>
        <w:cr/>
      </w:r>
      <w:r>
        <w:rPr>
          <w:rFonts w:ascii="宋体" w:hAnsi="宋体" w:cs="宋体" w:eastAsia="宋体"/>
          <w:b w:val="false"/>
        </w:rPr>
        <w:t xml:space="preserve">    本基金投资前十名的其余证券的发行主体本期未出现被监管部门立案调查，或在报告编制日前一年内受到公开谴责、处罚的情形。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90,536.63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90,536.63</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东方阿尔法精选混合A</w:t>
            </w:r>
          </w:p>
        </w:tc>
        <w:tc>
          <w:tcPr>
            <w:tcW w:type="pct" w:w="1300"/>
            <w:vAlign w:val="center"/>
          </w:tcPr>
          <w:p>
            <w:pPr>
              <w:spacing w:line="240" w:lineRule="auto"/>
              <w:jc w:val="center"/>
            </w:pPr>
            <w:r>
              <w:rPr>
                <w:rFonts w:ascii="宋体" w:hAnsi="宋体" w:cs="宋体" w:eastAsia="宋体"/>
                <w:b w:val="false"/>
              </w:rPr>
              <w:t>东方阿尔法精选混合C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193,998,577.69</w:t>
            </w:r>
          </w:p>
        </w:tc>
        <w:tc>
          <w:tcPr>
            <w:tcW w:type="pct" w:w="1300"/>
            <w:vAlign w:val="center"/>
          </w:tcPr>
          <w:p>
            <w:pPr>
              <w:spacing w:line="240" w:lineRule="auto"/>
              <w:jc w:val="right"/>
            </w:pPr>
            <w:r>
              <w:rPr>
                <w:rFonts w:ascii="宋体" w:hAnsi="宋体" w:cs="宋体" w:eastAsia="宋体"/>
                <w:b w:val="false"/>
              </w:rPr>
              <w:t>39,507,762.16</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2,977,010.44</w:t>
            </w:r>
          </w:p>
        </w:tc>
        <w:tc>
          <w:tcPr>
            <w:tcW w:type="pct" w:w="1300"/>
            <w:vAlign w:val="center"/>
          </w:tcPr>
          <w:p>
            <w:pPr>
              <w:spacing w:line="240" w:lineRule="auto"/>
              <w:jc w:val="right"/>
            </w:pPr>
            <w:r>
              <w:rPr>
                <w:rFonts w:ascii="宋体" w:hAnsi="宋体" w:cs="宋体" w:eastAsia="宋体"/>
                <w:b w:val="false"/>
              </w:rPr>
              <w:t>3,842,908.92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21,373,947.02</w:t>
            </w:r>
          </w:p>
        </w:tc>
        <w:tc>
          <w:tcPr>
            <w:tcW w:type="pct" w:w="1300"/>
            <w:vAlign w:val="center"/>
          </w:tcPr>
          <w:p>
            <w:pPr>
              <w:spacing w:line="240" w:lineRule="auto"/>
              <w:jc w:val="right"/>
            </w:pPr>
            <w:r>
              <w:rPr>
                <w:rFonts w:ascii="宋体" w:hAnsi="宋体" w:cs="宋体" w:eastAsia="宋体"/>
                <w:b w:val="false"/>
              </w:rPr>
              <w:t>8,553,253.76</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175,601,641.11</w:t>
            </w:r>
          </w:p>
        </w:tc>
        <w:tc>
          <w:tcPr>
            <w:tcW w:type="pct" w:w="1300"/>
            <w:vAlign w:val="center"/>
          </w:tcPr>
          <w:p>
            <w:pPr>
              <w:spacing w:line="240" w:lineRule="auto"/>
              <w:jc w:val="right"/>
            </w:pPr>
            <w:r>
              <w:rPr>
                <w:rFonts w:ascii="宋体" w:hAnsi="宋体" w:cs="宋体" w:eastAsia="宋体"/>
                <w:b w:val="false"/>
              </w:rPr>
              <w:t>34,797,417.32</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2018年02月08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1、中国证券监督管理委员会批准的东方阿尔法精选灵活配置混合型发起式证券投资基金设立的文件；</w:t>
        <w:cr/>
      </w:r>
      <w:r>
        <w:rPr>
          <w:rFonts w:ascii="宋体" w:hAnsi="宋体" w:cs="宋体" w:eastAsia="宋体"/>
          <w:b w:val="false"/>
        </w:rPr>
        <w:t xml:space="preserve">    2、《东方阿尔法精选灵活配置混合型发起式证券投资基金基金合同》；</w:t>
        <w:cr/>
      </w:r>
      <w:r>
        <w:rPr>
          <w:rFonts w:ascii="宋体" w:hAnsi="宋体" w:cs="宋体" w:eastAsia="宋体"/>
          <w:b w:val="false"/>
        </w:rPr>
        <w:t xml:space="preserve">    3、《东方阿尔法精选灵活配置混合型发起式证券投资基金托管协议》；</w:t>
        <w:cr/>
      </w:r>
      <w:r>
        <w:rPr>
          <w:rFonts w:ascii="宋体" w:hAnsi="宋体" w:cs="宋体" w:eastAsia="宋体"/>
          <w:b w:val="false"/>
        </w:rPr>
        <w:t xml:space="preserve">    4、《东方阿尔法精选灵活配置混合型发起式证券投资基金招募说明书》（含更新）；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二〇二五年十月二十五日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东方阿尔法精选灵活配置混合型发起式证券投资基金2025年第3季度报告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