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东方阿尔法瑞丰混合型发起式证券投资基金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2025年第3季度报告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2025年09月30日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中国农业银行股份有限公司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2025年10月25日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基金托管人中国农业银行股份有限公司根据本基金合同规定，于2025年10月24日复核了本报告中的财务指标、净值表现和投资组合报告等内容，保证复核内容不存在虚假记载、误导性陈述或者重大遗漏。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本报告期自2025年07月01日起至2025年09月30日止。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东方阿尔法瑞丰混合发起</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018362</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2023年05月12日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192,949,737.77份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本基金在严格控制风险的基础之上，通过深入研究、优选个股、主动的投资管理方式力求实现组合资产的稳健增值。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1、大类资产配置策略</w:t>
              <w:br/>
            </w:r>
            <w:r>
              <w:rPr>
                <w:rFonts w:ascii="宋体" w:hAnsi="宋体" w:cs="宋体" w:eastAsia="宋体"/>
                <w:b w:val="false"/>
              </w:rPr>
              <w:t>本基金将根据国内外宏观经济情况、国内外证券市场估值水平阶段性不断调整权益类资产和其他资产之间的大类资产配置比例。</w:t>
              <w:br/>
            </w:r>
            <w:r>
              <w:rPr>
                <w:rFonts w:ascii="宋体" w:hAnsi="宋体" w:cs="宋体" w:eastAsia="宋体"/>
                <w:b w:val="false"/>
              </w:rPr>
              <w:t>2、个股优选策略</w:t>
              <w:br/>
            </w:r>
            <w:r>
              <w:rPr>
                <w:rFonts w:ascii="宋体" w:hAnsi="宋体" w:cs="宋体" w:eastAsia="宋体"/>
                <w:b w:val="false"/>
              </w:rPr>
              <w:t>基金管理人将采用定量分析与定性分析相结合的方式对上市公司进行分析，建立备选股票池，并以备选股票池成份股未来两年的PE衡量动态性价比作为选择其进入投资组合的重要依据。</w:t>
              <w:br/>
            </w:r>
            <w:r>
              <w:rPr>
                <w:rFonts w:ascii="宋体" w:hAnsi="宋体" w:cs="宋体" w:eastAsia="宋体"/>
                <w:b w:val="false"/>
              </w:rPr>
              <w:t xml:space="preserve">3、港股投资策略 </w:t>
              <w:br/>
            </w:r>
            <w:r>
              <w:rPr>
                <w:rFonts w:ascii="宋体" w:hAnsi="宋体" w:cs="宋体" w:eastAsia="宋体"/>
                <w:b w:val="false"/>
              </w:rPr>
              <w:t>本基金将通过内地与香港股票市场交易互联互通机制投资于香港股票市场，不使用合格境内机构投资者(QDII)境外投资额度进行境外投资。</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6、股指期货投资策略</w:t>
              <w:br/>
            </w:r>
            <w:r>
              <w:rPr>
                <w:rFonts w:ascii="宋体" w:hAnsi="宋体" w:cs="宋体" w:eastAsia="宋体"/>
                <w:b w:val="false"/>
              </w:rPr>
              <w:t>本基金将按照风险管理的原则，以套期保值为主要目的，参与股指期货的投资。此外，本基金还将运用股指期货来管理特殊情况下的流动性风险，如预期大额申购赎回、大量分红等。</w:t>
              <w:br/>
            </w:r>
            <w:r>
              <w:rPr>
                <w:rFonts w:ascii="宋体" w:hAnsi="宋体" w:cs="宋体" w:eastAsia="宋体"/>
                <w:b w:val="false"/>
              </w:rPr>
              <w:t>7、融资业务投资策略</w:t>
              <w:br/>
            </w:r>
            <w:r>
              <w:rPr>
                <w:rFonts w:ascii="宋体" w:hAnsi="宋体" w:cs="宋体" w:eastAsia="宋体"/>
                <w:b w:val="false"/>
              </w:rPr>
              <w:t>本基金参与融资业务，将综合考虑融资成本、保证金比例、冲抵保证金证券折算率、信用资质等条件选择合适的交易对手方。同时，在保障基金投资组合充足流动性以及有效控制融资杠杆风险的前提下，确定融资比例。</w:t>
              <w:br/>
            </w:r>
            <w:r>
              <w:rPr>
                <w:rFonts w:ascii="宋体" w:hAnsi="宋体" w:cs="宋体" w:eastAsia="宋体"/>
                <w:b w:val="false"/>
              </w:rPr>
              <w:t>8、国债期货投资策略</w:t>
              <w:br/>
            </w:r>
            <w:r>
              <w:rPr>
                <w:rFonts w:ascii="宋体" w:hAnsi="宋体" w:cs="宋体" w:eastAsia="宋体"/>
                <w:b w:val="false"/>
              </w:rPr>
              <w:t>本基金将按照风险管理的原则，以套期保值为主要目的，参与国债期货的投资，管理市场风险，故国债期货空头的合约价值主要与债券组合的多头价值相对应。</w:t>
              <w:br/>
            </w:r>
            <w:r>
              <w:rPr>
                <w:rFonts w:ascii="宋体" w:hAnsi="宋体" w:cs="宋体" w:eastAsia="宋体"/>
                <w:b w:val="false"/>
              </w:rPr>
              <w:t>9、资产支持证券投资策略</w:t>
              <w:br/>
            </w:r>
            <w:r>
              <w:rPr>
                <w:rFonts w:ascii="宋体" w:hAnsi="宋体" w:cs="宋体" w:eastAsia="宋体"/>
                <w:b w:val="false"/>
              </w:rPr>
              <w:t>本基金将综合运用久期管理、收益率曲线、个券选择以及把握市场交易机会等积极策略，在严格控制风险的情况下，结合信用研究和流动性管理，选择风险调整后收益高的品种进行投资，以期获得长期稳定收益。</w:t>
              <w:br/>
            </w:r>
            <w:r>
              <w:rPr>
                <w:rFonts w:ascii="宋体" w:hAnsi="宋体" w:cs="宋体" w:eastAsia="宋体"/>
                <w:b w:val="false"/>
              </w:rPr>
              <w:t xml:space="preserve">10、股票期权投资策略 </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11、存托凭证投资策略</w:t>
              <w:br/>
            </w:r>
            <w:r>
              <w:rPr>
                <w:rFonts w:ascii="宋体" w:hAnsi="宋体" w:cs="宋体" w:eastAsia="宋体"/>
                <w:b w:val="false"/>
              </w:rPr>
              <w:t>本基金在深入研究的基础上，通过定性分析和定量分析相结合的方式，选择投资价值高的存托凭证进行投资。</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中证800指数收益率×60%+中证综合债券指数收益率×20%+恒生指数收益率×20%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中国农业银行股份有限公司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东方阿尔法瑞丰混合发起A</w:t>
            </w:r>
          </w:p>
        </w:tc>
        <w:tc>
          <w:tcPr>
            <w:tcW w:type="pct" w:w="1500"/>
            <w:vAlign w:val="center"/>
          </w:tcPr>
          <w:p>
            <w:pPr>
              <w:spacing w:line="240" w:lineRule="auto"/>
              <w:jc w:val="left"/>
            </w:pPr>
            <w:r>
              <w:rPr>
                <w:rFonts w:ascii="宋体" w:hAnsi="宋体" w:cs="宋体" w:eastAsia="宋体"/>
                <w:b w:val="false"/>
              </w:rPr>
              <w:t>东方阿尔法瑞丰混合发起C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018362</w:t>
            </w:r>
          </w:p>
        </w:tc>
        <w:tc>
          <w:tcPr>
            <w:tcW w:type="pct" w:w="1500"/>
            <w:vAlign w:val="center"/>
          </w:tcPr>
          <w:p>
            <w:pPr>
              <w:spacing w:line="240" w:lineRule="auto"/>
              <w:jc w:val="left"/>
            </w:pPr>
            <w:r>
              <w:rPr>
                <w:rFonts w:ascii="宋体" w:hAnsi="宋体" w:cs="宋体" w:eastAsia="宋体"/>
                <w:b w:val="false"/>
              </w:rPr>
              <w:t>018363</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56,743,659.88份</w:t>
            </w:r>
          </w:p>
        </w:tc>
        <w:tc>
          <w:tcPr>
            <w:tcW w:type="pct" w:w="1500"/>
            <w:vAlign w:val="center"/>
          </w:tcPr>
          <w:p>
            <w:pPr>
              <w:spacing w:line="240" w:lineRule="auto"/>
              <w:jc w:val="left"/>
            </w:pPr>
            <w:r>
              <w:rPr>
                <w:rFonts w:ascii="宋体" w:hAnsi="宋体" w:cs="宋体" w:eastAsia="宋体"/>
                <w:b w:val="false"/>
              </w:rPr>
              <w:t>136,206,077.89份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报告期（2025年07月01日-2025年09月30日）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东方阿尔法瑞丰混合发起A</w:t>
            </w:r>
          </w:p>
        </w:tc>
        <w:tc>
          <w:tcPr>
            <w:tcW w:type="pct" w:w="1500"/>
            <w:vAlign w:val="center"/>
          </w:tcPr>
          <w:tcPr>
            <w:shd w:fill="d9d9d9"/>
          </w:tcPr>
          <w:p>
            <w:pPr>
              <w:spacing w:line="240" w:lineRule="auto"/>
              <w:jc w:val="center"/>
            </w:pPr>
            <w:r>
              <w:rPr>
                <w:rFonts w:ascii="宋体" w:hAnsi="宋体" w:cs="宋体" w:eastAsia="宋体"/>
                <w:b w:val="false"/>
              </w:rPr>
              <w:t>东方阿尔法瑞丰混合发起C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311,858.02</w:t>
            </w:r>
          </w:p>
        </w:tc>
        <w:tc>
          <w:tcPr>
            <w:tcW w:type="pct" w:w="1500"/>
            <w:vAlign w:val="center"/>
          </w:tcPr>
          <w:p>
            <w:pPr>
              <w:spacing w:line="240" w:lineRule="auto"/>
              <w:jc w:val="right"/>
            </w:pPr>
            <w:r>
              <w:rPr>
                <w:rFonts w:ascii="宋体" w:hAnsi="宋体" w:cs="宋体" w:eastAsia="宋体"/>
                <w:b w:val="false"/>
              </w:rPr>
              <w:t>1,927,620.57</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4,822,833.99</w:t>
            </w:r>
          </w:p>
        </w:tc>
        <w:tc>
          <w:tcPr>
            <w:tcW w:type="pct" w:w="1500"/>
            <w:vAlign w:val="center"/>
          </w:tcPr>
          <w:p>
            <w:pPr>
              <w:spacing w:line="240" w:lineRule="auto"/>
              <w:jc w:val="right"/>
            </w:pPr>
            <w:r>
              <w:rPr>
                <w:rFonts w:ascii="宋体" w:hAnsi="宋体" w:cs="宋体" w:eastAsia="宋体"/>
                <w:b w:val="false"/>
              </w:rPr>
              <w:t>10,342,211.59</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0.1575</w:t>
            </w:r>
          </w:p>
        </w:tc>
        <w:tc>
          <w:tcPr>
            <w:tcW w:type="pct" w:w="1500"/>
            <w:vAlign w:val="center"/>
          </w:tcPr>
          <w:p>
            <w:pPr>
              <w:spacing w:line="240" w:lineRule="auto"/>
              <w:jc w:val="right"/>
            </w:pPr>
            <w:r>
              <w:rPr>
                <w:rFonts w:ascii="宋体" w:hAnsi="宋体" w:cs="宋体" w:eastAsia="宋体"/>
                <w:b w:val="false"/>
              </w:rPr>
              <w:t>0.0795</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66,918,410.81</w:t>
            </w:r>
          </w:p>
        </w:tc>
        <w:tc>
          <w:tcPr>
            <w:tcW w:type="pct" w:w="1500"/>
            <w:vAlign w:val="center"/>
          </w:tcPr>
          <w:p>
            <w:pPr>
              <w:spacing w:line="240" w:lineRule="auto"/>
              <w:jc w:val="right"/>
            </w:pPr>
            <w:r>
              <w:rPr>
                <w:rFonts w:ascii="宋体" w:hAnsi="宋体" w:cs="宋体" w:eastAsia="宋体"/>
                <w:b w:val="false"/>
              </w:rPr>
              <w:t>159,235,832.07</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1.1793</w:t>
            </w:r>
          </w:p>
        </w:tc>
        <w:tc>
          <w:tcPr>
            <w:tcW w:type="pct" w:w="1500"/>
            <w:vAlign w:val="center"/>
          </w:tcPr>
          <w:p>
            <w:pPr>
              <w:spacing w:line="240" w:lineRule="auto"/>
              <w:jc w:val="right"/>
            </w:pPr>
            <w:r>
              <w:rPr>
                <w:rFonts w:ascii="宋体" w:hAnsi="宋体" w:cs="宋体" w:eastAsia="宋体"/>
                <w:b w:val="false"/>
              </w:rPr>
              <w:t>1.1691</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东方阿尔法瑞丰混合发起A净值表现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22.92%</w:t>
            </w:r>
          </w:p>
        </w:tc>
        <w:tc>
          <w:tcPr>
            <w:tcW/>
            <w:vAlign w:val="center"/>
          </w:tcPr>
          <w:p>
            <w:pPr>
              <w:spacing w:line="240" w:lineRule="auto"/>
              <w:jc w:val="right"/>
            </w:pPr>
            <w:r>
              <w:rPr>
                <w:rFonts w:ascii="宋体" w:hAnsi="宋体" w:cs="宋体" w:eastAsia="宋体"/>
                <w:b w:val="false"/>
              </w:rPr>
              <w:t>1.88%</w:t>
            </w:r>
          </w:p>
        </w:tc>
        <w:tc>
          <w:tcPr>
            <w:tcW/>
            <w:vAlign w:val="center"/>
          </w:tcPr>
          <w:p>
            <w:pPr>
              <w:spacing w:line="240" w:lineRule="auto"/>
              <w:jc w:val="right"/>
            </w:pPr>
            <w:r>
              <w:rPr>
                <w:rFonts w:ascii="宋体" w:hAnsi="宋体" w:cs="宋体" w:eastAsia="宋体"/>
                <w:b w:val="false"/>
              </w:rPr>
              <w:t>13.84%</w:t>
            </w:r>
          </w:p>
        </w:tc>
        <w:tc>
          <w:tcPr>
            <w:tcW/>
            <w:vAlign w:val="center"/>
          </w:tcPr>
          <w:p>
            <w:pPr>
              <w:spacing w:line="240" w:lineRule="auto"/>
              <w:jc w:val="right"/>
            </w:pPr>
            <w:r>
              <w:rPr>
                <w:rFonts w:ascii="宋体" w:hAnsi="宋体" w:cs="宋体" w:eastAsia="宋体"/>
                <w:b w:val="false"/>
              </w:rPr>
              <w:t>0.65%</w:t>
            </w:r>
          </w:p>
        </w:tc>
        <w:tc>
          <w:tcPr>
            <w:tcW/>
            <w:vAlign w:val="center"/>
          </w:tcPr>
          <w:p>
            <w:pPr>
              <w:spacing w:line="240" w:lineRule="auto"/>
              <w:jc w:val="right"/>
            </w:pPr>
            <w:r>
              <w:rPr>
                <w:rFonts w:ascii="宋体" w:hAnsi="宋体" w:cs="宋体" w:eastAsia="宋体"/>
                <w:b w:val="false"/>
              </w:rPr>
              <w:t>9.08%</w:t>
            </w:r>
          </w:p>
        </w:tc>
        <w:tc>
          <w:tcPr>
            <w:tcW/>
            <w:vAlign w:val="center"/>
          </w:tcPr>
          <w:p>
            <w:pPr>
              <w:spacing w:line="240" w:lineRule="auto"/>
              <w:jc w:val="right"/>
            </w:pPr>
            <w:r>
              <w:rPr>
                <w:rFonts w:ascii="宋体" w:hAnsi="宋体" w:cs="宋体" w:eastAsia="宋体"/>
                <w:b w:val="false"/>
              </w:rPr>
              <w:t>1.23%</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23.25%</w:t>
            </w:r>
          </w:p>
        </w:tc>
        <w:tc>
          <w:tcPr>
            <w:tcW/>
            <w:vAlign w:val="center"/>
          </w:tcPr>
          <w:p>
            <w:pPr>
              <w:spacing w:line="240" w:lineRule="auto"/>
              <w:jc w:val="right"/>
            </w:pPr>
            <w:r>
              <w:rPr>
                <w:rFonts w:ascii="宋体" w:hAnsi="宋体" w:cs="宋体" w:eastAsia="宋体"/>
                <w:b w:val="false"/>
              </w:rPr>
              <w:t>2.29%</w:t>
            </w:r>
          </w:p>
        </w:tc>
        <w:tc>
          <w:tcPr>
            <w:tcW/>
            <w:vAlign w:val="center"/>
          </w:tcPr>
          <w:p>
            <w:pPr>
              <w:spacing w:line="240" w:lineRule="auto"/>
              <w:jc w:val="right"/>
            </w:pPr>
            <w:r>
              <w:rPr>
                <w:rFonts w:ascii="宋体" w:hAnsi="宋体" w:cs="宋体" w:eastAsia="宋体"/>
                <w:b w:val="false"/>
              </w:rPr>
              <w:t>15.90%</w:t>
            </w:r>
          </w:p>
        </w:tc>
        <w:tc>
          <w:tcPr>
            <w:tcW/>
            <w:vAlign w:val="center"/>
          </w:tcPr>
          <w:p>
            <w:pPr>
              <w:spacing w:line="240" w:lineRule="auto"/>
              <w:jc w:val="right"/>
            </w:pPr>
            <w:r>
              <w:rPr>
                <w:rFonts w:ascii="宋体" w:hAnsi="宋体" w:cs="宋体" w:eastAsia="宋体"/>
                <w:b w:val="false"/>
              </w:rPr>
              <w:t>0.89%</w:t>
            </w:r>
          </w:p>
        </w:tc>
        <w:tc>
          <w:tcPr>
            <w:tcW/>
            <w:vAlign w:val="center"/>
          </w:tcPr>
          <w:p>
            <w:pPr>
              <w:spacing w:line="240" w:lineRule="auto"/>
              <w:jc w:val="right"/>
            </w:pPr>
            <w:r>
              <w:rPr>
                <w:rFonts w:ascii="宋体" w:hAnsi="宋体" w:cs="宋体" w:eastAsia="宋体"/>
                <w:b w:val="false"/>
              </w:rPr>
              <w:t>7.35%</w:t>
            </w:r>
          </w:p>
        </w:tc>
        <w:tc>
          <w:tcPr>
            <w:tcW/>
            <w:vAlign w:val="center"/>
          </w:tcPr>
          <w:p>
            <w:pPr>
              <w:spacing w:line="240" w:lineRule="auto"/>
              <w:jc w:val="right"/>
            </w:pPr>
            <w:r>
              <w:rPr>
                <w:rFonts w:ascii="宋体" w:hAnsi="宋体" w:cs="宋体" w:eastAsia="宋体"/>
                <w:b w:val="false"/>
              </w:rPr>
              <w:t>1.40%</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33.42%</w:t>
            </w:r>
          </w:p>
        </w:tc>
        <w:tc>
          <w:tcPr>
            <w:tcW/>
            <w:vAlign w:val="center"/>
          </w:tcPr>
          <w:p>
            <w:pPr>
              <w:spacing w:line="240" w:lineRule="auto"/>
              <w:jc w:val="right"/>
            </w:pPr>
            <w:r>
              <w:rPr>
                <w:rFonts w:ascii="宋体" w:hAnsi="宋体" w:cs="宋体" w:eastAsia="宋体"/>
                <w:b w:val="false"/>
              </w:rPr>
              <w:t>2.11%</w:t>
            </w:r>
          </w:p>
        </w:tc>
        <w:tc>
          <w:tcPr>
            <w:tcW/>
            <w:vAlign w:val="center"/>
          </w:tcPr>
          <w:p>
            <w:pPr>
              <w:spacing w:line="240" w:lineRule="auto"/>
              <w:jc w:val="right"/>
            </w:pPr>
            <w:r>
              <w:rPr>
                <w:rFonts w:ascii="宋体" w:hAnsi="宋体" w:cs="宋体" w:eastAsia="宋体"/>
                <w:b w:val="false"/>
              </w:rPr>
              <w:t>18.05%</w:t>
            </w:r>
          </w:p>
        </w:tc>
        <w:tc>
          <w:tcPr>
            <w:tcW/>
            <w:vAlign w:val="center"/>
          </w:tcPr>
          <w:p>
            <w:pPr>
              <w:spacing w:line="240" w:lineRule="auto"/>
              <w:jc w:val="right"/>
            </w:pPr>
            <w:r>
              <w:rPr>
                <w:rFonts w:ascii="宋体" w:hAnsi="宋体" w:cs="宋体" w:eastAsia="宋体"/>
                <w:b w:val="false"/>
              </w:rPr>
              <w:t>0.98%</w:t>
            </w:r>
          </w:p>
        </w:tc>
        <w:tc>
          <w:tcPr>
            <w:tcW/>
            <w:vAlign w:val="center"/>
          </w:tcPr>
          <w:p>
            <w:pPr>
              <w:spacing w:line="240" w:lineRule="auto"/>
              <w:jc w:val="right"/>
            </w:pPr>
            <w:r>
              <w:rPr>
                <w:rFonts w:ascii="宋体" w:hAnsi="宋体" w:cs="宋体" w:eastAsia="宋体"/>
                <w:b w:val="false"/>
              </w:rPr>
              <w:t>15.37%</w:t>
            </w:r>
          </w:p>
        </w:tc>
        <w:tc>
          <w:tcPr>
            <w:tcW/>
            <w:vAlign w:val="center"/>
          </w:tcPr>
          <w:p>
            <w:pPr>
              <w:spacing w:line="240" w:lineRule="auto"/>
              <w:jc w:val="right"/>
            </w:pPr>
            <w:r>
              <w:rPr>
                <w:rFonts w:ascii="宋体" w:hAnsi="宋体" w:cs="宋体" w:eastAsia="宋体"/>
                <w:b w:val="false"/>
              </w:rPr>
              <w:t>1.13%</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17.93%</w:t>
            </w:r>
          </w:p>
        </w:tc>
        <w:tc>
          <w:tcPr>
            <w:tcW/>
            <w:vAlign w:val="center"/>
          </w:tcPr>
          <w:p>
            <w:pPr>
              <w:spacing w:line="240" w:lineRule="auto"/>
              <w:jc w:val="right"/>
            </w:pPr>
            <w:r>
              <w:rPr>
                <w:rFonts w:ascii="宋体" w:hAnsi="宋体" w:cs="宋体" w:eastAsia="宋体"/>
                <w:b w:val="false"/>
              </w:rPr>
              <w:t>1.63%</w:t>
            </w:r>
          </w:p>
        </w:tc>
        <w:tc>
          <w:tcPr>
            <w:tcW/>
            <w:vAlign w:val="center"/>
          </w:tcPr>
          <w:p>
            <w:pPr>
              <w:spacing w:line="240" w:lineRule="auto"/>
              <w:jc w:val="right"/>
            </w:pPr>
            <w:r>
              <w:rPr>
                <w:rFonts w:ascii="宋体" w:hAnsi="宋体" w:cs="宋体" w:eastAsia="宋体"/>
                <w:b w:val="false"/>
              </w:rPr>
              <w:t>21.91%</w:t>
            </w:r>
          </w:p>
        </w:tc>
        <w:tc>
          <w:tcPr>
            <w:tcW/>
            <w:vAlign w:val="center"/>
          </w:tcPr>
          <w:p>
            <w:pPr>
              <w:spacing w:line="240" w:lineRule="auto"/>
              <w:jc w:val="right"/>
            </w:pPr>
            <w:r>
              <w:rPr>
                <w:rFonts w:ascii="宋体" w:hAnsi="宋体" w:cs="宋体" w:eastAsia="宋体"/>
                <w:b w:val="false"/>
              </w:rPr>
              <w:t>0.91%</w:t>
            </w:r>
          </w:p>
        </w:tc>
        <w:tc>
          <w:tcPr>
            <w:tcW/>
            <w:vAlign w:val="center"/>
          </w:tcPr>
          <w:p>
            <w:pPr>
              <w:spacing w:line="240" w:lineRule="auto"/>
              <w:jc w:val="right"/>
            </w:pPr>
            <w:r>
              <w:rPr>
                <w:rFonts w:ascii="宋体" w:hAnsi="宋体" w:cs="宋体" w:eastAsia="宋体"/>
                <w:b w:val="false"/>
              </w:rPr>
              <w:t>-3.98%</w:t>
            </w:r>
          </w:p>
        </w:tc>
        <w:tc>
          <w:tcPr>
            <w:tcW/>
            <w:vAlign w:val="center"/>
          </w:tcPr>
          <w:p>
            <w:pPr>
              <w:spacing w:line="240" w:lineRule="auto"/>
              <w:jc w:val="right"/>
            </w:pPr>
            <w:r>
              <w:rPr>
                <w:rFonts w:ascii="宋体" w:hAnsi="宋体" w:cs="宋体" w:eastAsia="宋体"/>
                <w:b w:val="false"/>
              </w:rPr>
              <w:t>0.72%</w:t>
            </w:r>
          </w:p>
        </w:tc>
      </w:tr>
    </w:tbl>
    <w:p>
      <w:pPr>
        <w:jc w:val="left"/>
      </w:pPr>
      <w:r>
        <w:rPr>
          <w:rFonts w:ascii="宋体" w:hAnsi="宋体" w:cs="宋体" w:eastAsia="宋体"/>
          <w:b w:val="true"/>
        </w:rPr>
        <w:t>东方阿尔法瑞丰混合发起C净值表现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22.77%</w:t>
            </w:r>
          </w:p>
        </w:tc>
        <w:tc>
          <w:tcPr>
            <w:tcW/>
            <w:vAlign w:val="center"/>
          </w:tcPr>
          <w:p>
            <w:pPr>
              <w:spacing w:line="240" w:lineRule="auto"/>
              <w:jc w:val="right"/>
            </w:pPr>
            <w:r>
              <w:rPr>
                <w:rFonts w:ascii="宋体" w:hAnsi="宋体" w:cs="宋体" w:eastAsia="宋体"/>
                <w:b w:val="false"/>
              </w:rPr>
              <w:t>1.88%</w:t>
            </w:r>
          </w:p>
        </w:tc>
        <w:tc>
          <w:tcPr>
            <w:tcW/>
            <w:vAlign w:val="center"/>
          </w:tcPr>
          <w:p>
            <w:pPr>
              <w:spacing w:line="240" w:lineRule="auto"/>
              <w:jc w:val="right"/>
            </w:pPr>
            <w:r>
              <w:rPr>
                <w:rFonts w:ascii="宋体" w:hAnsi="宋体" w:cs="宋体" w:eastAsia="宋体"/>
                <w:b w:val="false"/>
              </w:rPr>
              <w:t>13.84%</w:t>
            </w:r>
          </w:p>
        </w:tc>
        <w:tc>
          <w:tcPr>
            <w:tcW/>
            <w:vAlign w:val="center"/>
          </w:tcPr>
          <w:p>
            <w:pPr>
              <w:spacing w:line="240" w:lineRule="auto"/>
              <w:jc w:val="right"/>
            </w:pPr>
            <w:r>
              <w:rPr>
                <w:rFonts w:ascii="宋体" w:hAnsi="宋体" w:cs="宋体" w:eastAsia="宋体"/>
                <w:b w:val="false"/>
              </w:rPr>
              <w:t>0.65%</w:t>
            </w:r>
          </w:p>
        </w:tc>
        <w:tc>
          <w:tcPr>
            <w:tcW/>
            <w:vAlign w:val="center"/>
          </w:tcPr>
          <w:p>
            <w:pPr>
              <w:spacing w:line="240" w:lineRule="auto"/>
              <w:jc w:val="right"/>
            </w:pPr>
            <w:r>
              <w:rPr>
                <w:rFonts w:ascii="宋体" w:hAnsi="宋体" w:cs="宋体" w:eastAsia="宋体"/>
                <w:b w:val="false"/>
              </w:rPr>
              <w:t>8.93%</w:t>
            </w:r>
          </w:p>
        </w:tc>
        <w:tc>
          <w:tcPr>
            <w:tcW/>
            <w:vAlign w:val="center"/>
          </w:tcPr>
          <w:p>
            <w:pPr>
              <w:spacing w:line="240" w:lineRule="auto"/>
              <w:jc w:val="right"/>
            </w:pPr>
            <w:r>
              <w:rPr>
                <w:rFonts w:ascii="宋体" w:hAnsi="宋体" w:cs="宋体" w:eastAsia="宋体"/>
                <w:b w:val="false"/>
              </w:rPr>
              <w:t>1.23%</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22.92%</w:t>
            </w:r>
          </w:p>
        </w:tc>
        <w:tc>
          <w:tcPr>
            <w:tcW/>
            <w:vAlign w:val="center"/>
          </w:tcPr>
          <w:p>
            <w:pPr>
              <w:spacing w:line="240" w:lineRule="auto"/>
              <w:jc w:val="right"/>
            </w:pPr>
            <w:r>
              <w:rPr>
                <w:rFonts w:ascii="宋体" w:hAnsi="宋体" w:cs="宋体" w:eastAsia="宋体"/>
                <w:b w:val="false"/>
              </w:rPr>
              <w:t>2.29%</w:t>
            </w:r>
          </w:p>
        </w:tc>
        <w:tc>
          <w:tcPr>
            <w:tcW/>
            <w:vAlign w:val="center"/>
          </w:tcPr>
          <w:p>
            <w:pPr>
              <w:spacing w:line="240" w:lineRule="auto"/>
              <w:jc w:val="right"/>
            </w:pPr>
            <w:r>
              <w:rPr>
                <w:rFonts w:ascii="宋体" w:hAnsi="宋体" w:cs="宋体" w:eastAsia="宋体"/>
                <w:b w:val="false"/>
              </w:rPr>
              <w:t>15.90%</w:t>
            </w:r>
          </w:p>
        </w:tc>
        <w:tc>
          <w:tcPr>
            <w:tcW/>
            <w:vAlign w:val="center"/>
          </w:tcPr>
          <w:p>
            <w:pPr>
              <w:spacing w:line="240" w:lineRule="auto"/>
              <w:jc w:val="right"/>
            </w:pPr>
            <w:r>
              <w:rPr>
                <w:rFonts w:ascii="宋体" w:hAnsi="宋体" w:cs="宋体" w:eastAsia="宋体"/>
                <w:b w:val="false"/>
              </w:rPr>
              <w:t>0.89%</w:t>
            </w:r>
          </w:p>
        </w:tc>
        <w:tc>
          <w:tcPr>
            <w:tcW/>
            <w:vAlign w:val="center"/>
          </w:tcPr>
          <w:p>
            <w:pPr>
              <w:spacing w:line="240" w:lineRule="auto"/>
              <w:jc w:val="right"/>
            </w:pPr>
            <w:r>
              <w:rPr>
                <w:rFonts w:ascii="宋体" w:hAnsi="宋体" w:cs="宋体" w:eastAsia="宋体"/>
                <w:b w:val="false"/>
              </w:rPr>
              <w:t>7.02%</w:t>
            </w:r>
          </w:p>
        </w:tc>
        <w:tc>
          <w:tcPr>
            <w:tcW/>
            <w:vAlign w:val="center"/>
          </w:tcPr>
          <w:p>
            <w:pPr>
              <w:spacing w:line="240" w:lineRule="auto"/>
              <w:jc w:val="right"/>
            </w:pPr>
            <w:r>
              <w:rPr>
                <w:rFonts w:ascii="宋体" w:hAnsi="宋体" w:cs="宋体" w:eastAsia="宋体"/>
                <w:b w:val="false"/>
              </w:rPr>
              <w:t>1.40%</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33.09%</w:t>
            </w:r>
          </w:p>
        </w:tc>
        <w:tc>
          <w:tcPr>
            <w:tcW/>
            <w:vAlign w:val="center"/>
          </w:tcPr>
          <w:p>
            <w:pPr>
              <w:spacing w:line="240" w:lineRule="auto"/>
              <w:jc w:val="right"/>
            </w:pPr>
            <w:r>
              <w:rPr>
                <w:rFonts w:ascii="宋体" w:hAnsi="宋体" w:cs="宋体" w:eastAsia="宋体"/>
                <w:b w:val="false"/>
              </w:rPr>
              <w:t>2.11%</w:t>
            </w:r>
          </w:p>
        </w:tc>
        <w:tc>
          <w:tcPr>
            <w:tcW/>
            <w:vAlign w:val="center"/>
          </w:tcPr>
          <w:p>
            <w:pPr>
              <w:spacing w:line="240" w:lineRule="auto"/>
              <w:jc w:val="right"/>
            </w:pPr>
            <w:r>
              <w:rPr>
                <w:rFonts w:ascii="宋体" w:hAnsi="宋体" w:cs="宋体" w:eastAsia="宋体"/>
                <w:b w:val="false"/>
              </w:rPr>
              <w:t>18.05%</w:t>
            </w:r>
          </w:p>
        </w:tc>
        <w:tc>
          <w:tcPr>
            <w:tcW/>
            <w:vAlign w:val="center"/>
          </w:tcPr>
          <w:p>
            <w:pPr>
              <w:spacing w:line="240" w:lineRule="auto"/>
              <w:jc w:val="right"/>
            </w:pPr>
            <w:r>
              <w:rPr>
                <w:rFonts w:ascii="宋体" w:hAnsi="宋体" w:cs="宋体" w:eastAsia="宋体"/>
                <w:b w:val="false"/>
              </w:rPr>
              <w:t>0.98%</w:t>
            </w:r>
          </w:p>
        </w:tc>
        <w:tc>
          <w:tcPr>
            <w:tcW/>
            <w:vAlign w:val="center"/>
          </w:tcPr>
          <w:p>
            <w:pPr>
              <w:spacing w:line="240" w:lineRule="auto"/>
              <w:jc w:val="right"/>
            </w:pPr>
            <w:r>
              <w:rPr>
                <w:rFonts w:ascii="宋体" w:hAnsi="宋体" w:cs="宋体" w:eastAsia="宋体"/>
                <w:b w:val="false"/>
              </w:rPr>
              <w:t>15.04%</w:t>
            </w:r>
          </w:p>
        </w:tc>
        <w:tc>
          <w:tcPr>
            <w:tcW/>
            <w:vAlign w:val="center"/>
          </w:tcPr>
          <w:p>
            <w:pPr>
              <w:spacing w:line="240" w:lineRule="auto"/>
              <w:jc w:val="right"/>
            </w:pPr>
            <w:r>
              <w:rPr>
                <w:rFonts w:ascii="宋体" w:hAnsi="宋体" w:cs="宋体" w:eastAsia="宋体"/>
                <w:b w:val="false"/>
              </w:rPr>
              <w:t>1.13%</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16.91%</w:t>
            </w:r>
          </w:p>
        </w:tc>
        <w:tc>
          <w:tcPr>
            <w:tcW/>
            <w:vAlign w:val="center"/>
          </w:tcPr>
          <w:p>
            <w:pPr>
              <w:spacing w:line="240" w:lineRule="auto"/>
              <w:jc w:val="right"/>
            </w:pPr>
            <w:r>
              <w:rPr>
                <w:rFonts w:ascii="宋体" w:hAnsi="宋体" w:cs="宋体" w:eastAsia="宋体"/>
                <w:b w:val="false"/>
              </w:rPr>
              <w:t>1.63%</w:t>
            </w:r>
          </w:p>
        </w:tc>
        <w:tc>
          <w:tcPr>
            <w:tcW/>
            <w:vAlign w:val="center"/>
          </w:tcPr>
          <w:p>
            <w:pPr>
              <w:spacing w:line="240" w:lineRule="auto"/>
              <w:jc w:val="right"/>
            </w:pPr>
            <w:r>
              <w:rPr>
                <w:rFonts w:ascii="宋体" w:hAnsi="宋体" w:cs="宋体" w:eastAsia="宋体"/>
                <w:b w:val="false"/>
              </w:rPr>
              <w:t>21.91%</w:t>
            </w:r>
          </w:p>
        </w:tc>
        <w:tc>
          <w:tcPr>
            <w:tcW/>
            <w:vAlign w:val="center"/>
          </w:tcPr>
          <w:p>
            <w:pPr>
              <w:spacing w:line="240" w:lineRule="auto"/>
              <w:jc w:val="right"/>
            </w:pPr>
            <w:r>
              <w:rPr>
                <w:rFonts w:ascii="宋体" w:hAnsi="宋体" w:cs="宋体" w:eastAsia="宋体"/>
                <w:b w:val="false"/>
              </w:rPr>
              <w:t>0.91%</w:t>
            </w:r>
          </w:p>
        </w:tc>
        <w:tc>
          <w:tcPr>
            <w:tcW/>
            <w:vAlign w:val="center"/>
          </w:tcPr>
          <w:p>
            <w:pPr>
              <w:spacing w:line="240" w:lineRule="auto"/>
              <w:jc w:val="right"/>
            </w:pPr>
            <w:r>
              <w:rPr>
                <w:rFonts w:ascii="宋体" w:hAnsi="宋体" w:cs="宋体" w:eastAsia="宋体"/>
                <w:b w:val="false"/>
              </w:rPr>
              <w:t>-5.00%</w:t>
            </w:r>
          </w:p>
        </w:tc>
        <w:tc>
          <w:tcPr>
            <w:tcW/>
            <w:vAlign w:val="center"/>
          </w:tcPr>
          <w:p>
            <w:pPr>
              <w:spacing w:line="240" w:lineRule="auto"/>
              <w:jc w:val="right"/>
            </w:pPr>
            <w:r>
              <w:rPr>
                <w:rFonts w:ascii="宋体" w:hAnsi="宋体" w:cs="宋体" w:eastAsia="宋体"/>
                <w:b w:val="false"/>
              </w:rPr>
              <w:t>0.72%</w:t>
            </w:r>
          </w:p>
        </w:tc>
      </w:tr>
    </w:tbl>
    <w:p>
      <w:r>
        <w:rPr>
          <w:rFonts w:ascii="宋体" w:hAnsi="宋体" w:cs="宋体" w:eastAsia="宋体"/>
          <w:b w:val="false"/>
        </w:rPr>
        <w:t>注：1、本基金业绩比较基准为：中证800指数收益率×60%+中证综合债券指数收益率×20%+恒生指数收益率×20%。</w:t>
        <w:cr/>
      </w:r>
      <w:r>
        <w:rPr>
          <w:rFonts w:ascii="宋体" w:hAnsi="宋体" w:cs="宋体" w:eastAsia="宋体"/>
          <w:b w:val="false"/>
        </w:rPr>
        <w:t>2、本基金自2023年05月12日成立至今尚未满三年，无过去三年和过去五年的净值表现。</w:t>
      </w:r>
    </w:p>
    <w:p/>
    <w:p>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孙振波</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2023-05-12</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6年</w:t>
            </w:r>
          </w:p>
        </w:tc>
        <w:tc>
          <w:tcPr>
            <w:tcW/>
            <w:vAlign w:val="center"/>
          </w:tcPr>
          <w:p>
            <w:pPr>
              <w:spacing w:line="240" w:lineRule="auto"/>
              <w:jc w:val="left"/>
            </w:pPr>
            <w:r>
              <w:rPr>
                <w:rFonts w:ascii="宋体" w:hAnsi="宋体" w:cs="宋体" w:eastAsia="宋体"/>
                <w:b w:val="false"/>
              </w:rPr>
              <w:t>孙振波先生，中国科学技术大学理学学士，复旦大学理学硕士。在食品饮料、有色、化工、钢铁煤炭等领域有着深入研究。2019年入职东方阿尔法基金管理有限公司。现任东方阿尔法基金公司研究部总监助理、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在三季度，国内AI领域持续取得进展。8月，Deepseek发布了V3.1基座模型，9月又进一步更新至V3.2版本，增强了长文本处理及前后文联系能力，为V4基座模型的发布做好了铺垫，R2的发布也指日可待。同时，阿里巴巴在二季度的资本支出（Capex）高达380亿元，远超市场预期，这表明国内在算力领域的投入仍在持续加强。在海外，国庆假期期间，OpenAI推出了Sora2以及相应的Sora APP，后者迅速登顶美国App Store榜首。此外，OpenAI还举办了迄今为止规模最大的开发者大会，并推出了简便快捷的Agent开发工具包——AgentKit，这极大地提升了开发的便捷性和用户交互体验。以下是本基金三季度的操作汇报：</w:t>
        <w:cr/>
      </w:r>
      <w:r>
        <w:rPr>
          <w:rFonts w:ascii="宋体" w:hAnsi="宋体" w:cs="宋体" w:eastAsia="宋体"/>
          <w:b w:val="false"/>
        </w:rPr>
        <w:t xml:space="preserve">    一、增持港股互联网龙头。我们增加了对港股互联网龙头的配置。这些公司拥有庞大的用户生态基础，其自研模型不断进步，资本开支的持续提升也顺应了AI算力需求的增长。未来，现象级的AI应用有望在这些公司中诞生。</w:t>
        <w:cr/>
      </w:r>
      <w:r>
        <w:rPr>
          <w:rFonts w:ascii="宋体" w:hAnsi="宋体" w:cs="宋体" w:eastAsia="宋体"/>
          <w:b w:val="false"/>
        </w:rPr>
        <w:t xml:space="preserve">    二、调整ERP软件服务公司配置。我们对国内ERP软件服务公司的配置进行了调整。这些公司不断提升其市场占有率以及基于云计算的SaaS比率，具备产品优势和AI商业化的潜力。由于各公司的业务进展速度和下游客户需求存在差异，我们相应地调整了配置。</w:t>
        <w:cr/>
      </w:r>
      <w:r>
        <w:rPr>
          <w:rFonts w:ascii="宋体" w:hAnsi="宋体" w:cs="宋体" w:eastAsia="宋体"/>
          <w:b w:val="false"/>
        </w:rPr>
        <w:t xml:space="preserve">    三、维持对垂类软件服务公司的投资。我们保持了对垂类软件服务公司的投资。这些公司在其专业领域拥有强大的用户生态基础，AI赋能也更容易在这些垂直领域实现功能落地。</w:t>
        <w:cr/>
      </w:r>
      <w:r>
        <w:rPr>
          <w:rFonts w:ascii="宋体" w:hAnsi="宋体" w:cs="宋体" w:eastAsia="宋体"/>
          <w:b w:val="false"/>
        </w:rPr>
        <w:t xml:space="preserve">    从GPT5、Sora2以及OpenAI开发者大会的变化中可以看出，尽管大模型本身的能力尚未实现跨越式发展，但它们都在追求更高的便捷性、用户友好性和开发者友好性。这使得大模型及其衍生的AI应用更具实用性，从C端用户的角度来看，它们变得更加简便、快捷和实用。这将进一步推动AI应用在C端的渗透率提升。</w:t>
        <w:cr/>
      </w:r>
      <w:r>
        <w:rPr>
          <w:rFonts w:ascii="宋体" w:hAnsi="宋体" w:cs="宋体" w:eastAsia="宋体"/>
          <w:b w:val="false"/>
        </w:rPr>
        <w:t xml:space="preserve">    本基金持续看好港股互联网龙头和AI应用软件等方向的投资机会，将密切关注相关行业和公司的动态变化，努力为投资人创造良好的回报。</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瑞丰混合发起A基金份额净值为1.1793元，本报告期内，该类基金份额净值增长率为22.92%，同期业绩比较基准收益率为13.84%；截至报告期末东方阿尔法瑞丰混合发起C基金份额净值为1.1691元，本报告期内，该类基金份额净值增长率为22.77%，同期业绩比较基准收益率为13.84%。</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无。</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209,598,166.40</w:t>
            </w:r>
          </w:p>
        </w:tc>
        <w:tc>
          <w:tcPr>
            <w:tcW/>
            <w:vAlign w:val="center"/>
          </w:tcPr>
          <w:p>
            <w:pPr>
              <w:spacing w:line="240" w:lineRule="auto"/>
              <w:jc w:val="right"/>
            </w:pPr>
            <w:r>
              <w:rPr>
                <w:rFonts w:ascii="宋体" w:hAnsi="宋体" w:cs="宋体" w:eastAsia="宋体"/>
                <w:b w:val="false"/>
              </w:rPr>
              <w:t>89.92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209,598,166.40</w:t>
            </w:r>
          </w:p>
        </w:tc>
        <w:tc>
          <w:tcPr>
            <w:tcW/>
            <w:vAlign w:val="center"/>
          </w:tcPr>
          <w:p>
            <w:pPr>
              <w:spacing w:line="240" w:lineRule="auto"/>
              <w:jc w:val="right"/>
            </w:pPr>
            <w:r>
              <w:rPr>
                <w:rFonts w:ascii="宋体" w:hAnsi="宋体" w:cs="宋体" w:eastAsia="宋体"/>
                <w:b w:val="false"/>
              </w:rPr>
              <w:t>89.92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12,791,822.94</w:t>
            </w:r>
          </w:p>
        </w:tc>
        <w:tc>
          <w:tcPr>
            <w:tcW/>
            <w:vAlign w:val="center"/>
          </w:tcPr>
          <w:p>
            <w:pPr>
              <w:spacing w:line="240" w:lineRule="auto"/>
              <w:jc w:val="right"/>
            </w:pPr>
            <w:r>
              <w:rPr>
                <w:rFonts w:ascii="宋体" w:hAnsi="宋体" w:cs="宋体" w:eastAsia="宋体"/>
                <w:b w:val="false"/>
              </w:rPr>
              <w:t>5.49</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12,791,822.94</w:t>
            </w:r>
          </w:p>
        </w:tc>
        <w:tc>
          <w:tcPr>
            <w:tcW/>
            <w:vAlign w:val="center"/>
          </w:tcPr>
          <w:p>
            <w:pPr>
              <w:spacing w:line="240" w:lineRule="auto"/>
              <w:jc w:val="right"/>
            </w:pPr>
            <w:r>
              <w:rPr>
                <w:rFonts w:ascii="宋体" w:hAnsi="宋体" w:cs="宋体" w:eastAsia="宋体"/>
                <w:b w:val="false"/>
              </w:rPr>
              <w:t>5.49</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5,198,139.48</w:t>
            </w:r>
          </w:p>
        </w:tc>
        <w:tc>
          <w:tcPr>
            <w:tcW/>
            <w:vAlign w:val="center"/>
          </w:tcPr>
          <w:p>
            <w:pPr>
              <w:spacing w:line="240" w:lineRule="auto"/>
              <w:jc w:val="right"/>
            </w:pPr>
            <w:r>
              <w:rPr>
                <w:rFonts w:ascii="宋体" w:hAnsi="宋体" w:cs="宋体" w:eastAsia="宋体"/>
                <w:b w:val="false"/>
              </w:rPr>
              <w:t>2.23</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5,509,676.80</w:t>
            </w:r>
          </w:p>
        </w:tc>
        <w:tc>
          <w:tcPr>
            <w:tcW/>
            <w:vAlign w:val="center"/>
          </w:tcPr>
          <w:p>
            <w:pPr>
              <w:spacing w:line="240" w:lineRule="auto"/>
              <w:jc w:val="right"/>
            </w:pPr>
            <w:r>
              <w:rPr>
                <w:rFonts w:ascii="宋体" w:hAnsi="宋体" w:cs="宋体" w:eastAsia="宋体"/>
                <w:b w:val="false"/>
              </w:rPr>
              <w:t>2.36</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233,097,805.62</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注：报告期末本基金通过港股通交易机制投资的港股公允价值合计102,325,953.89元，占基金资产净值的比例为45.25%。</w:t>
      </w:r>
    </w:p>
    <w:p/>
    <w:p>
      <w:pPr>
        <w:pStyle w:val="2"/>
        <w:jc w:val="left"/>
      </w:pPr>
      <w:r>
        <w:rPr>
          <w:rFonts w:ascii="宋体" w:hAnsi="宋体" w:cs="宋体" w:eastAsia="宋体"/>
        </w:rPr>
        <w:t>5.2 报告期末按行业分类的股票投资组合</w:t>
      </w:r>
    </w:p>
    <w:p>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1,348,824.00</w:t>
            </w:r>
          </w:p>
        </w:tc>
        <w:tc>
          <w:tcPr>
            <w:tcW/>
            <w:vAlign w:val="center"/>
          </w:tcPr>
          <w:p>
            <w:pPr>
              <w:spacing w:line="240" w:lineRule="auto"/>
              <w:jc w:val="right"/>
            </w:pPr>
            <w:r>
              <w:rPr>
                <w:rFonts w:ascii="宋体" w:hAnsi="宋体" w:cs="宋体" w:eastAsia="宋体"/>
                <w:b w:val="false"/>
              </w:rPr>
              <w:t>0.60</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101,143,470.51</w:t>
            </w:r>
          </w:p>
        </w:tc>
        <w:tc>
          <w:tcPr>
            <w:tcW/>
            <w:vAlign w:val="center"/>
          </w:tcPr>
          <w:p>
            <w:pPr>
              <w:spacing w:line="240" w:lineRule="auto"/>
              <w:jc w:val="right"/>
            </w:pPr>
            <w:r>
              <w:rPr>
                <w:rFonts w:ascii="宋体" w:hAnsi="宋体" w:cs="宋体" w:eastAsia="宋体"/>
                <w:b w:val="false"/>
              </w:rPr>
              <w:t>44.72</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4,779,918.00</w:t>
            </w:r>
          </w:p>
        </w:tc>
        <w:tc>
          <w:tcPr>
            <w:tcW/>
            <w:vAlign w:val="center"/>
          </w:tcPr>
          <w:p>
            <w:pPr>
              <w:spacing w:line="240" w:lineRule="auto"/>
              <w:jc w:val="right"/>
            </w:pPr>
            <w:r>
              <w:rPr>
                <w:rFonts w:ascii="宋体" w:hAnsi="宋体" w:cs="宋体" w:eastAsia="宋体"/>
                <w:b w:val="false"/>
              </w:rPr>
              <w:t>2.11</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107,272,212.51</w:t>
            </w:r>
          </w:p>
        </w:tc>
        <w:tc>
          <w:tcPr>
            <w:tcW/>
            <w:vAlign w:val="center"/>
          </w:tcPr>
          <w:p>
            <w:pPr>
              <w:spacing w:line="240" w:lineRule="auto"/>
              <w:jc w:val="right"/>
            </w:pPr>
            <w:r>
              <w:rPr>
                <w:rFonts w:ascii="宋体" w:hAnsi="宋体" w:cs="宋体" w:eastAsia="宋体"/>
                <w:b w:val="false"/>
              </w:rPr>
              <w:t>47.43</w:t>
            </w:r>
          </w:p>
        </w:tc>
      </w:tr>
    </w:tbl>
    <w:p/>
    <w:p>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1538"/>
            <w:vAlign w:val="center"/>
          </w:tcPr>
          <w:tcPr>
            <w:shd w:fill="d9d9d9"/>
          </w:tcPr>
          <w:p>
            <w:pPr>
              <w:spacing w:line="240" w:lineRule="auto"/>
              <w:jc w:val="center"/>
            </w:pPr>
            <w:r>
              <w:rPr>
                <w:rFonts w:ascii="宋体" w:hAnsi="宋体" w:cs="宋体" w:eastAsia="宋体"/>
                <w:b w:val="false"/>
              </w:rPr>
              <w:t>公允价值（人民币）</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left"/>
            </w:pPr>
            <w:r>
              <w:rPr>
                <w:rFonts w:ascii="宋体" w:hAnsi="宋体" w:cs="宋体" w:eastAsia="宋体"/>
                <w:b w:val="false"/>
              </w:rPr>
              <w:t>非日常生活消费品</w:t>
            </w:r>
          </w:p>
        </w:tc>
        <w:tc>
          <w:tcPr>
            <w:tcW/>
            <w:vAlign w:val="center"/>
          </w:tcPr>
          <w:p>
            <w:pPr>
              <w:spacing w:line="240" w:lineRule="auto"/>
              <w:jc w:val="right"/>
            </w:pPr>
            <w:r>
              <w:rPr>
                <w:rFonts w:ascii="宋体" w:hAnsi="宋体" w:cs="宋体" w:eastAsia="宋体"/>
                <w:b w:val="false"/>
              </w:rPr>
              <w:t>25,906,878.43</w:t>
            </w:r>
          </w:p>
        </w:tc>
        <w:tc>
          <w:tcPr>
            <w:tcW/>
            <w:vAlign w:val="center"/>
          </w:tcPr>
          <w:p>
            <w:pPr>
              <w:spacing w:line="240" w:lineRule="auto"/>
              <w:jc w:val="right"/>
            </w:pPr>
            <w:r>
              <w:rPr>
                <w:rFonts w:ascii="宋体" w:hAnsi="宋体" w:cs="宋体" w:eastAsia="宋体"/>
                <w:b w:val="false"/>
              </w:rPr>
              <w:t>11.46</w:t>
            </w:r>
          </w:p>
        </w:tc>
      </w:tr>
      <w:tr>
        <w:tc>
          <w:tcPr>
            <w:tcW/>
            <w:vAlign w:val="center"/>
          </w:tcPr>
          <w:p>
            <w:pPr>
              <w:spacing w:line="240" w:lineRule="auto"/>
              <w:jc w:val="left"/>
            </w:pPr>
            <w:r>
              <w:rPr>
                <w:rFonts w:ascii="宋体" w:hAnsi="宋体" w:cs="宋体" w:eastAsia="宋体"/>
                <w:b w:val="false"/>
              </w:rPr>
              <w:t>信息技术</w:t>
            </w:r>
          </w:p>
        </w:tc>
        <w:tc>
          <w:tcPr>
            <w:tcW/>
            <w:vAlign w:val="center"/>
          </w:tcPr>
          <w:p>
            <w:pPr>
              <w:spacing w:line="240" w:lineRule="auto"/>
              <w:jc w:val="right"/>
            </w:pPr>
            <w:r>
              <w:rPr>
                <w:rFonts w:ascii="宋体" w:hAnsi="宋体" w:cs="宋体" w:eastAsia="宋体"/>
                <w:b w:val="false"/>
              </w:rPr>
              <w:t>32,130,651.21</w:t>
            </w:r>
          </w:p>
        </w:tc>
        <w:tc>
          <w:tcPr>
            <w:tcW/>
            <w:vAlign w:val="center"/>
          </w:tcPr>
          <w:p>
            <w:pPr>
              <w:spacing w:line="240" w:lineRule="auto"/>
              <w:jc w:val="right"/>
            </w:pPr>
            <w:r>
              <w:rPr>
                <w:rFonts w:ascii="宋体" w:hAnsi="宋体" w:cs="宋体" w:eastAsia="宋体"/>
                <w:b w:val="false"/>
              </w:rPr>
              <w:t>14.21</w:t>
            </w:r>
          </w:p>
        </w:tc>
      </w:tr>
      <w:tr>
        <w:tc>
          <w:tcPr>
            <w:tcW/>
            <w:vAlign w:val="center"/>
          </w:tcPr>
          <w:p>
            <w:pPr>
              <w:spacing w:line="240" w:lineRule="auto"/>
              <w:jc w:val="left"/>
            </w:pPr>
            <w:r>
              <w:rPr>
                <w:rFonts w:ascii="宋体" w:hAnsi="宋体" w:cs="宋体" w:eastAsia="宋体"/>
                <w:b w:val="false"/>
              </w:rPr>
              <w:t>通讯业务</w:t>
            </w:r>
          </w:p>
        </w:tc>
        <w:tc>
          <w:tcPr>
            <w:tcW/>
            <w:vAlign w:val="center"/>
          </w:tcPr>
          <w:p>
            <w:pPr>
              <w:spacing w:line="240" w:lineRule="auto"/>
              <w:jc w:val="right"/>
            </w:pPr>
            <w:r>
              <w:rPr>
                <w:rFonts w:ascii="宋体" w:hAnsi="宋体" w:cs="宋体" w:eastAsia="宋体"/>
                <w:b w:val="false"/>
              </w:rPr>
              <w:t>44,288,424.25</w:t>
            </w:r>
          </w:p>
        </w:tc>
        <w:tc>
          <w:tcPr>
            <w:tcW/>
            <w:vAlign w:val="center"/>
          </w:tcPr>
          <w:p>
            <w:pPr>
              <w:spacing w:line="240" w:lineRule="auto"/>
              <w:jc w:val="right"/>
            </w:pPr>
            <w:r>
              <w:rPr>
                <w:rFonts w:ascii="宋体" w:hAnsi="宋体" w:cs="宋体" w:eastAsia="宋体"/>
                <w:b w:val="false"/>
              </w:rPr>
              <w:t>19.58</w:t>
            </w:r>
          </w:p>
        </w:tc>
      </w:tr>
      <w:tr>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102,325,953.89</w:t>
            </w:r>
          </w:p>
        </w:tc>
        <w:tc>
          <w:tcPr>
            <w:tcW/>
            <w:vAlign w:val="center"/>
          </w:tcPr>
          <w:p>
            <w:pPr>
              <w:spacing w:line="240" w:lineRule="auto"/>
              <w:jc w:val="right"/>
            </w:pPr>
            <w:r>
              <w:rPr>
                <w:rFonts w:ascii="宋体" w:hAnsi="宋体" w:cs="宋体" w:eastAsia="宋体"/>
                <w:b w:val="false"/>
              </w:rPr>
              <w:t>45.25</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300378</w:t>
            </w:r>
          </w:p>
        </w:tc>
        <w:tc>
          <w:tcPr>
            <w:tcW/>
            <w:vAlign w:val="center"/>
          </w:tcPr>
          <w:p>
            <w:pPr>
              <w:spacing w:line="240" w:lineRule="auto"/>
              <w:jc w:val="left"/>
            </w:pPr>
            <w:r>
              <w:rPr>
                <w:rFonts w:ascii="宋体" w:hAnsi="宋体" w:cs="宋体" w:eastAsia="宋体"/>
                <w:b w:val="false"/>
              </w:rPr>
              <w:t>鼎捷数智</w:t>
            </w:r>
          </w:p>
        </w:tc>
        <w:tc>
          <w:tcPr>
            <w:tcW/>
            <w:vAlign w:val="center"/>
          </w:tcPr>
          <w:p>
            <w:pPr>
              <w:spacing w:line="240" w:lineRule="auto"/>
              <w:jc w:val="right"/>
            </w:pPr>
            <w:r>
              <w:rPr>
                <w:rFonts w:ascii="宋体" w:hAnsi="宋体" w:cs="宋体" w:eastAsia="宋体"/>
                <w:b w:val="false"/>
              </w:rPr>
              <w:t>294,877</w:t>
            </w:r>
          </w:p>
        </w:tc>
        <w:tc>
          <w:tcPr>
            <w:tcW/>
            <w:vAlign w:val="center"/>
          </w:tcPr>
          <w:p>
            <w:pPr>
              <w:spacing w:line="240" w:lineRule="auto"/>
              <w:jc w:val="right"/>
            </w:pPr>
            <w:r>
              <w:rPr>
                <w:rFonts w:ascii="宋体" w:hAnsi="宋体" w:cs="宋体" w:eastAsia="宋体"/>
                <w:b w:val="false"/>
              </w:rPr>
              <w:t>16,439,392.75</w:t>
            </w:r>
          </w:p>
        </w:tc>
        <w:tc>
          <w:tcPr>
            <w:tcW/>
            <w:vAlign w:val="center"/>
          </w:tcPr>
          <w:p>
            <w:pPr>
              <w:spacing w:line="240" w:lineRule="auto"/>
              <w:jc w:val="right"/>
            </w:pPr>
            <w:r>
              <w:rPr>
                <w:rFonts w:ascii="宋体" w:hAnsi="宋体" w:cs="宋体" w:eastAsia="宋体"/>
                <w:b w:val="false"/>
              </w:rPr>
              <w:t>7.27</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09988</w:t>
            </w:r>
          </w:p>
        </w:tc>
        <w:tc>
          <w:tcPr>
            <w:tcW/>
            <w:vAlign w:val="center"/>
          </w:tcPr>
          <w:p>
            <w:pPr>
              <w:spacing w:line="240" w:lineRule="auto"/>
              <w:jc w:val="left"/>
            </w:pPr>
            <w:r>
              <w:rPr>
                <w:rFonts w:ascii="宋体" w:hAnsi="宋体" w:cs="宋体" w:eastAsia="宋体"/>
                <w:b w:val="false"/>
              </w:rPr>
              <w:t>阿里巴巴－Ｗ</w:t>
            </w:r>
          </w:p>
        </w:tc>
        <w:tc>
          <w:tcPr>
            <w:tcW/>
            <w:vAlign w:val="center"/>
          </w:tcPr>
          <w:p>
            <w:pPr>
              <w:spacing w:line="240" w:lineRule="auto"/>
              <w:jc w:val="right"/>
            </w:pPr>
            <w:r>
              <w:rPr>
                <w:rFonts w:ascii="宋体" w:hAnsi="宋体" w:cs="宋体" w:eastAsia="宋体"/>
                <w:b w:val="false"/>
              </w:rPr>
              <w:t>93,800</w:t>
            </w:r>
          </w:p>
        </w:tc>
        <w:tc>
          <w:tcPr>
            <w:tcW/>
            <w:vAlign w:val="center"/>
          </w:tcPr>
          <w:p>
            <w:pPr>
              <w:spacing w:line="240" w:lineRule="auto"/>
              <w:jc w:val="right"/>
            </w:pPr>
            <w:r>
              <w:rPr>
                <w:rFonts w:ascii="宋体" w:hAnsi="宋体" w:cs="宋体" w:eastAsia="宋体"/>
                <w:b w:val="false"/>
              </w:rPr>
              <w:t>15,157,841.75</w:t>
            </w:r>
          </w:p>
        </w:tc>
        <w:tc>
          <w:tcPr>
            <w:tcW/>
            <w:vAlign w:val="center"/>
          </w:tcPr>
          <w:p>
            <w:pPr>
              <w:spacing w:line="240" w:lineRule="auto"/>
              <w:jc w:val="right"/>
            </w:pPr>
            <w:r>
              <w:rPr>
                <w:rFonts w:ascii="宋体" w:hAnsi="宋体" w:cs="宋体" w:eastAsia="宋体"/>
                <w:b w:val="false"/>
              </w:rPr>
              <w:t>6.70</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00700</w:t>
            </w:r>
          </w:p>
        </w:tc>
        <w:tc>
          <w:tcPr>
            <w:tcW/>
            <w:vAlign w:val="center"/>
          </w:tcPr>
          <w:p>
            <w:pPr>
              <w:spacing w:line="240" w:lineRule="auto"/>
              <w:jc w:val="left"/>
            </w:pPr>
            <w:r>
              <w:rPr>
                <w:rFonts w:ascii="宋体" w:hAnsi="宋体" w:cs="宋体" w:eastAsia="宋体"/>
                <w:b w:val="false"/>
              </w:rPr>
              <w:t>腾讯控股</w:t>
            </w:r>
          </w:p>
        </w:tc>
        <w:tc>
          <w:tcPr>
            <w:tcW/>
            <w:vAlign w:val="center"/>
          </w:tcPr>
          <w:p>
            <w:pPr>
              <w:spacing w:line="240" w:lineRule="auto"/>
              <w:jc w:val="right"/>
            </w:pPr>
            <w:r>
              <w:rPr>
                <w:rFonts w:ascii="宋体" w:hAnsi="宋体" w:cs="宋体" w:eastAsia="宋体"/>
                <w:b w:val="false"/>
              </w:rPr>
              <w:t>24,800</w:t>
            </w:r>
          </w:p>
        </w:tc>
        <w:tc>
          <w:tcPr>
            <w:tcW/>
            <w:vAlign w:val="center"/>
          </w:tcPr>
          <w:p>
            <w:pPr>
              <w:spacing w:line="240" w:lineRule="auto"/>
              <w:jc w:val="right"/>
            </w:pPr>
            <w:r>
              <w:rPr>
                <w:rFonts w:ascii="宋体" w:hAnsi="宋体" w:cs="宋体" w:eastAsia="宋体"/>
                <w:b w:val="false"/>
              </w:rPr>
              <w:t>15,011,582.35</w:t>
            </w:r>
          </w:p>
        </w:tc>
        <w:tc>
          <w:tcPr>
            <w:tcW/>
            <w:vAlign w:val="center"/>
          </w:tcPr>
          <w:p>
            <w:pPr>
              <w:spacing w:line="240" w:lineRule="auto"/>
              <w:jc w:val="right"/>
            </w:pPr>
            <w:r>
              <w:rPr>
                <w:rFonts w:ascii="宋体" w:hAnsi="宋体" w:cs="宋体" w:eastAsia="宋体"/>
                <w:b w:val="false"/>
              </w:rPr>
              <w:t>6.64</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002517</w:t>
            </w:r>
          </w:p>
        </w:tc>
        <w:tc>
          <w:tcPr>
            <w:tcW/>
            <w:vAlign w:val="center"/>
          </w:tcPr>
          <w:p>
            <w:pPr>
              <w:spacing w:line="240" w:lineRule="auto"/>
              <w:jc w:val="left"/>
            </w:pPr>
            <w:r>
              <w:rPr>
                <w:rFonts w:ascii="宋体" w:hAnsi="宋体" w:cs="宋体" w:eastAsia="宋体"/>
                <w:b w:val="false"/>
              </w:rPr>
              <w:t>恺英网络</w:t>
            </w:r>
          </w:p>
        </w:tc>
        <w:tc>
          <w:tcPr>
            <w:tcW/>
            <w:vAlign w:val="center"/>
          </w:tcPr>
          <w:p>
            <w:pPr>
              <w:spacing w:line="240" w:lineRule="auto"/>
              <w:jc w:val="right"/>
            </w:pPr>
            <w:r>
              <w:rPr>
                <w:rFonts w:ascii="宋体" w:hAnsi="宋体" w:cs="宋体" w:eastAsia="宋体"/>
                <w:b w:val="false"/>
              </w:rPr>
              <w:t>507,900</w:t>
            </w:r>
          </w:p>
        </w:tc>
        <w:tc>
          <w:tcPr>
            <w:tcW/>
            <w:vAlign w:val="center"/>
          </w:tcPr>
          <w:p>
            <w:pPr>
              <w:spacing w:line="240" w:lineRule="auto"/>
              <w:jc w:val="right"/>
            </w:pPr>
            <w:r>
              <w:rPr>
                <w:rFonts w:ascii="宋体" w:hAnsi="宋体" w:cs="宋体" w:eastAsia="宋体"/>
                <w:b w:val="false"/>
              </w:rPr>
              <w:t>14,261,832.00</w:t>
            </w:r>
          </w:p>
        </w:tc>
        <w:tc>
          <w:tcPr>
            <w:tcW/>
            <w:vAlign w:val="center"/>
          </w:tcPr>
          <w:p>
            <w:pPr>
              <w:spacing w:line="240" w:lineRule="auto"/>
              <w:jc w:val="right"/>
            </w:pPr>
            <w:r>
              <w:rPr>
                <w:rFonts w:ascii="宋体" w:hAnsi="宋体" w:cs="宋体" w:eastAsia="宋体"/>
                <w:b w:val="false"/>
              </w:rPr>
              <w:t>6.31</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06682</w:t>
            </w:r>
          </w:p>
        </w:tc>
        <w:tc>
          <w:tcPr>
            <w:tcW/>
            <w:vAlign w:val="center"/>
          </w:tcPr>
          <w:p>
            <w:pPr>
              <w:spacing w:line="240" w:lineRule="auto"/>
              <w:jc w:val="left"/>
            </w:pPr>
            <w:r>
              <w:rPr>
                <w:rFonts w:ascii="宋体" w:hAnsi="宋体" w:cs="宋体" w:eastAsia="宋体"/>
                <w:b w:val="false"/>
              </w:rPr>
              <w:t>第四范式</w:t>
            </w:r>
          </w:p>
        </w:tc>
        <w:tc>
          <w:tcPr>
            <w:tcW/>
            <w:vAlign w:val="center"/>
          </w:tcPr>
          <w:p>
            <w:pPr>
              <w:spacing w:line="240" w:lineRule="auto"/>
              <w:jc w:val="right"/>
            </w:pPr>
            <w:r>
              <w:rPr>
                <w:rFonts w:ascii="宋体" w:hAnsi="宋体" w:cs="宋体" w:eastAsia="宋体"/>
                <w:b w:val="false"/>
              </w:rPr>
              <w:t>207,200</w:t>
            </w:r>
          </w:p>
        </w:tc>
        <w:tc>
          <w:tcPr>
            <w:tcW/>
            <w:vAlign w:val="center"/>
          </w:tcPr>
          <w:p>
            <w:pPr>
              <w:spacing w:line="240" w:lineRule="auto"/>
              <w:jc w:val="right"/>
            </w:pPr>
            <w:r>
              <w:rPr>
                <w:rFonts w:ascii="宋体" w:hAnsi="宋体" w:cs="宋体" w:eastAsia="宋体"/>
                <w:b w:val="false"/>
              </w:rPr>
              <w:t>13,118,901.77</w:t>
            </w:r>
          </w:p>
        </w:tc>
        <w:tc>
          <w:tcPr>
            <w:tcW/>
            <w:vAlign w:val="center"/>
          </w:tcPr>
          <w:p>
            <w:pPr>
              <w:spacing w:line="240" w:lineRule="auto"/>
              <w:jc w:val="right"/>
            </w:pPr>
            <w:r>
              <w:rPr>
                <w:rFonts w:ascii="宋体" w:hAnsi="宋体" w:cs="宋体" w:eastAsia="宋体"/>
                <w:b w:val="false"/>
              </w:rPr>
              <w:t>5.80</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01357</w:t>
            </w:r>
          </w:p>
        </w:tc>
        <w:tc>
          <w:tcPr>
            <w:tcW/>
            <w:vAlign w:val="center"/>
          </w:tcPr>
          <w:p>
            <w:pPr>
              <w:spacing w:line="240" w:lineRule="auto"/>
              <w:jc w:val="left"/>
            </w:pPr>
            <w:r>
              <w:rPr>
                <w:rFonts w:ascii="宋体" w:hAnsi="宋体" w:cs="宋体" w:eastAsia="宋体"/>
                <w:b w:val="false"/>
              </w:rPr>
              <w:t>美图公司</w:t>
            </w:r>
          </w:p>
        </w:tc>
        <w:tc>
          <w:tcPr>
            <w:tcW/>
            <w:vAlign w:val="center"/>
          </w:tcPr>
          <w:p>
            <w:pPr>
              <w:spacing w:line="240" w:lineRule="auto"/>
              <w:jc w:val="right"/>
            </w:pPr>
            <w:r>
              <w:rPr>
                <w:rFonts w:ascii="宋体" w:hAnsi="宋体" w:cs="宋体" w:eastAsia="宋体"/>
                <w:b w:val="false"/>
              </w:rPr>
              <w:t>1,367,000</w:t>
            </w:r>
          </w:p>
        </w:tc>
        <w:tc>
          <w:tcPr>
            <w:tcW/>
            <w:vAlign w:val="center"/>
          </w:tcPr>
          <w:p>
            <w:pPr>
              <w:spacing w:line="240" w:lineRule="auto"/>
              <w:jc w:val="right"/>
            </w:pPr>
            <w:r>
              <w:rPr>
                <w:rFonts w:ascii="宋体" w:hAnsi="宋体" w:cs="宋体" w:eastAsia="宋体"/>
                <w:b w:val="false"/>
              </w:rPr>
              <w:t>11,569,364.73</w:t>
            </w:r>
          </w:p>
        </w:tc>
        <w:tc>
          <w:tcPr>
            <w:tcW/>
            <w:vAlign w:val="center"/>
          </w:tcPr>
          <w:p>
            <w:pPr>
              <w:spacing w:line="240" w:lineRule="auto"/>
              <w:jc w:val="right"/>
            </w:pPr>
            <w:r>
              <w:rPr>
                <w:rFonts w:ascii="宋体" w:hAnsi="宋体" w:cs="宋体" w:eastAsia="宋体"/>
                <w:b w:val="false"/>
              </w:rPr>
              <w:t>5.12</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300418</w:t>
            </w:r>
          </w:p>
        </w:tc>
        <w:tc>
          <w:tcPr>
            <w:tcW/>
            <w:vAlign w:val="center"/>
          </w:tcPr>
          <w:p>
            <w:pPr>
              <w:spacing w:line="240" w:lineRule="auto"/>
              <w:jc w:val="left"/>
            </w:pPr>
            <w:r>
              <w:rPr>
                <w:rFonts w:ascii="宋体" w:hAnsi="宋体" w:cs="宋体" w:eastAsia="宋体"/>
                <w:b w:val="false"/>
              </w:rPr>
              <w:t>昆仑万维</w:t>
            </w:r>
          </w:p>
        </w:tc>
        <w:tc>
          <w:tcPr>
            <w:tcW/>
            <w:vAlign w:val="center"/>
          </w:tcPr>
          <w:p>
            <w:pPr>
              <w:spacing w:line="240" w:lineRule="auto"/>
              <w:jc w:val="right"/>
            </w:pPr>
            <w:r>
              <w:rPr>
                <w:rFonts w:ascii="宋体" w:hAnsi="宋体" w:cs="宋体" w:eastAsia="宋体"/>
                <w:b w:val="false"/>
              </w:rPr>
              <w:t>225,900</w:t>
            </w:r>
          </w:p>
        </w:tc>
        <w:tc>
          <w:tcPr>
            <w:tcW/>
            <w:vAlign w:val="center"/>
          </w:tcPr>
          <w:p>
            <w:pPr>
              <w:spacing w:line="240" w:lineRule="auto"/>
              <w:jc w:val="right"/>
            </w:pPr>
            <w:r>
              <w:rPr>
                <w:rFonts w:ascii="宋体" w:hAnsi="宋体" w:cs="宋体" w:eastAsia="宋体"/>
                <w:b w:val="false"/>
              </w:rPr>
              <w:t>10,976,481.00</w:t>
            </w:r>
          </w:p>
        </w:tc>
        <w:tc>
          <w:tcPr>
            <w:tcW/>
            <w:vAlign w:val="center"/>
          </w:tcPr>
          <w:p>
            <w:pPr>
              <w:spacing w:line="240" w:lineRule="auto"/>
              <w:jc w:val="right"/>
            </w:pPr>
            <w:r>
              <w:rPr>
                <w:rFonts w:ascii="宋体" w:hAnsi="宋体" w:cs="宋体" w:eastAsia="宋体"/>
                <w:b w:val="false"/>
              </w:rPr>
              <w:t>4.85</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02469</w:t>
            </w:r>
          </w:p>
        </w:tc>
        <w:tc>
          <w:tcPr>
            <w:tcW/>
            <w:vAlign w:val="center"/>
          </w:tcPr>
          <w:p>
            <w:pPr>
              <w:spacing w:line="240" w:lineRule="auto"/>
              <w:jc w:val="left"/>
            </w:pPr>
            <w:r>
              <w:rPr>
                <w:rFonts w:ascii="宋体" w:hAnsi="宋体" w:cs="宋体" w:eastAsia="宋体"/>
                <w:b w:val="false"/>
              </w:rPr>
              <w:t>粉笔</w:t>
            </w:r>
          </w:p>
        </w:tc>
        <w:tc>
          <w:tcPr>
            <w:tcW/>
            <w:vAlign w:val="center"/>
          </w:tcPr>
          <w:p>
            <w:pPr>
              <w:spacing w:line="240" w:lineRule="auto"/>
              <w:jc w:val="right"/>
            </w:pPr>
            <w:r>
              <w:rPr>
                <w:rFonts w:ascii="宋体" w:hAnsi="宋体" w:cs="宋体" w:eastAsia="宋体"/>
                <w:b w:val="false"/>
              </w:rPr>
              <w:t>3,909,500</w:t>
            </w:r>
          </w:p>
        </w:tc>
        <w:tc>
          <w:tcPr>
            <w:tcW/>
            <w:vAlign w:val="center"/>
          </w:tcPr>
          <w:p>
            <w:pPr>
              <w:spacing w:line="240" w:lineRule="auto"/>
              <w:jc w:val="right"/>
            </w:pPr>
            <w:r>
              <w:rPr>
                <w:rFonts w:ascii="宋体" w:hAnsi="宋体" w:cs="宋体" w:eastAsia="宋体"/>
                <w:b w:val="false"/>
              </w:rPr>
              <w:t>10,350,956.40</w:t>
            </w:r>
          </w:p>
        </w:tc>
        <w:tc>
          <w:tcPr>
            <w:tcW/>
            <w:vAlign w:val="center"/>
          </w:tcPr>
          <w:p>
            <w:pPr>
              <w:spacing w:line="240" w:lineRule="auto"/>
              <w:jc w:val="right"/>
            </w:pPr>
            <w:r>
              <w:rPr>
                <w:rFonts w:ascii="宋体" w:hAnsi="宋体" w:cs="宋体" w:eastAsia="宋体"/>
                <w:b w:val="false"/>
              </w:rPr>
              <w:t>4.58</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603859</w:t>
            </w:r>
          </w:p>
        </w:tc>
        <w:tc>
          <w:tcPr>
            <w:tcW/>
            <w:vAlign w:val="center"/>
          </w:tcPr>
          <w:p>
            <w:pPr>
              <w:spacing w:line="240" w:lineRule="auto"/>
              <w:jc w:val="left"/>
            </w:pPr>
            <w:r>
              <w:rPr>
                <w:rFonts w:ascii="宋体" w:hAnsi="宋体" w:cs="宋体" w:eastAsia="宋体"/>
                <w:b w:val="false"/>
              </w:rPr>
              <w:t>能科科技</w:t>
            </w:r>
          </w:p>
        </w:tc>
        <w:tc>
          <w:tcPr>
            <w:tcW/>
            <w:vAlign w:val="center"/>
          </w:tcPr>
          <w:p>
            <w:pPr>
              <w:spacing w:line="240" w:lineRule="auto"/>
              <w:jc w:val="right"/>
            </w:pPr>
            <w:r>
              <w:rPr>
                <w:rFonts w:ascii="宋体" w:hAnsi="宋体" w:cs="宋体" w:eastAsia="宋体"/>
                <w:b w:val="false"/>
              </w:rPr>
              <w:t>205,800</w:t>
            </w:r>
          </w:p>
        </w:tc>
        <w:tc>
          <w:tcPr>
            <w:tcW/>
            <w:vAlign w:val="center"/>
          </w:tcPr>
          <w:p>
            <w:pPr>
              <w:spacing w:line="240" w:lineRule="auto"/>
              <w:jc w:val="right"/>
            </w:pPr>
            <w:r>
              <w:rPr>
                <w:rFonts w:ascii="宋体" w:hAnsi="宋体" w:cs="宋体" w:eastAsia="宋体"/>
                <w:b w:val="false"/>
              </w:rPr>
              <w:t>9,901,038.00</w:t>
            </w:r>
          </w:p>
        </w:tc>
        <w:tc>
          <w:tcPr>
            <w:tcW/>
            <w:vAlign w:val="center"/>
          </w:tcPr>
          <w:p>
            <w:pPr>
              <w:spacing w:line="240" w:lineRule="auto"/>
              <w:jc w:val="right"/>
            </w:pPr>
            <w:r>
              <w:rPr>
                <w:rFonts w:ascii="宋体" w:hAnsi="宋体" w:cs="宋体" w:eastAsia="宋体"/>
                <w:b w:val="false"/>
              </w:rPr>
              <w:t>4.38</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02556</w:t>
            </w:r>
          </w:p>
        </w:tc>
        <w:tc>
          <w:tcPr>
            <w:tcW/>
            <w:vAlign w:val="center"/>
          </w:tcPr>
          <w:p>
            <w:pPr>
              <w:spacing w:line="240" w:lineRule="auto"/>
              <w:jc w:val="left"/>
            </w:pPr>
            <w:r>
              <w:rPr>
                <w:rFonts w:ascii="宋体" w:hAnsi="宋体" w:cs="宋体" w:eastAsia="宋体"/>
                <w:b w:val="false"/>
              </w:rPr>
              <w:t>迈富时</w:t>
            </w:r>
          </w:p>
        </w:tc>
        <w:tc>
          <w:tcPr>
            <w:tcW/>
            <w:vAlign w:val="center"/>
          </w:tcPr>
          <w:p>
            <w:pPr>
              <w:spacing w:line="240" w:lineRule="auto"/>
              <w:jc w:val="right"/>
            </w:pPr>
            <w:r>
              <w:rPr>
                <w:rFonts w:ascii="宋体" w:hAnsi="宋体" w:cs="宋体" w:eastAsia="宋体"/>
                <w:b w:val="false"/>
              </w:rPr>
              <w:t>199,800</w:t>
            </w:r>
          </w:p>
        </w:tc>
        <w:tc>
          <w:tcPr>
            <w:tcW/>
            <w:vAlign w:val="center"/>
          </w:tcPr>
          <w:p>
            <w:pPr>
              <w:spacing w:line="240" w:lineRule="auto"/>
              <w:jc w:val="right"/>
            </w:pPr>
            <w:r>
              <w:rPr>
                <w:rFonts w:ascii="宋体" w:hAnsi="宋体" w:cs="宋体" w:eastAsia="宋体"/>
                <w:b w:val="false"/>
              </w:rPr>
              <w:t>9,558,462.37</w:t>
            </w:r>
          </w:p>
        </w:tc>
        <w:tc>
          <w:tcPr>
            <w:tcW/>
            <w:vAlign w:val="center"/>
          </w:tcPr>
          <w:p>
            <w:pPr>
              <w:spacing w:line="240" w:lineRule="auto"/>
              <w:jc w:val="right"/>
            </w:pPr>
            <w:r>
              <w:rPr>
                <w:rFonts w:ascii="宋体" w:hAnsi="宋体" w:cs="宋体" w:eastAsia="宋体"/>
                <w:b w:val="false"/>
              </w:rPr>
              <w:t>4.23</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12,791,822.94</w:t>
            </w:r>
          </w:p>
        </w:tc>
        <w:tc>
          <w:tcPr>
            <w:tcW/>
            <w:vAlign w:val="center"/>
          </w:tcPr>
          <w:p>
            <w:pPr>
              <w:spacing w:line="240" w:lineRule="auto"/>
              <w:jc w:val="right"/>
            </w:pPr>
            <w:r>
              <w:rPr>
                <w:rFonts w:ascii="宋体" w:hAnsi="宋体" w:cs="宋体" w:eastAsia="宋体"/>
                <w:b w:val="false"/>
              </w:rPr>
              <w:t>5.66</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12,791,822.94</w:t>
            </w:r>
          </w:p>
        </w:tc>
        <w:tc>
          <w:tcPr>
            <w:tcW/>
            <w:vAlign w:val="center"/>
          </w:tcPr>
          <w:p>
            <w:pPr>
              <w:spacing w:line="240" w:lineRule="auto"/>
              <w:jc w:val="right"/>
            </w:pPr>
            <w:r>
              <w:rPr>
                <w:rFonts w:ascii="宋体" w:hAnsi="宋体" w:cs="宋体" w:eastAsia="宋体"/>
                <w:b w:val="false"/>
              </w:rPr>
              <w:t>5.66</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019773</w:t>
            </w:r>
          </w:p>
        </w:tc>
        <w:tc>
          <w:tcPr>
            <w:tcW/>
            <w:vAlign w:val="center"/>
          </w:tcPr>
          <w:p>
            <w:pPr>
              <w:spacing w:line="240" w:lineRule="auto"/>
              <w:jc w:val="left"/>
            </w:pPr>
            <w:r>
              <w:rPr>
                <w:rFonts w:ascii="宋体" w:hAnsi="宋体" w:cs="宋体" w:eastAsia="宋体"/>
                <w:b w:val="false"/>
              </w:rPr>
              <w:t>25国债08</w:t>
            </w:r>
          </w:p>
        </w:tc>
        <w:tc>
          <w:tcPr>
            <w:tcW/>
            <w:vAlign w:val="center"/>
          </w:tcPr>
          <w:p>
            <w:pPr>
              <w:spacing w:line="240" w:lineRule="auto"/>
              <w:jc w:val="right"/>
            </w:pPr>
            <w:r>
              <w:rPr>
                <w:rFonts w:ascii="宋体" w:hAnsi="宋体" w:cs="宋体" w:eastAsia="宋体"/>
                <w:b w:val="false"/>
              </w:rPr>
              <w:t>74,000</w:t>
            </w:r>
          </w:p>
        </w:tc>
        <w:tc>
          <w:tcPr>
            <w:tcW/>
            <w:vAlign w:val="center"/>
          </w:tcPr>
          <w:p>
            <w:pPr>
              <w:spacing w:line="240" w:lineRule="auto"/>
              <w:jc w:val="right"/>
            </w:pPr>
            <w:r>
              <w:rPr>
                <w:rFonts w:ascii="宋体" w:hAnsi="宋体" w:cs="宋体" w:eastAsia="宋体"/>
                <w:b w:val="false"/>
              </w:rPr>
              <w:t>7,446,940.33</w:t>
            </w:r>
          </w:p>
        </w:tc>
        <w:tc>
          <w:tcPr>
            <w:tcW/>
            <w:vAlign w:val="center"/>
          </w:tcPr>
          <w:p>
            <w:pPr>
              <w:spacing w:line="240" w:lineRule="auto"/>
              <w:jc w:val="right"/>
            </w:pPr>
            <w:r>
              <w:rPr>
                <w:rFonts w:ascii="宋体" w:hAnsi="宋体" w:cs="宋体" w:eastAsia="宋体"/>
                <w:b w:val="false"/>
              </w:rPr>
              <w:t>3.29</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019766</w:t>
            </w:r>
          </w:p>
        </w:tc>
        <w:tc>
          <w:tcPr>
            <w:tcW/>
            <w:vAlign w:val="center"/>
          </w:tcPr>
          <w:p>
            <w:pPr>
              <w:spacing w:line="240" w:lineRule="auto"/>
              <w:jc w:val="left"/>
            </w:pPr>
            <w:r>
              <w:rPr>
                <w:rFonts w:ascii="宋体" w:hAnsi="宋体" w:cs="宋体" w:eastAsia="宋体"/>
                <w:b w:val="false"/>
              </w:rPr>
              <w:t>25国债01</w:t>
            </w:r>
          </w:p>
        </w:tc>
        <w:tc>
          <w:tcPr>
            <w:tcW/>
            <w:vAlign w:val="center"/>
          </w:tcPr>
          <w:p>
            <w:pPr>
              <w:spacing w:line="240" w:lineRule="auto"/>
              <w:jc w:val="right"/>
            </w:pPr>
            <w:r>
              <w:rPr>
                <w:rFonts w:ascii="宋体" w:hAnsi="宋体" w:cs="宋体" w:eastAsia="宋体"/>
                <w:b w:val="false"/>
              </w:rPr>
              <w:t>38,000</w:t>
            </w:r>
          </w:p>
        </w:tc>
        <w:tc>
          <w:tcPr>
            <w:tcW/>
            <w:vAlign w:val="center"/>
          </w:tcPr>
          <w:p>
            <w:pPr>
              <w:spacing w:line="240" w:lineRule="auto"/>
              <w:jc w:val="right"/>
            </w:pPr>
            <w:r>
              <w:rPr>
                <w:rFonts w:ascii="宋体" w:hAnsi="宋体" w:cs="宋体" w:eastAsia="宋体"/>
                <w:b w:val="false"/>
              </w:rPr>
              <w:t>3,829,378.69</w:t>
            </w:r>
          </w:p>
        </w:tc>
        <w:tc>
          <w:tcPr>
            <w:tcW/>
            <w:vAlign w:val="center"/>
          </w:tcPr>
          <w:p>
            <w:pPr>
              <w:spacing w:line="240" w:lineRule="auto"/>
              <w:jc w:val="right"/>
            </w:pPr>
            <w:r>
              <w:rPr>
                <w:rFonts w:ascii="宋体" w:hAnsi="宋体" w:cs="宋体" w:eastAsia="宋体"/>
                <w:b w:val="false"/>
              </w:rPr>
              <w:t>1.69</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019758</w:t>
            </w:r>
          </w:p>
        </w:tc>
        <w:tc>
          <w:tcPr>
            <w:tcW/>
            <w:vAlign w:val="center"/>
          </w:tcPr>
          <w:p>
            <w:pPr>
              <w:spacing w:line="240" w:lineRule="auto"/>
              <w:jc w:val="left"/>
            </w:pPr>
            <w:r>
              <w:rPr>
                <w:rFonts w:ascii="宋体" w:hAnsi="宋体" w:cs="宋体" w:eastAsia="宋体"/>
                <w:b w:val="false"/>
              </w:rPr>
              <w:t>24国债21</w:t>
            </w:r>
          </w:p>
        </w:tc>
        <w:tc>
          <w:tcPr>
            <w:tcW/>
            <w:vAlign w:val="center"/>
          </w:tcPr>
          <w:p>
            <w:pPr>
              <w:spacing w:line="240" w:lineRule="auto"/>
              <w:jc w:val="right"/>
            </w:pPr>
            <w:r>
              <w:rPr>
                <w:rFonts w:ascii="宋体" w:hAnsi="宋体" w:cs="宋体" w:eastAsia="宋体"/>
                <w:b w:val="false"/>
              </w:rPr>
              <w:t>12,000</w:t>
            </w:r>
          </w:p>
        </w:tc>
        <w:tc>
          <w:tcPr>
            <w:tcW/>
            <w:vAlign w:val="center"/>
          </w:tcPr>
          <w:p>
            <w:pPr>
              <w:spacing w:line="240" w:lineRule="auto"/>
              <w:jc w:val="right"/>
            </w:pPr>
            <w:r>
              <w:rPr>
                <w:rFonts w:ascii="宋体" w:hAnsi="宋体" w:cs="宋体" w:eastAsia="宋体"/>
                <w:b w:val="false"/>
              </w:rPr>
              <w:t>1,214,910.58</w:t>
            </w:r>
          </w:p>
        </w:tc>
        <w:tc>
          <w:tcPr>
            <w:tcW/>
            <w:vAlign w:val="center"/>
          </w:tcPr>
          <w:p>
            <w:pPr>
              <w:spacing w:line="240" w:lineRule="auto"/>
              <w:jc w:val="right"/>
            </w:pPr>
            <w:r>
              <w:rPr>
                <w:rFonts w:ascii="宋体" w:hAnsi="宋体" w:cs="宋体" w:eastAsia="宋体"/>
                <w:b w:val="false"/>
              </w:rPr>
              <w:t>0.54</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3,000</w:t>
            </w:r>
          </w:p>
        </w:tc>
        <w:tc>
          <w:tcPr>
            <w:tcW/>
            <w:vAlign w:val="center"/>
          </w:tcPr>
          <w:p>
            <w:pPr>
              <w:spacing w:line="240" w:lineRule="auto"/>
              <w:jc w:val="right"/>
            </w:pPr>
            <w:r>
              <w:rPr>
                <w:rFonts w:ascii="宋体" w:hAnsi="宋体" w:cs="宋体" w:eastAsia="宋体"/>
                <w:b w:val="false"/>
              </w:rPr>
              <w:t>300,593.34</w:t>
            </w:r>
          </w:p>
        </w:tc>
        <w:tc>
          <w:tcPr>
            <w:tcW/>
            <w:vAlign w:val="center"/>
          </w:tcPr>
          <w:p>
            <w:pPr>
              <w:spacing w:line="240" w:lineRule="auto"/>
              <w:jc w:val="right"/>
            </w:pPr>
            <w:r>
              <w:rPr>
                <w:rFonts w:ascii="宋体" w:hAnsi="宋体" w:cs="宋体" w:eastAsia="宋体"/>
                <w:b w:val="false"/>
              </w:rPr>
              <w:t>0.13</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57,105.90</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5,452,570.90</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5,509,676.80</w:t>
            </w:r>
          </w:p>
        </w:tc>
      </w:tr>
    </w:tbl>
    <w:p/>
    <w:p>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东方阿尔法瑞丰混合发起A</w:t>
            </w:r>
          </w:p>
        </w:tc>
        <w:tc>
          <w:tcPr>
            <w:tcW w:type="pct" w:w="1300"/>
            <w:vAlign w:val="center"/>
          </w:tcPr>
          <w:p>
            <w:pPr>
              <w:spacing w:line="240" w:lineRule="auto"/>
              <w:jc w:val="center"/>
            </w:pPr>
            <w:r>
              <w:rPr>
                <w:rFonts w:ascii="宋体" w:hAnsi="宋体" w:cs="宋体" w:eastAsia="宋体"/>
                <w:b w:val="false"/>
              </w:rPr>
              <w:t>东方阿尔法瑞丰混合发起C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16,099,218.71</w:t>
            </w:r>
          </w:p>
        </w:tc>
        <w:tc>
          <w:tcPr>
            <w:tcW w:type="pct" w:w="1300"/>
            <w:vAlign w:val="center"/>
          </w:tcPr>
          <w:p>
            <w:pPr>
              <w:spacing w:line="240" w:lineRule="auto"/>
              <w:jc w:val="right"/>
            </w:pPr>
            <w:r>
              <w:rPr>
                <w:rFonts w:ascii="宋体" w:hAnsi="宋体" w:cs="宋体" w:eastAsia="宋体"/>
                <w:b w:val="false"/>
              </w:rPr>
              <w:t>37,336,892.10</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46,681,788.62</w:t>
            </w:r>
          </w:p>
        </w:tc>
        <w:tc>
          <w:tcPr>
            <w:tcW w:type="pct" w:w="1300"/>
            <w:vAlign w:val="center"/>
          </w:tcPr>
          <w:p>
            <w:pPr>
              <w:spacing w:line="240" w:lineRule="auto"/>
              <w:jc w:val="right"/>
            </w:pPr>
            <w:r>
              <w:rPr>
                <w:rFonts w:ascii="宋体" w:hAnsi="宋体" w:cs="宋体" w:eastAsia="宋体"/>
                <w:b w:val="false"/>
              </w:rPr>
              <w:t>382,102,967.07</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6,037,347.45</w:t>
            </w:r>
          </w:p>
        </w:tc>
        <w:tc>
          <w:tcPr>
            <w:tcW w:type="pct" w:w="1300"/>
            <w:vAlign w:val="center"/>
          </w:tcPr>
          <w:p>
            <w:pPr>
              <w:spacing w:line="240" w:lineRule="auto"/>
              <w:jc w:val="right"/>
            </w:pPr>
            <w:r>
              <w:rPr>
                <w:rFonts w:ascii="宋体" w:hAnsi="宋体" w:cs="宋体" w:eastAsia="宋体"/>
                <w:b w:val="false"/>
              </w:rPr>
              <w:t>283,233,781.28</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56,743,659.88</w:t>
            </w:r>
          </w:p>
        </w:tc>
        <w:tc>
          <w:tcPr>
            <w:tcW w:type="pct" w:w="1300"/>
            <w:vAlign w:val="center"/>
          </w:tcPr>
          <w:p>
            <w:pPr>
              <w:spacing w:line="240" w:lineRule="auto"/>
              <w:jc w:val="right"/>
            </w:pPr>
            <w:r>
              <w:rPr>
                <w:rFonts w:ascii="宋体" w:hAnsi="宋体" w:cs="宋体" w:eastAsia="宋体"/>
                <w:b w:val="false"/>
              </w:rPr>
              <w:t>136,206,077.89</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3077"/>
            <w:vAlign w:val="center"/>
          </w:tcPr>
          <w:p>
            <w:pPr>
              <w:spacing w:line="240" w:lineRule="auto"/>
              <w:jc w:val="center"/>
            </w:pPr>
          </w:p>
        </w:tc>
        <w:tc>
          <w:tcPr>
            <w:tcW w:type="pct" w:w="950"/>
            <w:vAlign w:val="center"/>
          </w:tcPr>
          <w:p>
            <w:pPr>
              <w:spacing w:line="240" w:lineRule="auto"/>
              <w:jc w:val="center"/>
            </w:pPr>
            <w:r>
              <w:rPr>
                <w:rFonts w:ascii="宋体" w:hAnsi="宋体" w:cs="宋体" w:eastAsia="宋体"/>
                <w:b w:val="false"/>
              </w:rPr>
              <w:t>东方阿尔法瑞丰混合发起A</w:t>
            </w:r>
          </w:p>
        </w:tc>
        <w:tc>
          <w:tcPr>
            <w:tcW w:type="pct" w:w="950"/>
            <w:vAlign w:val="center"/>
          </w:tcPr>
          <w:p>
            <w:pPr>
              <w:spacing w:line="240" w:lineRule="auto"/>
              <w:jc w:val="center"/>
            </w:pPr>
            <w:r>
              <w:rPr>
                <w:rFonts w:ascii="宋体" w:hAnsi="宋体" w:cs="宋体" w:eastAsia="宋体"/>
                <w:b w:val="false"/>
              </w:rPr>
              <w:t>东方阿尔法瑞丰混合发起C</w:t>
            </w:r>
          </w:p>
        </w:tc>
      </w:tr>
      <w:tr>
        <w:tc>
          <w:tcPr>
            <w:tcW w:type="pct" w:w="3077"/>
            <w:vAlign w:val="center"/>
          </w:tcPr>
          <w:p>
            <w:pPr>
              <w:spacing w:line="240" w:lineRule="auto"/>
              <w:jc w:val="left"/>
            </w:pPr>
            <w:r>
              <w:rPr>
                <w:rFonts w:ascii="宋体" w:hAnsi="宋体" w:cs="宋体" w:eastAsia="宋体"/>
                <w:b w:val="false"/>
              </w:rPr>
              <w:t>报告期期初管理人持有的本基金份额</w:t>
            </w:r>
          </w:p>
        </w:tc>
        <w:tc>
          <w:tcPr>
            <w:tcW w:type="pct" w:w="950"/>
            <w:vAlign w:val="center"/>
          </w:tcPr>
          <w:p>
            <w:pPr>
              <w:spacing w:line="240" w:lineRule="auto"/>
              <w:jc w:val="right"/>
            </w:pPr>
            <w:r>
              <w:rPr>
                <w:rFonts w:ascii="宋体" w:hAnsi="宋体" w:cs="宋体" w:eastAsia="宋体"/>
                <w:b w:val="false"/>
              </w:rPr>
              <w:t>10,000,450.04</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报告期期间买入/申购总份额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报告期期间卖出/赎回总份额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报告期期末管理人持有的本基金份额</w:t>
            </w:r>
          </w:p>
        </w:tc>
        <w:tc>
          <w:tcPr>
            <w:tcW w:type="pct" w:w="950"/>
            <w:vAlign w:val="center"/>
          </w:tcPr>
          <w:p>
            <w:pPr>
              <w:spacing w:line="240" w:lineRule="auto"/>
              <w:jc w:val="right"/>
            </w:pPr>
            <w:r>
              <w:rPr>
                <w:rFonts w:ascii="宋体" w:hAnsi="宋体" w:cs="宋体" w:eastAsia="宋体"/>
                <w:b w:val="false"/>
              </w:rPr>
              <w:t>10,000,450.04</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报告期期末持有的本基金份额占基金总份额比例（%）</w:t>
            </w:r>
          </w:p>
        </w:tc>
        <w:tc>
          <w:tcPr>
            <w:tcW w:type="pct" w:w="950"/>
            <w:vAlign w:val="center"/>
          </w:tcPr>
          <w:p>
            <w:pPr>
              <w:spacing w:line="240" w:lineRule="auto"/>
              <w:jc w:val="right"/>
            </w:pPr>
            <w:r>
              <w:rPr>
                <w:rFonts w:ascii="宋体" w:hAnsi="宋体" w:cs="宋体" w:eastAsia="宋体"/>
                <w:b w:val="false"/>
              </w:rPr>
              <w:t>5.18</w:t>
            </w:r>
          </w:p>
        </w:tc>
        <w:tc>
          <w:tcPr>
            <w:tcW w:type="pct" w:w="950"/>
            <w:vAlign w:val="center"/>
          </w:tcPr>
          <w:p>
            <w:pPr>
              <w:spacing w:line="240" w:lineRule="auto"/>
              <w:jc w:val="right"/>
            </w:pPr>
            <w:r>
              <w:rPr>
                <w:rFonts w:ascii="宋体" w:hAnsi="宋体" w:cs="宋体" w:eastAsia="宋体"/>
                <w:b w:val="false"/>
              </w:rPr>
              <w:t>-</w:t>
            </w:r>
          </w:p>
        </w:tc>
      </w:tr>
    </w:tbl>
    <w:p>
      <w:r>
        <w:rPr>
          <w:rFonts w:ascii="宋体" w:hAnsi="宋体" w:cs="宋体" w:eastAsia="宋体"/>
          <w:b w:val="false"/>
        </w:rPr>
        <w:t>注：报告期期末持有的本基金份额占基金总份额比例的分母采用期末基金份额总额，不区分下属不同类别基金。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1538"/>
            <w:vAlign w:val="center"/>
          </w:tcPr>
          <w:tcPr>
            <w:shd w:fill="d9d9d9"/>
          </w:tcPr>
          <w:p>
            <w:pPr>
              <w:spacing w:line="240" w:lineRule="auto"/>
              <w:jc w:val="center"/>
            </w:pPr>
            <w:r>
              <w:rPr>
                <w:rFonts w:ascii="宋体" w:hAnsi="宋体" w:cs="宋体" w:eastAsia="宋体"/>
                <w:b w:val="false"/>
              </w:rPr>
              <w:t>项目</w:t>
            </w:r>
          </w:p>
        </w:tc>
        <w:tc>
          <w:tcPr>
            <w:tcW w:type="pct" w:w="692"/>
            <w:vAlign w:val="center"/>
          </w:tcPr>
          <w:tcPr>
            <w:shd w:fill="d9d9d9"/>
          </w:tcPr>
          <w:p>
            <w:pPr>
              <w:spacing w:line="240" w:lineRule="auto"/>
              <w:jc w:val="center"/>
            </w:pPr>
            <w:r>
              <w:rPr>
                <w:rFonts w:ascii="宋体" w:hAnsi="宋体" w:cs="宋体" w:eastAsia="宋体"/>
                <w:b w:val="false"/>
              </w:rPr>
              <w:t>持有份额总数</w:t>
            </w:r>
          </w:p>
        </w:tc>
        <w:tc>
          <w:tcPr>
            <w:tcW w:type="pct" w:w="692"/>
            <w:vAlign w:val="center"/>
          </w:tcPr>
          <w:tcPr>
            <w:shd w:fill="d9d9d9"/>
          </w:tcPr>
          <w:p>
            <w:pPr>
              <w:spacing w:line="240" w:lineRule="auto"/>
              <w:jc w:val="center"/>
            </w:pPr>
            <w:r>
              <w:rPr>
                <w:rFonts w:ascii="宋体" w:hAnsi="宋体" w:cs="宋体" w:eastAsia="宋体"/>
                <w:b w:val="false"/>
              </w:rPr>
              <w:t>持有份额占基金总份额比例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发起份额总数</w:t>
            </w:r>
          </w:p>
        </w:tc>
        <w:tc>
          <w:tcPr>
            <w:tcW w:type="pct" w:w="692"/>
            <w:vAlign w:val="center"/>
          </w:tcPr>
          <w:tcPr>
            <w:shd w:fill="d9d9d9"/>
          </w:tcPr>
          <w:p>
            <w:pPr>
              <w:spacing w:line="240" w:lineRule="auto"/>
              <w:jc w:val="center"/>
            </w:pPr>
            <w:r>
              <w:rPr>
                <w:rFonts w:ascii="宋体" w:hAnsi="宋体" w:cs="宋体" w:eastAsia="宋体"/>
                <w:b w:val="false"/>
              </w:rPr>
              <w:t>发起份额占基金总份额比例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发起份额承诺持有期限</w:t>
            </w:r>
          </w:p>
        </w:tc>
      </w:tr>
      <w:tr>
        <w:tc>
          <w:tcPr>
            <w:tcW/>
            <w:vAlign w:val="center"/>
          </w:tcPr>
          <w:p>
            <w:pPr>
              <w:spacing w:line="240" w:lineRule="auto"/>
              <w:jc w:val="left"/>
            </w:pPr>
            <w:r>
              <w:rPr>
                <w:rFonts w:ascii="宋体" w:hAnsi="宋体" w:cs="宋体" w:eastAsia="宋体"/>
                <w:b w:val="false"/>
              </w:rPr>
              <w:t>基金管理人固有资金</w:t>
            </w:r>
          </w:p>
        </w:tc>
        <w:tc>
          <w:tcPr>
            <w:tcW/>
            <w:vAlign w:val="center"/>
          </w:tcPr>
          <w:p>
            <w:pPr>
              <w:spacing w:line="240" w:lineRule="auto"/>
              <w:jc w:val="right"/>
            </w:pPr>
            <w:r>
              <w:rPr>
                <w:rFonts w:ascii="宋体" w:hAnsi="宋体" w:cs="宋体" w:eastAsia="宋体"/>
                <w:b w:val="false"/>
              </w:rPr>
              <w:t>10,000,450.04</w:t>
            </w:r>
          </w:p>
        </w:tc>
        <w:tc>
          <w:tcPr>
            <w:tcW/>
            <w:vAlign w:val="center"/>
          </w:tcPr>
          <w:p>
            <w:pPr>
              <w:spacing w:line="240" w:lineRule="auto"/>
              <w:jc w:val="right"/>
            </w:pPr>
            <w:r>
              <w:rPr>
                <w:rFonts w:ascii="宋体" w:hAnsi="宋体" w:cs="宋体" w:eastAsia="宋体"/>
                <w:b w:val="false"/>
              </w:rPr>
              <w:t>5.18%</w:t>
            </w:r>
          </w:p>
        </w:tc>
        <w:tc>
          <w:tcPr>
            <w:tcW/>
            <w:vAlign w:val="center"/>
          </w:tcPr>
          <w:p>
            <w:pPr>
              <w:spacing w:line="240" w:lineRule="auto"/>
              <w:jc w:val="right"/>
            </w:pPr>
            <w:r>
              <w:rPr>
                <w:rFonts w:ascii="宋体" w:hAnsi="宋体" w:cs="宋体" w:eastAsia="宋体"/>
                <w:b w:val="false"/>
              </w:rPr>
              <w:t>10,000,450.04</w:t>
            </w:r>
          </w:p>
        </w:tc>
        <w:tc>
          <w:tcPr>
            <w:tcW/>
            <w:vAlign w:val="center"/>
          </w:tcPr>
          <w:p>
            <w:pPr>
              <w:spacing w:line="240" w:lineRule="auto"/>
              <w:jc w:val="right"/>
            </w:pPr>
            <w:r>
              <w:rPr>
                <w:rFonts w:ascii="宋体" w:hAnsi="宋体" w:cs="宋体" w:eastAsia="宋体"/>
                <w:b w:val="false"/>
              </w:rPr>
              <w:t>5.18%</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基金管理人高级管理人员</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基金经理等人员</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基金管理人股东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10,000,450.04</w:t>
            </w:r>
          </w:p>
        </w:tc>
        <w:tc>
          <w:tcPr>
            <w:tcW/>
            <w:vAlign w:val="center"/>
          </w:tcPr>
          <w:p>
            <w:pPr>
              <w:spacing w:line="240" w:lineRule="auto"/>
              <w:jc w:val="right"/>
            </w:pPr>
            <w:r>
              <w:rPr>
                <w:rFonts w:ascii="宋体" w:hAnsi="宋体" w:cs="宋体" w:eastAsia="宋体"/>
                <w:b w:val="false"/>
              </w:rPr>
              <w:t>5.18%</w:t>
            </w:r>
          </w:p>
        </w:tc>
        <w:tc>
          <w:tcPr>
            <w:tcW/>
            <w:vAlign w:val="center"/>
          </w:tcPr>
          <w:p>
            <w:pPr>
              <w:spacing w:line="240" w:lineRule="auto"/>
              <w:jc w:val="right"/>
            </w:pPr>
            <w:r>
              <w:rPr>
                <w:rFonts w:ascii="宋体" w:hAnsi="宋体" w:cs="宋体" w:eastAsia="宋体"/>
                <w:b w:val="false"/>
              </w:rPr>
              <w:t>10,000,450.04</w:t>
            </w:r>
          </w:p>
        </w:tc>
        <w:tc>
          <w:tcPr>
            <w:tcW/>
            <w:vAlign w:val="center"/>
          </w:tcPr>
          <w:p>
            <w:pPr>
              <w:spacing w:line="240" w:lineRule="auto"/>
              <w:jc w:val="right"/>
            </w:pPr>
            <w:r>
              <w:rPr>
                <w:rFonts w:ascii="宋体" w:hAnsi="宋体" w:cs="宋体" w:eastAsia="宋体"/>
                <w:b w:val="false"/>
              </w:rPr>
              <w:t>5.18%</w:t>
            </w:r>
          </w:p>
        </w:tc>
        <w:tc>
          <w:tcPr>
            <w:tcW/>
            <w:vAlign w:val="center"/>
          </w:tcPr>
          <w:p>
            <w:pPr>
              <w:spacing w:line="240" w:lineRule="auto"/>
              <w:jc w:val="left"/>
            </w:pPr>
            <w:r>
              <w:rPr>
                <w:rFonts w:ascii="宋体" w:hAnsi="宋体" w:cs="宋体" w:eastAsia="宋体"/>
                <w:b w:val="false"/>
              </w:rPr>
              <w:t>-</w:t>
            </w:r>
          </w:p>
        </w:tc>
      </w:tr>
    </w:tbl>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机构</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2025年07月14日-2025年07月17日</w:t>
            </w:r>
          </w:p>
        </w:tc>
        <w:tc>
          <w:tcPr>
            <w:tcW/>
            <w:vAlign w:val="center"/>
          </w:tcPr>
          <w:p>
            <w:pPr>
              <w:spacing w:line="240" w:lineRule="auto"/>
              <w:jc w:val="right"/>
            </w:pPr>
            <w:r>
              <w:rPr>
                <w:rFonts w:ascii="宋体" w:hAnsi="宋体" w:cs="宋体" w:eastAsia="宋体"/>
                <w:b w:val="false"/>
              </w:rPr>
              <w:t>10,000,450.04</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10,000,450.04</w:t>
            </w:r>
          </w:p>
        </w:tc>
        <w:tc>
          <w:tcPr>
            <w:tcW/>
            <w:vAlign w:val="center"/>
          </w:tcPr>
          <w:p>
            <w:pPr>
              <w:spacing w:line="240" w:lineRule="auto"/>
              <w:jc w:val="right"/>
            </w:pPr>
            <w:r>
              <w:rPr>
                <w:rFonts w:ascii="宋体" w:hAnsi="宋体" w:cs="宋体" w:eastAsia="宋体"/>
                <w:b w:val="false"/>
              </w:rPr>
              <w:t>5.18%</w:t>
            </w:r>
          </w:p>
        </w:tc>
      </w:tr>
      <w:tr>
        <w:tc>
          <w:tcPr>
            <w:tcW/>
            <w:hMerge w:val="restart"/>
            <w:vAlign w:val="center"/>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vAlign w:val="center"/>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1、中国证券监督管理委员会批准的东方阿尔法瑞丰混合型发起式证券投资基金设立的文件；</w:t>
        <w:cr/>
      </w:r>
      <w:r>
        <w:rPr>
          <w:rFonts w:ascii="宋体" w:hAnsi="宋体" w:cs="宋体" w:eastAsia="宋体"/>
          <w:b w:val="false"/>
        </w:rPr>
        <w:t xml:space="preserve">    2、《东方阿尔法瑞丰混合型发起式证券投资基金基金合同》；</w:t>
        <w:cr/>
      </w:r>
      <w:r>
        <w:rPr>
          <w:rFonts w:ascii="宋体" w:hAnsi="宋体" w:cs="宋体" w:eastAsia="宋体"/>
          <w:b w:val="false"/>
        </w:rPr>
        <w:t xml:space="preserve">    3、《东方阿尔法瑞丰混合型发起式证券投资基金托管协议》；</w:t>
        <w:cr/>
      </w:r>
      <w:r>
        <w:rPr>
          <w:rFonts w:ascii="宋体" w:hAnsi="宋体" w:cs="宋体" w:eastAsia="宋体"/>
          <w:b w:val="false"/>
        </w:rPr>
        <w:t xml:space="preserve">    4、《东方阿尔法瑞丰混合型发起式证券投资基金招募说明书》（含更新）；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二〇二五年十月二十五日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东方阿尔法瑞丰混合型发起式证券投资基金2025年第3季度报告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1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1">
    <w:name w:val="toc 2"/>
    <w:basedOn w:val="a"/>
    <w:next w:val="a"/>
    <w:autoRedefine/>
    <w:uiPriority w:val="39"/>
    <w:unhideWhenUsed/>
    <w:rsid w:val="002E045B"/>
    <w:pPr>
      <w:spacing w:line="240" w:lineRule="auto"/>
      <w:ind w:left="210"/>
      <w:jc w:val="left"/>
    </w:pPr>
    <w:rPr>
      <w:smallCaps/>
      <w:szCs w:val="20"/>
    </w:rPr>
  </w:style>
  <w:style w:type="paragraph" w:styleId="31">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41">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