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9080"/>
        </w:tabs>
        <w:spacing w:before="72" w:after="120"/>
        <w:jc w:val="center"/>
        <w:rPr>
          <w:rFonts w:ascii="宋体" w:hAnsi="宋体"/>
          <w:b/>
          <w:bCs/>
          <w:sz w:val="24"/>
        </w:rPr>
      </w:pPr>
      <w:bookmarkStart w:id="1" w:name="_GoBack"/>
      <w:bookmarkEnd w:id="1"/>
    </w:p>
    <w:p>
      <w:pPr>
        <w:tabs>
          <w:tab w:val="right" w:leader="dot" w:pos="9080"/>
        </w:tabs>
        <w:spacing w:before="72" w:after="120"/>
        <w:jc w:val="center"/>
        <w:rPr>
          <w:rFonts w:ascii="宋体" w:hAnsi="宋体"/>
          <w:b/>
          <w:bCs/>
          <w:sz w:val="24"/>
        </w:rPr>
      </w:pP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东方阿尔法兴科一年持有期混合型证券投资基金</w:t>
      </w: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2025年第3季度报告</w:t>
      </w:r>
    </w:p>
    <w:p>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2025年09月30日</w:t>
      </w: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兴业银行股份有限公司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2025年10月25日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基金托管人兴业银行股份有限公司根据本基金合同规定，于2025年10月24日复核了本报告中的财务指标、净值表现和投资组合报告等内容，保证复核内容不存在虚假记载、误导性陈述或者重大遗漏。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本报告期自2025年07月01日起至2025年09月30日止。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东方阿尔法兴科一年持有混合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契约型开放式。每个开放日开放申购，每笔申购/转换转入申请所得基金份额持有满一年后每个开放日开放赎回/转换转出。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75,596,750.07份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本基金在有效控制组合风险并保持良好流动性的前提下，通过深入研究、优选个股、主动的投资管理方式力求实现组合资产的稳健增值。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本基金根据对宏观经济周期的分析研究，结合基本面、市场面、政策面等多种因素的综合考量，研判所处经济周期的位置及未来发展方向，以确定组合中股票、债券、货币市场工具及其他金融工具的比例。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本基金可通过内地与香港股票市场交易互联互通机制投资于香港股票市场，不使用合格境内机构投资者(QDII)境外投资额度进行境外投资。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本基金在深入研究的基础上，通过定性分析和定量分析相结合的方式，可选择投资价值高的存托凭证进行投资。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本基金以套期保值为目的，在风险可控的前提下，参与股指期货的投资。本基金还将运用股指期货来管理特殊情况下的流动性风险，如预期大额申购赎回、大量分红等。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东方阿尔法兴科一年持有混合A</w:t>
            </w:r>
          </w:p>
        </w:tc>
        <w:tc>
          <w:tcPr>
            <w:tcW w:w="1500" w:type="pct"/>
            <w:vAlign w:val="center"/>
          </w:tcPr>
          <w:p>
            <w:pPr>
              <w:spacing w:line="240" w:lineRule="auto"/>
              <w:jc w:val="left"/>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015900</w:t>
            </w:r>
          </w:p>
        </w:tc>
        <w:tc>
          <w:tcPr>
            <w:tcW w:w="1500" w:type="pct"/>
            <w:vAlign w:val="center"/>
          </w:tcPr>
          <w:p>
            <w:pPr>
              <w:spacing w:line="240" w:lineRule="auto"/>
              <w:jc w:val="left"/>
            </w:pPr>
            <w:r>
              <w:rPr>
                <w:rFonts w:ascii="宋体" w:hAnsi="宋体" w:eastAsia="宋体" w:cs="宋体"/>
                <w:b w:val="0"/>
              </w:rPr>
              <w:t>015901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61,429,670.10份</w:t>
            </w:r>
          </w:p>
        </w:tc>
        <w:tc>
          <w:tcPr>
            <w:tcW w:w="1500" w:type="pct"/>
            <w:vAlign w:val="center"/>
          </w:tcPr>
          <w:p>
            <w:pPr>
              <w:spacing w:line="240" w:lineRule="auto"/>
              <w:jc w:val="left"/>
            </w:pPr>
            <w:r>
              <w:rPr>
                <w:rFonts w:ascii="宋体" w:hAnsi="宋体" w:eastAsia="宋体" w:cs="宋体"/>
                <w:b w:val="0"/>
              </w:rPr>
              <w:t>14,167,079.97份</w:t>
            </w:r>
          </w:p>
        </w:tc>
      </w:tr>
    </w:tbl>
    <w:p>
      <w:r>
        <w:rPr>
          <w:rFonts w:ascii="宋体" w:hAnsi="宋体" w:eastAsia="宋体" w:cs="宋体"/>
          <w:b w:val="0"/>
        </w:rPr>
        <w:t>注：本基金对每份基金份额设置一年的最短持有期限。</w:t>
      </w:r>
      <w:r>
        <w:rPr>
          <w:rFonts w:ascii="宋体" w:hAnsi="宋体" w:eastAsia="宋体" w:cs="宋体"/>
          <w:b w:val="0"/>
        </w:rPr>
        <w:cr/>
      </w:r>
      <w:r>
        <w:rPr>
          <w:rFonts w:ascii="宋体" w:hAnsi="宋体" w:eastAsia="宋体" w:cs="宋体"/>
          <w:b w:val="0"/>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eastAsia="宋体" w:cs="宋体"/>
          <w:b w:val="0"/>
        </w:rPr>
        <w:cr/>
      </w:r>
      <w:r>
        <w:rPr>
          <w:rFonts w:ascii="宋体" w:hAnsi="宋体" w:eastAsia="宋体" w:cs="宋体"/>
          <w:b w:val="0"/>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报告期（2025年07月01日-2025年09月30日）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东方阿尔法兴科一年持有混合A</w:t>
            </w:r>
          </w:p>
        </w:tc>
        <w:tc>
          <w:tcPr>
            <w:tcW w:w="1500" w:type="pct"/>
            <w:shd w:val="clear" w:color="auto" w:fill="D9D9D9"/>
            <w:vAlign w:val="center"/>
          </w:tcPr>
          <w:p>
            <w:pPr>
              <w:spacing w:line="240" w:lineRule="auto"/>
              <w:jc w:val="center"/>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-2,901,749.22</w:t>
            </w:r>
          </w:p>
        </w:tc>
        <w:tc>
          <w:tcPr>
            <w:tcW w:w="1500" w:type="pct"/>
            <w:vAlign w:val="center"/>
          </w:tcPr>
          <w:p>
            <w:pPr>
              <w:spacing w:line="240" w:lineRule="auto"/>
              <w:jc w:val="right"/>
            </w:pPr>
            <w:r>
              <w:rPr>
                <w:rFonts w:ascii="宋体" w:hAnsi="宋体" w:eastAsia="宋体" w:cs="宋体"/>
                <w:b w:val="0"/>
              </w:rPr>
              <w:t>-927,019.38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5,409,982.86</w:t>
            </w:r>
          </w:p>
        </w:tc>
        <w:tc>
          <w:tcPr>
            <w:tcW w:w="1500" w:type="pct"/>
            <w:vAlign w:val="center"/>
          </w:tcPr>
          <w:p>
            <w:pPr>
              <w:spacing w:line="240" w:lineRule="auto"/>
              <w:jc w:val="right"/>
            </w:pPr>
            <w:r>
              <w:rPr>
                <w:rFonts w:ascii="宋体" w:hAnsi="宋体" w:eastAsia="宋体" w:cs="宋体"/>
                <w:b w:val="0"/>
              </w:rPr>
              <w:t>1,413,991.92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0.0618</w:t>
            </w:r>
          </w:p>
        </w:tc>
        <w:tc>
          <w:tcPr>
            <w:tcW w:w="1500" w:type="pct"/>
            <w:vAlign w:val="center"/>
          </w:tcPr>
          <w:p>
            <w:pPr>
              <w:spacing w:line="240" w:lineRule="auto"/>
              <w:jc w:val="right"/>
            </w:pPr>
            <w:r>
              <w:rPr>
                <w:rFonts w:ascii="宋体" w:hAnsi="宋体" w:eastAsia="宋体" w:cs="宋体"/>
                <w:b w:val="0"/>
              </w:rPr>
              <w:t>0.0653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57,058,930.20</w:t>
            </w:r>
          </w:p>
        </w:tc>
        <w:tc>
          <w:tcPr>
            <w:tcW w:w="1500" w:type="pct"/>
            <w:vAlign w:val="center"/>
          </w:tcPr>
          <w:p>
            <w:pPr>
              <w:spacing w:line="240" w:lineRule="auto"/>
              <w:jc w:val="right"/>
            </w:pPr>
            <w:r>
              <w:rPr>
                <w:rFonts w:ascii="宋体" w:hAnsi="宋体" w:eastAsia="宋体" w:cs="宋体"/>
                <w:b w:val="0"/>
              </w:rPr>
              <w:t>12,922,710.87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0.9288</w:t>
            </w:r>
          </w:p>
        </w:tc>
        <w:tc>
          <w:tcPr>
            <w:tcW w:w="1500" w:type="pct"/>
            <w:vAlign w:val="center"/>
          </w:tcPr>
          <w:p>
            <w:pPr>
              <w:spacing w:line="240" w:lineRule="auto"/>
              <w:jc w:val="right"/>
            </w:pPr>
            <w:r>
              <w:rPr>
                <w:rFonts w:ascii="宋体" w:hAnsi="宋体" w:eastAsia="宋体" w:cs="宋体"/>
                <w:b w:val="0"/>
              </w:rPr>
              <w:t>0.9122</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东方阿尔法兴科一年持有混合A净值表现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8.35%</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13.84%</w:t>
            </w:r>
          </w:p>
        </w:tc>
        <w:tc>
          <w:tcPr>
            <w:tcW w:w="0" w:type="dxa"/>
            <w:vAlign w:val="center"/>
          </w:tcPr>
          <w:p>
            <w:pPr>
              <w:spacing w:line="240" w:lineRule="auto"/>
              <w:jc w:val="right"/>
            </w:pPr>
            <w:r>
              <w:rPr>
                <w:rFonts w:ascii="宋体" w:hAnsi="宋体" w:eastAsia="宋体" w:cs="宋体"/>
                <w:b w:val="0"/>
              </w:rPr>
              <w:t>0.65%</w:t>
            </w:r>
          </w:p>
        </w:tc>
        <w:tc>
          <w:tcPr>
            <w:tcW w:w="0" w:type="dxa"/>
            <w:vAlign w:val="center"/>
          </w:tcPr>
          <w:p>
            <w:pPr>
              <w:spacing w:line="240" w:lineRule="auto"/>
              <w:jc w:val="right"/>
            </w:pPr>
            <w:r>
              <w:rPr>
                <w:rFonts w:ascii="宋体" w:hAnsi="宋体" w:eastAsia="宋体" w:cs="宋体"/>
                <w:b w:val="0"/>
              </w:rPr>
              <w:t>-5.49%</w:t>
            </w:r>
          </w:p>
        </w:tc>
        <w:tc>
          <w:tcPr>
            <w:tcW w:w="0" w:type="dxa"/>
            <w:vAlign w:val="center"/>
          </w:tcPr>
          <w:p>
            <w:pPr>
              <w:spacing w:line="240" w:lineRule="auto"/>
              <w:jc w:val="right"/>
            </w:pPr>
            <w:r>
              <w:rPr>
                <w:rFonts w:ascii="宋体" w:hAnsi="宋体" w:eastAsia="宋体" w:cs="宋体"/>
                <w:b w:val="0"/>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4.08%</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15.90%</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-11.82%</w:t>
            </w:r>
          </w:p>
        </w:tc>
        <w:tc>
          <w:tcPr>
            <w:tcW w:w="0" w:type="dxa"/>
            <w:vAlign w:val="center"/>
          </w:tcPr>
          <w:p>
            <w:pPr>
              <w:spacing w:line="240" w:lineRule="auto"/>
              <w:jc w:val="right"/>
            </w:pPr>
            <w:r>
              <w:rPr>
                <w:rFonts w:ascii="宋体" w:hAnsi="宋体" w:eastAsia="宋体" w:cs="宋体"/>
                <w:b w:val="0"/>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3.50%</w:t>
            </w:r>
          </w:p>
        </w:tc>
        <w:tc>
          <w:tcPr>
            <w:tcW w:w="0" w:type="dxa"/>
            <w:vAlign w:val="center"/>
          </w:tcPr>
          <w:p>
            <w:pPr>
              <w:spacing w:line="240" w:lineRule="auto"/>
              <w:jc w:val="right"/>
            </w:pPr>
            <w:r>
              <w:rPr>
                <w:rFonts w:ascii="宋体" w:hAnsi="宋体" w:eastAsia="宋体" w:cs="宋体"/>
                <w:b w:val="0"/>
              </w:rPr>
              <w:t>1.28%</w:t>
            </w:r>
          </w:p>
        </w:tc>
        <w:tc>
          <w:tcPr>
            <w:tcW w:w="0" w:type="dxa"/>
            <w:vAlign w:val="center"/>
          </w:tcPr>
          <w:p>
            <w:pPr>
              <w:spacing w:line="240" w:lineRule="auto"/>
              <w:jc w:val="right"/>
            </w:pPr>
            <w:r>
              <w:rPr>
                <w:rFonts w:ascii="宋体" w:hAnsi="宋体" w:eastAsia="宋体" w:cs="宋体"/>
                <w:b w:val="0"/>
              </w:rPr>
              <w:t>18.05%</w:t>
            </w:r>
          </w:p>
        </w:tc>
        <w:tc>
          <w:tcPr>
            <w:tcW w:w="0" w:type="dxa"/>
            <w:vAlign w:val="center"/>
          </w:tcPr>
          <w:p>
            <w:pPr>
              <w:spacing w:line="240" w:lineRule="auto"/>
              <w:jc w:val="right"/>
            </w:pPr>
            <w:r>
              <w:rPr>
                <w:rFonts w:ascii="宋体" w:hAnsi="宋体" w:eastAsia="宋体" w:cs="宋体"/>
                <w:b w:val="0"/>
              </w:rPr>
              <w:t>0.98%</w:t>
            </w:r>
          </w:p>
        </w:tc>
        <w:tc>
          <w:tcPr>
            <w:tcW w:w="0" w:type="dxa"/>
            <w:vAlign w:val="center"/>
          </w:tcPr>
          <w:p>
            <w:pPr>
              <w:spacing w:line="240" w:lineRule="auto"/>
              <w:jc w:val="right"/>
            </w:pPr>
            <w:r>
              <w:rPr>
                <w:rFonts w:ascii="宋体" w:hAnsi="宋体" w:eastAsia="宋体" w:cs="宋体"/>
                <w:b w:val="0"/>
              </w:rPr>
              <w:t>-14.55%</w:t>
            </w:r>
          </w:p>
        </w:tc>
        <w:tc>
          <w:tcPr>
            <w:tcW w:w="0" w:type="dxa"/>
            <w:vAlign w:val="center"/>
          </w:tcPr>
          <w:p>
            <w:pPr>
              <w:spacing w:line="240" w:lineRule="auto"/>
              <w:jc w:val="right"/>
            </w:pPr>
            <w:r>
              <w:rPr>
                <w:rFonts w:ascii="宋体" w:hAnsi="宋体" w:eastAsia="宋体" w:cs="宋体"/>
                <w:b w:val="0"/>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-6.64%</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29.73%</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-36.37%</w:t>
            </w:r>
          </w:p>
        </w:tc>
        <w:tc>
          <w:tcPr>
            <w:tcW w:w="0" w:type="dxa"/>
            <w:vAlign w:val="center"/>
          </w:tcPr>
          <w:p>
            <w:pPr>
              <w:spacing w:line="240" w:lineRule="auto"/>
              <w:jc w:val="right"/>
            </w:pPr>
            <w:r>
              <w:rPr>
                <w:rFonts w:ascii="宋体" w:hAnsi="宋体" w:eastAsia="宋体" w:cs="宋体"/>
                <w:b w:val="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-7.12%</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26.88%</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-34.00%</w:t>
            </w:r>
          </w:p>
        </w:tc>
        <w:tc>
          <w:tcPr>
            <w:tcW w:w="0" w:type="dxa"/>
            <w:vAlign w:val="center"/>
          </w:tcPr>
          <w:p>
            <w:pPr>
              <w:spacing w:line="240" w:lineRule="auto"/>
              <w:jc w:val="right"/>
            </w:pPr>
            <w:r>
              <w:rPr>
                <w:rFonts w:ascii="宋体" w:hAnsi="宋体" w:eastAsia="宋体" w:cs="宋体"/>
                <w:b w:val="0"/>
              </w:rPr>
              <w:t>0.55%</w:t>
            </w:r>
          </w:p>
        </w:tc>
      </w:tr>
    </w:tbl>
    <w:p>
      <w:pPr>
        <w:jc w:val="left"/>
      </w:pPr>
      <w:r>
        <w:rPr>
          <w:rFonts w:ascii="宋体" w:hAnsi="宋体" w:eastAsia="宋体" w:cs="宋体"/>
          <w:b/>
        </w:rPr>
        <w:t>东方阿尔法兴科一年持有混合C净值表现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8.20%</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13.84%</w:t>
            </w:r>
          </w:p>
        </w:tc>
        <w:tc>
          <w:tcPr>
            <w:tcW w:w="0" w:type="dxa"/>
            <w:vAlign w:val="center"/>
          </w:tcPr>
          <w:p>
            <w:pPr>
              <w:spacing w:line="240" w:lineRule="auto"/>
              <w:jc w:val="right"/>
            </w:pPr>
            <w:r>
              <w:rPr>
                <w:rFonts w:ascii="宋体" w:hAnsi="宋体" w:eastAsia="宋体" w:cs="宋体"/>
                <w:b w:val="0"/>
              </w:rPr>
              <w:t>0.65%</w:t>
            </w:r>
          </w:p>
        </w:tc>
        <w:tc>
          <w:tcPr>
            <w:tcW w:w="0" w:type="dxa"/>
            <w:vAlign w:val="center"/>
          </w:tcPr>
          <w:p>
            <w:pPr>
              <w:spacing w:line="240" w:lineRule="auto"/>
              <w:jc w:val="right"/>
            </w:pPr>
            <w:r>
              <w:rPr>
                <w:rFonts w:ascii="宋体" w:hAnsi="宋体" w:eastAsia="宋体" w:cs="宋体"/>
                <w:b w:val="0"/>
              </w:rPr>
              <w:t>-5.64%</w:t>
            </w:r>
          </w:p>
        </w:tc>
        <w:tc>
          <w:tcPr>
            <w:tcW w:w="0" w:type="dxa"/>
            <w:vAlign w:val="center"/>
          </w:tcPr>
          <w:p>
            <w:pPr>
              <w:spacing w:line="240" w:lineRule="auto"/>
              <w:jc w:val="right"/>
            </w:pPr>
            <w:r>
              <w:rPr>
                <w:rFonts w:ascii="宋体" w:hAnsi="宋体" w:eastAsia="宋体" w:cs="宋体"/>
                <w:b w:val="0"/>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3.78%</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15.90%</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-12.12%</w:t>
            </w:r>
          </w:p>
        </w:tc>
        <w:tc>
          <w:tcPr>
            <w:tcW w:w="0" w:type="dxa"/>
            <w:vAlign w:val="center"/>
          </w:tcPr>
          <w:p>
            <w:pPr>
              <w:spacing w:line="240" w:lineRule="auto"/>
              <w:jc w:val="right"/>
            </w:pPr>
            <w:r>
              <w:rPr>
                <w:rFonts w:ascii="宋体" w:hAnsi="宋体" w:eastAsia="宋体" w:cs="宋体"/>
                <w:b w:val="0"/>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2.89%</w:t>
            </w:r>
          </w:p>
        </w:tc>
        <w:tc>
          <w:tcPr>
            <w:tcW w:w="0" w:type="dxa"/>
            <w:vAlign w:val="center"/>
          </w:tcPr>
          <w:p>
            <w:pPr>
              <w:spacing w:line="240" w:lineRule="auto"/>
              <w:jc w:val="right"/>
            </w:pPr>
            <w:r>
              <w:rPr>
                <w:rFonts w:ascii="宋体" w:hAnsi="宋体" w:eastAsia="宋体" w:cs="宋体"/>
                <w:b w:val="0"/>
              </w:rPr>
              <w:t>1.29%</w:t>
            </w:r>
          </w:p>
        </w:tc>
        <w:tc>
          <w:tcPr>
            <w:tcW w:w="0" w:type="dxa"/>
            <w:vAlign w:val="center"/>
          </w:tcPr>
          <w:p>
            <w:pPr>
              <w:spacing w:line="240" w:lineRule="auto"/>
              <w:jc w:val="right"/>
            </w:pPr>
            <w:r>
              <w:rPr>
                <w:rFonts w:ascii="宋体" w:hAnsi="宋体" w:eastAsia="宋体" w:cs="宋体"/>
                <w:b w:val="0"/>
              </w:rPr>
              <w:t>18.05%</w:t>
            </w:r>
          </w:p>
        </w:tc>
        <w:tc>
          <w:tcPr>
            <w:tcW w:w="0" w:type="dxa"/>
            <w:vAlign w:val="center"/>
          </w:tcPr>
          <w:p>
            <w:pPr>
              <w:spacing w:line="240" w:lineRule="auto"/>
              <w:jc w:val="right"/>
            </w:pPr>
            <w:r>
              <w:rPr>
                <w:rFonts w:ascii="宋体" w:hAnsi="宋体" w:eastAsia="宋体" w:cs="宋体"/>
                <w:b w:val="0"/>
              </w:rPr>
              <w:t>0.98%</w:t>
            </w:r>
          </w:p>
        </w:tc>
        <w:tc>
          <w:tcPr>
            <w:tcW w:w="0" w:type="dxa"/>
            <w:vAlign w:val="center"/>
          </w:tcPr>
          <w:p>
            <w:pPr>
              <w:spacing w:line="240" w:lineRule="auto"/>
              <w:jc w:val="right"/>
            </w:pPr>
            <w:r>
              <w:rPr>
                <w:rFonts w:ascii="宋体" w:hAnsi="宋体" w:eastAsia="宋体" w:cs="宋体"/>
                <w:b w:val="0"/>
              </w:rPr>
              <w:t>-15.16%</w:t>
            </w:r>
          </w:p>
        </w:tc>
        <w:tc>
          <w:tcPr>
            <w:tcW w:w="0" w:type="dxa"/>
            <w:vAlign w:val="center"/>
          </w:tcPr>
          <w:p>
            <w:pPr>
              <w:spacing w:line="240" w:lineRule="auto"/>
              <w:jc w:val="right"/>
            </w:pPr>
            <w:r>
              <w:rPr>
                <w:rFonts w:ascii="宋体" w:hAnsi="宋体" w:eastAsia="宋体" w:cs="宋体"/>
                <w:b w:val="0"/>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-8.31%</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29.73%</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-38.04%</w:t>
            </w:r>
          </w:p>
        </w:tc>
        <w:tc>
          <w:tcPr>
            <w:tcW w:w="0" w:type="dxa"/>
            <w:vAlign w:val="center"/>
          </w:tcPr>
          <w:p>
            <w:pPr>
              <w:spacing w:line="240" w:lineRule="auto"/>
              <w:jc w:val="right"/>
            </w:pPr>
            <w:r>
              <w:rPr>
                <w:rFonts w:ascii="宋体" w:hAnsi="宋体" w:eastAsia="宋体" w:cs="宋体"/>
                <w:b w:val="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-8.78%</w:t>
            </w:r>
          </w:p>
        </w:tc>
        <w:tc>
          <w:tcPr>
            <w:tcW w:w="0" w:type="dxa"/>
            <w:vAlign w:val="center"/>
          </w:tcPr>
          <w:p>
            <w:pPr>
              <w:spacing w:line="240" w:lineRule="auto"/>
              <w:jc w:val="right"/>
            </w:pPr>
            <w:r>
              <w:rPr>
                <w:rFonts w:ascii="宋体" w:hAnsi="宋体" w:eastAsia="宋体" w:cs="宋体"/>
                <w:b w:val="0"/>
              </w:rPr>
              <w:t>1.45%</w:t>
            </w:r>
          </w:p>
        </w:tc>
        <w:tc>
          <w:tcPr>
            <w:tcW w:w="0" w:type="dxa"/>
            <w:vAlign w:val="center"/>
          </w:tcPr>
          <w:p>
            <w:pPr>
              <w:spacing w:line="240" w:lineRule="auto"/>
              <w:jc w:val="right"/>
            </w:pPr>
            <w:r>
              <w:rPr>
                <w:rFonts w:ascii="宋体" w:hAnsi="宋体" w:eastAsia="宋体" w:cs="宋体"/>
                <w:b w:val="0"/>
              </w:rPr>
              <w:t>26.88%</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-35.66%</w:t>
            </w:r>
          </w:p>
        </w:tc>
        <w:tc>
          <w:tcPr>
            <w:tcW w:w="0" w:type="dxa"/>
            <w:vAlign w:val="center"/>
          </w:tcPr>
          <w:p>
            <w:pPr>
              <w:spacing w:line="240" w:lineRule="auto"/>
              <w:jc w:val="right"/>
            </w:pPr>
            <w:r>
              <w:rPr>
                <w:rFonts w:ascii="宋体" w:hAnsi="宋体" w:eastAsia="宋体" w:cs="宋体"/>
                <w:b w:val="0"/>
              </w:rPr>
              <w:t>0.55%</w:t>
            </w:r>
          </w:p>
        </w:tc>
      </w:tr>
    </w:tbl>
    <w:p>
      <w:r>
        <w:rPr>
          <w:rFonts w:ascii="宋体" w:hAnsi="宋体" w:eastAsia="宋体" w:cs="宋体"/>
          <w:b w:val="0"/>
        </w:rPr>
        <w:t>注：1、本基金业绩比较基准为：中证800指数收益率×60%+中证综合债券指数收益率×20%+恒生指数收益率×20%。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2、本基金自2022年09月28日成立至今尚未满五年，无过去五年的净值表现。</w:t>
      </w:r>
    </w:p>
    <w:p/>
    <w:p>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2023-11-01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hint="eastAsia" w:ascii="宋体" w:hAnsi="宋体" w:cs="宋体"/>
                <w:b w:val="0"/>
                <w:lang w:val="en-US" w:eastAsia="zh-CN"/>
              </w:rPr>
              <w:t>7</w:t>
            </w:r>
            <w:r>
              <w:rPr>
                <w:rFonts w:ascii="宋体" w:hAnsi="宋体" w:eastAsia="宋体" w:cs="宋体"/>
                <w:b w:val="0"/>
              </w:rPr>
              <w:t>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今年以来，市场风险偏好快速提升，成长股行情如创新药、人工智能等轮番上演。不过，基于能力圈及确定性的考虑，我们依然坚守“偏价值、重分红”的投资范围，追求稳稳的幸福。自2024年4月国务院颁发资本市场新“国九条”以来，资本市场从融资性市场向投资性市场转变的趋势愈发明显，这无疑是具有历史意义的重要拐点，值得我们高度重视。从其他发达国家资本市场的历史经验来看，当经济进入高质量发展阶段，资本市场会逐渐重视中小股东利益，进而进入慢牛长牛行情。围绕高质量发展，新“国九条”提出多措并举提高股息率，增强分红的稳定性、持续性和可预期性。事实上，过去一段时间，上市公司提高分红的程度确实在持续提升，只是在成长股行情的背景下稍显逊色。但与债券市场相比，其吸引力已然强劲。对于追求稳健回报、回撤可控的投资者来说，可予以高度重视。</w:t>
      </w:r>
      <w:r>
        <w:rPr>
          <w:rFonts w:ascii="宋体" w:hAnsi="宋体" w:eastAsia="宋体" w:cs="宋体"/>
          <w:b w:val="0"/>
        </w:rPr>
        <w:cr/>
      </w:r>
      <w:r>
        <w:rPr>
          <w:rFonts w:ascii="宋体" w:hAnsi="宋体" w:eastAsia="宋体" w:cs="宋体"/>
          <w:b w:val="0"/>
        </w:rPr>
        <w:t xml:space="preserve">    目前，本基金运作的整体思路依然是追求“稳稳的幸福”，主要围绕分红、现金流、低估值、良好竞争格局与商业模式进行均衡配置，具体如下：</w:t>
      </w:r>
      <w:r>
        <w:rPr>
          <w:rFonts w:ascii="宋体" w:hAnsi="宋体" w:eastAsia="宋体" w:cs="宋体"/>
          <w:b w:val="0"/>
        </w:rPr>
        <w:cr/>
      </w:r>
      <w:r>
        <w:rPr>
          <w:rFonts w:ascii="宋体" w:hAnsi="宋体" w:eastAsia="宋体" w:cs="宋体"/>
          <w:b w:val="0"/>
        </w:rPr>
        <w:t xml:space="preserve">    （1）内需相关消费龙头：包括家电、消费医疗器械等。在目前市场持续担心内需的背景下，这些公司的估值已被压到较低位置。在未来超常规逆周期调节下，业绩的悲观预期有望得到明显修复。</w:t>
      </w:r>
      <w:r>
        <w:rPr>
          <w:rFonts w:ascii="宋体" w:hAnsi="宋体" w:eastAsia="宋体" w:cs="宋体"/>
          <w:b w:val="0"/>
        </w:rPr>
        <w:cr/>
      </w:r>
      <w:r>
        <w:rPr>
          <w:rFonts w:ascii="宋体" w:hAnsi="宋体" w:eastAsia="宋体" w:cs="宋体"/>
          <w:b w:val="0"/>
        </w:rPr>
        <w:t xml:space="preserve">    （2）制造业细分龙头：在广义制造业中，如建材、机械、轻工等领域，已产生众多竞争格局相当稳定且现金流优秀的细分龙头。在目前内需悲观预期下，这些行业的估值较低。未来，这些行业的远期资本开支有望大幅度下降，进而自由现金流将逐渐提升，潜在分红能力也将持续增强。同时，我们还重点关注部分低估值、出海逻辑的制造业龙头，其产品的海外竞争力正在持续增强。</w:t>
      </w:r>
      <w:r>
        <w:rPr>
          <w:rFonts w:ascii="宋体" w:hAnsi="宋体" w:eastAsia="宋体" w:cs="宋体"/>
          <w:b w:val="0"/>
        </w:rPr>
        <w:cr/>
      </w:r>
      <w:r>
        <w:rPr>
          <w:rFonts w:ascii="宋体" w:hAnsi="宋体" w:eastAsia="宋体" w:cs="宋体"/>
          <w:b w:val="0"/>
        </w:rPr>
        <w:t xml:space="preserve">    （3）上游资源类公司：目前主要关注电解铝、油气相关的低估值、高现金流公司。</w:t>
      </w:r>
      <w:r>
        <w:rPr>
          <w:rFonts w:ascii="宋体" w:hAnsi="宋体" w:eastAsia="宋体" w:cs="宋体"/>
          <w:b w:val="0"/>
        </w:rPr>
        <w:cr/>
      </w:r>
      <w:r>
        <w:rPr>
          <w:rFonts w:ascii="宋体" w:hAnsi="宋体" w:eastAsia="宋体" w:cs="宋体"/>
          <w:b w:val="0"/>
        </w:rPr>
        <w:t xml:space="preserve">    目前，许多行业的中小企业依然面临着较大的经营压力，甚至有出清的风险。而龙头企业估值已被压到较低水平，在未来超常规逆周期调节下，龙头企业将抢占许多中小企业出清的份额，呈现出较大的业绩弹性。后续在组合配置上，本基金依然会偏好于行业中的龙头企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兴科一年持有混合A基金份额净值为0.9288元，本报告期内，该类基金份额净值增长率为8.35%，同期业绩比较基准收益率为13.84%；截至报告期末东方阿尔法兴科一年持有混合C基金份额净值为0.9122元，本报告期内，该类基金份额净值增长率为8.20%，同期业绩比较基准收益率为13.84%。</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65,266,558.29</w:t>
            </w:r>
          </w:p>
        </w:tc>
        <w:tc>
          <w:tcPr>
            <w:tcW w:w="0" w:type="dxa"/>
            <w:vAlign w:val="center"/>
          </w:tcPr>
          <w:p>
            <w:pPr>
              <w:spacing w:line="240" w:lineRule="auto"/>
              <w:jc w:val="right"/>
            </w:pPr>
            <w:r>
              <w:rPr>
                <w:rFonts w:ascii="宋体" w:hAnsi="宋体" w:eastAsia="宋体" w:cs="宋体"/>
                <w:b w:val="0"/>
              </w:rPr>
              <w:t>92.99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65,266,558.29</w:t>
            </w:r>
          </w:p>
        </w:tc>
        <w:tc>
          <w:tcPr>
            <w:tcW w:w="0" w:type="dxa"/>
            <w:vAlign w:val="center"/>
          </w:tcPr>
          <w:p>
            <w:pPr>
              <w:spacing w:line="240" w:lineRule="auto"/>
              <w:jc w:val="right"/>
            </w:pPr>
            <w:r>
              <w:rPr>
                <w:rFonts w:ascii="宋体" w:hAnsi="宋体" w:eastAsia="宋体" w:cs="宋体"/>
                <w:b w:val="0"/>
              </w:rPr>
              <w:t>92.99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3,723,470.16</w:t>
            </w:r>
          </w:p>
        </w:tc>
        <w:tc>
          <w:tcPr>
            <w:tcW w:w="0" w:type="dxa"/>
            <w:vAlign w:val="center"/>
          </w:tcPr>
          <w:p>
            <w:pPr>
              <w:spacing w:line="240" w:lineRule="auto"/>
              <w:jc w:val="right"/>
            </w:pPr>
            <w:r>
              <w:rPr>
                <w:rFonts w:ascii="宋体" w:hAnsi="宋体" w:eastAsia="宋体" w:cs="宋体"/>
                <w:b w:val="0"/>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3,723,470.16</w:t>
            </w:r>
          </w:p>
        </w:tc>
        <w:tc>
          <w:tcPr>
            <w:tcW w:w="0" w:type="dxa"/>
            <w:vAlign w:val="center"/>
          </w:tcPr>
          <w:p>
            <w:pPr>
              <w:spacing w:line="240" w:lineRule="auto"/>
              <w:jc w:val="right"/>
            </w:pPr>
            <w:r>
              <w:rPr>
                <w:rFonts w:ascii="宋体" w:hAnsi="宋体" w:eastAsia="宋体" w:cs="宋体"/>
                <w:b w:val="0"/>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922,838.07</w:t>
            </w:r>
          </w:p>
        </w:tc>
        <w:tc>
          <w:tcPr>
            <w:tcW w:w="0" w:type="dxa"/>
            <w:vAlign w:val="center"/>
          </w:tcPr>
          <w:p>
            <w:pPr>
              <w:spacing w:line="240" w:lineRule="auto"/>
              <w:jc w:val="right"/>
            </w:pPr>
            <w:r>
              <w:rPr>
                <w:rFonts w:ascii="宋体" w:hAnsi="宋体" w:eastAsia="宋体" w:cs="宋体"/>
                <w:b w:val="0"/>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275,348.85</w:t>
            </w:r>
          </w:p>
        </w:tc>
        <w:tc>
          <w:tcPr>
            <w:tcW w:w="0" w:type="dxa"/>
            <w:vAlign w:val="center"/>
          </w:tcPr>
          <w:p>
            <w:pPr>
              <w:spacing w:line="240" w:lineRule="auto"/>
              <w:jc w:val="right"/>
            </w:pPr>
            <w:r>
              <w:rPr>
                <w:rFonts w:ascii="宋体" w:hAnsi="宋体" w:eastAsia="宋体" w:cs="宋体"/>
                <w:b w:val="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70,188,215.37</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注：报告期末本基金通过港股通交易机制投资的港股公允价值合计14,366,945.43元，占基金资产净值的比例为20.53%。</w:t>
      </w:r>
    </w:p>
    <w:p/>
    <w:p>
      <w:pPr>
        <w:pStyle w:val="3"/>
        <w:jc w:val="left"/>
      </w:pPr>
      <w:r>
        <w:rPr>
          <w:rFonts w:ascii="宋体" w:hAnsi="宋体" w:eastAsia="宋体" w:cs="宋体"/>
        </w:rPr>
        <w:t>5.2 报告期末按行业分类的股票投资组合</w:t>
      </w:r>
    </w:p>
    <w:p>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50,888,673.06</w:t>
            </w:r>
          </w:p>
        </w:tc>
        <w:tc>
          <w:tcPr>
            <w:tcW w:w="0" w:type="dxa"/>
            <w:vAlign w:val="center"/>
          </w:tcPr>
          <w:p>
            <w:pPr>
              <w:spacing w:line="240" w:lineRule="auto"/>
              <w:jc w:val="right"/>
            </w:pPr>
            <w:r>
              <w:rPr>
                <w:rFonts w:ascii="宋体" w:hAnsi="宋体" w:eastAsia="宋体" w:cs="宋体"/>
                <w:b w:val="0"/>
              </w:rPr>
              <w:t>72.72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3,070.40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7,869.40</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50,899,612.86</w:t>
            </w:r>
          </w:p>
        </w:tc>
        <w:tc>
          <w:tcPr>
            <w:tcW w:w="0" w:type="dxa"/>
            <w:vAlign w:val="center"/>
          </w:tcPr>
          <w:p>
            <w:pPr>
              <w:spacing w:line="240" w:lineRule="auto"/>
              <w:jc w:val="right"/>
            </w:pPr>
            <w:r>
              <w:rPr>
                <w:rFonts w:ascii="宋体" w:hAnsi="宋体" w:eastAsia="宋体" w:cs="宋体"/>
                <w:b w:val="0"/>
              </w:rPr>
              <w:t>72.73</w:t>
            </w:r>
          </w:p>
        </w:tc>
      </w:tr>
    </w:tbl>
    <w:p/>
    <w:p>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能源</w:t>
            </w:r>
          </w:p>
        </w:tc>
        <w:tc>
          <w:tcPr>
            <w:tcW w:w="0" w:type="dxa"/>
            <w:vAlign w:val="center"/>
          </w:tcPr>
          <w:p>
            <w:pPr>
              <w:spacing w:line="240" w:lineRule="auto"/>
              <w:jc w:val="right"/>
            </w:pPr>
            <w:r>
              <w:rPr>
                <w:rFonts w:ascii="宋体" w:hAnsi="宋体" w:eastAsia="宋体" w:cs="宋体"/>
                <w:b w:val="0"/>
              </w:rPr>
              <w:t>6,518,677.20</w:t>
            </w:r>
          </w:p>
        </w:tc>
        <w:tc>
          <w:tcPr>
            <w:tcW w:w="0" w:type="dxa"/>
            <w:vAlign w:val="center"/>
          </w:tcPr>
          <w:p>
            <w:pPr>
              <w:spacing w:line="240" w:lineRule="auto"/>
              <w:jc w:val="right"/>
            </w:pPr>
            <w:r>
              <w:rPr>
                <w:rFonts w:ascii="宋体" w:hAnsi="宋体" w:eastAsia="宋体" w:cs="宋体"/>
                <w:b w:val="0"/>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工业</w:t>
            </w:r>
          </w:p>
        </w:tc>
        <w:tc>
          <w:tcPr>
            <w:tcW w:w="0" w:type="dxa"/>
            <w:vAlign w:val="center"/>
          </w:tcPr>
          <w:p>
            <w:pPr>
              <w:spacing w:line="240" w:lineRule="auto"/>
              <w:jc w:val="right"/>
            </w:pPr>
            <w:r>
              <w:rPr>
                <w:rFonts w:ascii="宋体" w:hAnsi="宋体" w:eastAsia="宋体" w:cs="宋体"/>
                <w:b w:val="0"/>
              </w:rPr>
              <w:t>6,651,899.24</w:t>
            </w:r>
          </w:p>
        </w:tc>
        <w:tc>
          <w:tcPr>
            <w:tcW w:w="0" w:type="dxa"/>
            <w:vAlign w:val="center"/>
          </w:tcPr>
          <w:p>
            <w:pPr>
              <w:spacing w:line="240" w:lineRule="auto"/>
              <w:jc w:val="right"/>
            </w:pPr>
            <w:r>
              <w:rPr>
                <w:rFonts w:ascii="宋体" w:hAnsi="宋体" w:eastAsia="宋体" w:cs="宋体"/>
                <w:b w:val="0"/>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房地产</w:t>
            </w:r>
          </w:p>
        </w:tc>
        <w:tc>
          <w:tcPr>
            <w:tcW w:w="0" w:type="dxa"/>
            <w:vAlign w:val="center"/>
          </w:tcPr>
          <w:p>
            <w:pPr>
              <w:spacing w:line="240" w:lineRule="auto"/>
              <w:jc w:val="right"/>
            </w:pPr>
            <w:r>
              <w:rPr>
                <w:rFonts w:ascii="宋体" w:hAnsi="宋体" w:eastAsia="宋体" w:cs="宋体"/>
                <w:b w:val="0"/>
              </w:rPr>
              <w:t>1,196,368.99</w:t>
            </w:r>
          </w:p>
        </w:tc>
        <w:tc>
          <w:tcPr>
            <w:tcW w:w="0" w:type="dxa"/>
            <w:vAlign w:val="center"/>
          </w:tcPr>
          <w:p>
            <w:pPr>
              <w:spacing w:line="240" w:lineRule="auto"/>
              <w:jc w:val="right"/>
            </w:pPr>
            <w:r>
              <w:rPr>
                <w:rFonts w:ascii="宋体" w:hAnsi="宋体" w:eastAsia="宋体" w:cs="宋体"/>
                <w:b w:val="0"/>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14,366,945.43</w:t>
            </w:r>
          </w:p>
        </w:tc>
        <w:tc>
          <w:tcPr>
            <w:tcW w:w="0" w:type="dxa"/>
            <w:vAlign w:val="center"/>
          </w:tcPr>
          <w:p>
            <w:pPr>
              <w:spacing w:line="240" w:lineRule="auto"/>
              <w:jc w:val="right"/>
            </w:pPr>
            <w:r>
              <w:rPr>
                <w:rFonts w:ascii="宋体" w:hAnsi="宋体" w:eastAsia="宋体" w:cs="宋体"/>
                <w:b w:val="0"/>
              </w:rPr>
              <w:t>20.53</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002223</w:t>
            </w:r>
          </w:p>
        </w:tc>
        <w:tc>
          <w:tcPr>
            <w:tcW w:w="0" w:type="dxa"/>
            <w:vAlign w:val="center"/>
          </w:tcPr>
          <w:p>
            <w:pPr>
              <w:spacing w:line="240" w:lineRule="auto"/>
              <w:jc w:val="left"/>
            </w:pPr>
            <w:r>
              <w:rPr>
                <w:rFonts w:ascii="宋体" w:hAnsi="宋体" w:eastAsia="宋体" w:cs="宋体"/>
                <w:b w:val="0"/>
              </w:rPr>
              <w:t>鱼跃医疗</w:t>
            </w:r>
          </w:p>
        </w:tc>
        <w:tc>
          <w:tcPr>
            <w:tcW w:w="0" w:type="dxa"/>
            <w:vAlign w:val="center"/>
          </w:tcPr>
          <w:p>
            <w:pPr>
              <w:spacing w:line="240" w:lineRule="auto"/>
              <w:jc w:val="right"/>
            </w:pPr>
            <w:r>
              <w:rPr>
                <w:rFonts w:ascii="宋体" w:hAnsi="宋体" w:eastAsia="宋体" w:cs="宋体"/>
                <w:b w:val="0"/>
              </w:rPr>
              <w:t>177,000</w:t>
            </w:r>
          </w:p>
        </w:tc>
        <w:tc>
          <w:tcPr>
            <w:tcW w:w="0" w:type="dxa"/>
            <w:vAlign w:val="center"/>
          </w:tcPr>
          <w:p>
            <w:pPr>
              <w:spacing w:line="240" w:lineRule="auto"/>
              <w:jc w:val="right"/>
            </w:pPr>
            <w:r>
              <w:rPr>
                <w:rFonts w:ascii="宋体" w:hAnsi="宋体" w:eastAsia="宋体" w:cs="宋体"/>
                <w:b w:val="0"/>
              </w:rPr>
              <w:t>6,904,770.00</w:t>
            </w:r>
          </w:p>
        </w:tc>
        <w:tc>
          <w:tcPr>
            <w:tcW w:w="0" w:type="dxa"/>
            <w:vAlign w:val="center"/>
          </w:tcPr>
          <w:p>
            <w:pPr>
              <w:spacing w:line="240" w:lineRule="auto"/>
              <w:jc w:val="right"/>
            </w:pPr>
            <w:r>
              <w:rPr>
                <w:rFonts w:ascii="宋体" w:hAnsi="宋体" w:eastAsia="宋体" w:cs="宋体"/>
                <w:b w:val="0"/>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000807</w:t>
            </w:r>
          </w:p>
        </w:tc>
        <w:tc>
          <w:tcPr>
            <w:tcW w:w="0" w:type="dxa"/>
            <w:vAlign w:val="center"/>
          </w:tcPr>
          <w:p>
            <w:pPr>
              <w:spacing w:line="240" w:lineRule="auto"/>
              <w:jc w:val="left"/>
            </w:pPr>
            <w:r>
              <w:rPr>
                <w:rFonts w:ascii="宋体" w:hAnsi="宋体" w:eastAsia="宋体" w:cs="宋体"/>
                <w:b w:val="0"/>
              </w:rPr>
              <w:t>云铝股份</w:t>
            </w:r>
          </w:p>
        </w:tc>
        <w:tc>
          <w:tcPr>
            <w:tcW w:w="0" w:type="dxa"/>
            <w:vAlign w:val="center"/>
          </w:tcPr>
          <w:p>
            <w:pPr>
              <w:spacing w:line="240" w:lineRule="auto"/>
              <w:jc w:val="right"/>
            </w:pPr>
            <w:r>
              <w:rPr>
                <w:rFonts w:ascii="宋体" w:hAnsi="宋体" w:eastAsia="宋体" w:cs="宋体"/>
                <w:b w:val="0"/>
              </w:rPr>
              <w:t>334,600</w:t>
            </w:r>
          </w:p>
        </w:tc>
        <w:tc>
          <w:tcPr>
            <w:tcW w:w="0" w:type="dxa"/>
            <w:vAlign w:val="center"/>
          </w:tcPr>
          <w:p>
            <w:pPr>
              <w:spacing w:line="240" w:lineRule="auto"/>
              <w:jc w:val="right"/>
            </w:pPr>
            <w:r>
              <w:rPr>
                <w:rFonts w:ascii="宋体" w:hAnsi="宋体" w:eastAsia="宋体" w:cs="宋体"/>
                <w:b w:val="0"/>
              </w:rPr>
              <w:t>6,892,760.00</w:t>
            </w:r>
          </w:p>
        </w:tc>
        <w:tc>
          <w:tcPr>
            <w:tcW w:w="0" w:type="dxa"/>
            <w:vAlign w:val="center"/>
          </w:tcPr>
          <w:p>
            <w:pPr>
              <w:spacing w:line="240" w:lineRule="auto"/>
              <w:jc w:val="right"/>
            </w:pPr>
            <w:r>
              <w:rPr>
                <w:rFonts w:ascii="宋体" w:hAnsi="宋体" w:eastAsia="宋体" w:cs="宋体"/>
                <w:b w:val="0"/>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002043</w:t>
            </w:r>
          </w:p>
        </w:tc>
        <w:tc>
          <w:tcPr>
            <w:tcW w:w="0" w:type="dxa"/>
            <w:vAlign w:val="center"/>
          </w:tcPr>
          <w:p>
            <w:pPr>
              <w:spacing w:line="240" w:lineRule="auto"/>
              <w:jc w:val="left"/>
            </w:pPr>
            <w:r>
              <w:rPr>
                <w:rFonts w:ascii="宋体" w:hAnsi="宋体" w:eastAsia="宋体" w:cs="宋体"/>
                <w:b w:val="0"/>
              </w:rPr>
              <w:t>兔 宝 宝</w:t>
            </w:r>
          </w:p>
        </w:tc>
        <w:tc>
          <w:tcPr>
            <w:tcW w:w="0" w:type="dxa"/>
            <w:vAlign w:val="center"/>
          </w:tcPr>
          <w:p>
            <w:pPr>
              <w:spacing w:line="240" w:lineRule="auto"/>
              <w:jc w:val="right"/>
            </w:pPr>
            <w:r>
              <w:rPr>
                <w:rFonts w:ascii="宋体" w:hAnsi="宋体" w:eastAsia="宋体" w:cs="宋体"/>
                <w:b w:val="0"/>
              </w:rPr>
              <w:t>636,000</w:t>
            </w:r>
          </w:p>
        </w:tc>
        <w:tc>
          <w:tcPr>
            <w:tcW w:w="0" w:type="dxa"/>
            <w:vAlign w:val="center"/>
          </w:tcPr>
          <w:p>
            <w:pPr>
              <w:spacing w:line="240" w:lineRule="auto"/>
              <w:jc w:val="right"/>
            </w:pPr>
            <w:r>
              <w:rPr>
                <w:rFonts w:ascii="宋体" w:hAnsi="宋体" w:eastAsia="宋体" w:cs="宋体"/>
                <w:b w:val="0"/>
              </w:rPr>
              <w:t>6,830,640.00</w:t>
            </w:r>
          </w:p>
        </w:tc>
        <w:tc>
          <w:tcPr>
            <w:tcW w:w="0" w:type="dxa"/>
            <w:vAlign w:val="center"/>
          </w:tcPr>
          <w:p>
            <w:pPr>
              <w:spacing w:line="240" w:lineRule="auto"/>
              <w:jc w:val="right"/>
            </w:pPr>
            <w:r>
              <w:rPr>
                <w:rFonts w:ascii="宋体" w:hAnsi="宋体" w:eastAsia="宋体" w:cs="宋体"/>
                <w:b w:val="0"/>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00038</w:t>
            </w:r>
          </w:p>
        </w:tc>
        <w:tc>
          <w:tcPr>
            <w:tcW w:w="0" w:type="dxa"/>
            <w:vAlign w:val="center"/>
          </w:tcPr>
          <w:p>
            <w:pPr>
              <w:spacing w:line="240" w:lineRule="auto"/>
              <w:jc w:val="left"/>
            </w:pPr>
            <w:r>
              <w:rPr>
                <w:rFonts w:ascii="宋体" w:hAnsi="宋体" w:eastAsia="宋体" w:cs="宋体"/>
                <w:b w:val="0"/>
              </w:rPr>
              <w:t>第一拖拉机股份</w:t>
            </w:r>
          </w:p>
        </w:tc>
        <w:tc>
          <w:tcPr>
            <w:tcW w:w="0" w:type="dxa"/>
            <w:vAlign w:val="center"/>
          </w:tcPr>
          <w:p>
            <w:pPr>
              <w:spacing w:line="240" w:lineRule="auto"/>
              <w:jc w:val="right"/>
            </w:pPr>
            <w:r>
              <w:rPr>
                <w:rFonts w:ascii="宋体" w:hAnsi="宋体" w:eastAsia="宋体" w:cs="宋体"/>
                <w:b w:val="0"/>
              </w:rPr>
              <w:t>1,032,000</w:t>
            </w:r>
          </w:p>
        </w:tc>
        <w:tc>
          <w:tcPr>
            <w:tcW w:w="0" w:type="dxa"/>
            <w:vAlign w:val="center"/>
          </w:tcPr>
          <w:p>
            <w:pPr>
              <w:spacing w:line="240" w:lineRule="auto"/>
              <w:jc w:val="right"/>
            </w:pPr>
            <w:r>
              <w:rPr>
                <w:rFonts w:ascii="宋体" w:hAnsi="宋体" w:eastAsia="宋体" w:cs="宋体"/>
                <w:b w:val="0"/>
              </w:rPr>
              <w:t>6,651,899.24</w:t>
            </w:r>
          </w:p>
        </w:tc>
        <w:tc>
          <w:tcPr>
            <w:tcW w:w="0" w:type="dxa"/>
            <w:vAlign w:val="center"/>
          </w:tcPr>
          <w:p>
            <w:pPr>
              <w:spacing w:line="240" w:lineRule="auto"/>
              <w:jc w:val="right"/>
            </w:pPr>
            <w:r>
              <w:rPr>
                <w:rFonts w:ascii="宋体" w:hAnsi="宋体" w:eastAsia="宋体" w:cs="宋体"/>
                <w:b w:val="0"/>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300833</w:t>
            </w:r>
          </w:p>
        </w:tc>
        <w:tc>
          <w:tcPr>
            <w:tcW w:w="0" w:type="dxa"/>
            <w:vAlign w:val="center"/>
          </w:tcPr>
          <w:p>
            <w:pPr>
              <w:spacing w:line="240" w:lineRule="auto"/>
              <w:jc w:val="left"/>
            </w:pPr>
            <w:r>
              <w:rPr>
                <w:rFonts w:ascii="宋体" w:hAnsi="宋体" w:eastAsia="宋体" w:cs="宋体"/>
                <w:b w:val="0"/>
              </w:rPr>
              <w:t>浩洋股份</w:t>
            </w:r>
          </w:p>
        </w:tc>
        <w:tc>
          <w:tcPr>
            <w:tcW w:w="0" w:type="dxa"/>
            <w:vAlign w:val="center"/>
          </w:tcPr>
          <w:p>
            <w:pPr>
              <w:spacing w:line="240" w:lineRule="auto"/>
              <w:jc w:val="right"/>
            </w:pPr>
            <w:r>
              <w:rPr>
                <w:rFonts w:ascii="宋体" w:hAnsi="宋体" w:eastAsia="宋体" w:cs="宋体"/>
                <w:b w:val="0"/>
              </w:rPr>
              <w:t>154,300</w:t>
            </w:r>
          </w:p>
        </w:tc>
        <w:tc>
          <w:tcPr>
            <w:tcW w:w="0" w:type="dxa"/>
            <w:vAlign w:val="center"/>
          </w:tcPr>
          <w:p>
            <w:pPr>
              <w:spacing w:line="240" w:lineRule="auto"/>
              <w:jc w:val="right"/>
            </w:pPr>
            <w:r>
              <w:rPr>
                <w:rFonts w:ascii="宋体" w:hAnsi="宋体" w:eastAsia="宋体" w:cs="宋体"/>
                <w:b w:val="0"/>
              </w:rPr>
              <w:t>6,633,357.00</w:t>
            </w:r>
          </w:p>
        </w:tc>
        <w:tc>
          <w:tcPr>
            <w:tcW w:w="0" w:type="dxa"/>
            <w:vAlign w:val="center"/>
          </w:tcPr>
          <w:p>
            <w:pPr>
              <w:spacing w:line="240" w:lineRule="auto"/>
              <w:jc w:val="right"/>
            </w:pPr>
            <w:r>
              <w:rPr>
                <w:rFonts w:ascii="宋体" w:hAnsi="宋体" w:eastAsia="宋体" w:cs="宋体"/>
                <w:b w:val="0"/>
              </w:rPr>
              <w:t>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600690</w:t>
            </w:r>
          </w:p>
        </w:tc>
        <w:tc>
          <w:tcPr>
            <w:tcW w:w="0" w:type="dxa"/>
            <w:vAlign w:val="center"/>
          </w:tcPr>
          <w:p>
            <w:pPr>
              <w:spacing w:line="240" w:lineRule="auto"/>
              <w:jc w:val="left"/>
            </w:pPr>
            <w:r>
              <w:rPr>
                <w:rFonts w:ascii="宋体" w:hAnsi="宋体" w:eastAsia="宋体" w:cs="宋体"/>
                <w:b w:val="0"/>
              </w:rPr>
              <w:t>海尔智家</w:t>
            </w:r>
          </w:p>
        </w:tc>
        <w:tc>
          <w:tcPr>
            <w:tcW w:w="0" w:type="dxa"/>
            <w:vAlign w:val="center"/>
          </w:tcPr>
          <w:p>
            <w:pPr>
              <w:spacing w:line="240" w:lineRule="auto"/>
              <w:jc w:val="right"/>
            </w:pPr>
            <w:r>
              <w:rPr>
                <w:rFonts w:ascii="宋体" w:hAnsi="宋体" w:eastAsia="宋体" w:cs="宋体"/>
                <w:b w:val="0"/>
              </w:rPr>
              <w:t>261,000</w:t>
            </w:r>
          </w:p>
        </w:tc>
        <w:tc>
          <w:tcPr>
            <w:tcW w:w="0" w:type="dxa"/>
            <w:vAlign w:val="center"/>
          </w:tcPr>
          <w:p>
            <w:pPr>
              <w:spacing w:line="240" w:lineRule="auto"/>
              <w:jc w:val="right"/>
            </w:pPr>
            <w:r>
              <w:rPr>
                <w:rFonts w:ascii="宋体" w:hAnsi="宋体" w:eastAsia="宋体" w:cs="宋体"/>
                <w:b w:val="0"/>
              </w:rPr>
              <w:t>6,611,130.00</w:t>
            </w:r>
          </w:p>
        </w:tc>
        <w:tc>
          <w:tcPr>
            <w:tcW w:w="0" w:type="dxa"/>
            <w:vAlign w:val="center"/>
          </w:tcPr>
          <w:p>
            <w:pPr>
              <w:spacing w:line="240" w:lineRule="auto"/>
              <w:jc w:val="right"/>
            </w:pPr>
            <w:r>
              <w:rPr>
                <w:rFonts w:ascii="宋体" w:hAnsi="宋体" w:eastAsia="宋体" w:cs="宋体"/>
                <w:b w:val="0"/>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00883</w:t>
            </w:r>
          </w:p>
        </w:tc>
        <w:tc>
          <w:tcPr>
            <w:tcW w:w="0" w:type="dxa"/>
            <w:vAlign w:val="center"/>
          </w:tcPr>
          <w:p>
            <w:pPr>
              <w:spacing w:line="240" w:lineRule="auto"/>
              <w:jc w:val="left"/>
            </w:pPr>
            <w:r>
              <w:rPr>
                <w:rFonts w:ascii="宋体" w:hAnsi="宋体" w:eastAsia="宋体" w:cs="宋体"/>
                <w:b w:val="0"/>
              </w:rPr>
              <w:t>中国海洋石油</w:t>
            </w:r>
          </w:p>
        </w:tc>
        <w:tc>
          <w:tcPr>
            <w:tcW w:w="0" w:type="dxa"/>
            <w:vAlign w:val="center"/>
          </w:tcPr>
          <w:p>
            <w:pPr>
              <w:spacing w:line="240" w:lineRule="auto"/>
              <w:jc w:val="right"/>
            </w:pPr>
            <w:r>
              <w:rPr>
                <w:rFonts w:ascii="宋体" w:hAnsi="宋体" w:eastAsia="宋体" w:cs="宋体"/>
                <w:b w:val="0"/>
              </w:rPr>
              <w:t>375,000</w:t>
            </w:r>
          </w:p>
        </w:tc>
        <w:tc>
          <w:tcPr>
            <w:tcW w:w="0" w:type="dxa"/>
            <w:vAlign w:val="center"/>
          </w:tcPr>
          <w:p>
            <w:pPr>
              <w:spacing w:line="240" w:lineRule="auto"/>
              <w:jc w:val="right"/>
            </w:pPr>
            <w:r>
              <w:rPr>
                <w:rFonts w:ascii="宋体" w:hAnsi="宋体" w:eastAsia="宋体" w:cs="宋体"/>
                <w:b w:val="0"/>
              </w:rPr>
              <w:t>6,518,677.20</w:t>
            </w:r>
          </w:p>
        </w:tc>
        <w:tc>
          <w:tcPr>
            <w:tcW w:w="0" w:type="dxa"/>
            <w:vAlign w:val="center"/>
          </w:tcPr>
          <w:p>
            <w:pPr>
              <w:spacing w:line="240" w:lineRule="auto"/>
              <w:jc w:val="right"/>
            </w:pPr>
            <w:r>
              <w:rPr>
                <w:rFonts w:ascii="宋体" w:hAnsi="宋体" w:eastAsia="宋体" w:cs="宋体"/>
                <w:b w:val="0"/>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002833</w:t>
            </w:r>
          </w:p>
        </w:tc>
        <w:tc>
          <w:tcPr>
            <w:tcW w:w="0" w:type="dxa"/>
            <w:vAlign w:val="center"/>
          </w:tcPr>
          <w:p>
            <w:pPr>
              <w:spacing w:line="240" w:lineRule="auto"/>
              <w:jc w:val="left"/>
            </w:pPr>
            <w:r>
              <w:rPr>
                <w:rFonts w:ascii="宋体" w:hAnsi="宋体" w:eastAsia="宋体" w:cs="宋体"/>
                <w:b w:val="0"/>
              </w:rPr>
              <w:t>弘亚数控</w:t>
            </w:r>
          </w:p>
        </w:tc>
        <w:tc>
          <w:tcPr>
            <w:tcW w:w="0" w:type="dxa"/>
            <w:vAlign w:val="center"/>
          </w:tcPr>
          <w:p>
            <w:pPr>
              <w:spacing w:line="240" w:lineRule="auto"/>
              <w:jc w:val="right"/>
            </w:pPr>
            <w:r>
              <w:rPr>
                <w:rFonts w:ascii="宋体" w:hAnsi="宋体" w:eastAsia="宋体" w:cs="宋体"/>
                <w:b w:val="0"/>
              </w:rPr>
              <w:t>374,758</w:t>
            </w:r>
          </w:p>
        </w:tc>
        <w:tc>
          <w:tcPr>
            <w:tcW w:w="0" w:type="dxa"/>
            <w:vAlign w:val="center"/>
          </w:tcPr>
          <w:p>
            <w:pPr>
              <w:spacing w:line="240" w:lineRule="auto"/>
              <w:jc w:val="right"/>
            </w:pPr>
            <w:r>
              <w:rPr>
                <w:rFonts w:ascii="宋体" w:hAnsi="宋体" w:eastAsia="宋体" w:cs="宋体"/>
                <w:b w:val="0"/>
              </w:rPr>
              <w:t>6,247,215.86</w:t>
            </w:r>
          </w:p>
        </w:tc>
        <w:tc>
          <w:tcPr>
            <w:tcW w:w="0" w:type="dxa"/>
            <w:vAlign w:val="center"/>
          </w:tcPr>
          <w:p>
            <w:pPr>
              <w:spacing w:line="240" w:lineRule="auto"/>
              <w:jc w:val="right"/>
            </w:pPr>
            <w:r>
              <w:rPr>
                <w:rFonts w:ascii="宋体" w:hAnsi="宋体" w:eastAsia="宋体" w:cs="宋体"/>
                <w:b w:val="0"/>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002003</w:t>
            </w:r>
          </w:p>
        </w:tc>
        <w:tc>
          <w:tcPr>
            <w:tcW w:w="0" w:type="dxa"/>
            <w:vAlign w:val="center"/>
          </w:tcPr>
          <w:p>
            <w:pPr>
              <w:spacing w:line="240" w:lineRule="auto"/>
              <w:jc w:val="left"/>
            </w:pPr>
            <w:r>
              <w:rPr>
                <w:rFonts w:ascii="宋体" w:hAnsi="宋体" w:eastAsia="宋体" w:cs="宋体"/>
                <w:b w:val="0"/>
              </w:rPr>
              <w:t>伟星股份</w:t>
            </w:r>
          </w:p>
        </w:tc>
        <w:tc>
          <w:tcPr>
            <w:tcW w:w="0" w:type="dxa"/>
            <w:vAlign w:val="center"/>
          </w:tcPr>
          <w:p>
            <w:pPr>
              <w:spacing w:line="240" w:lineRule="auto"/>
              <w:jc w:val="right"/>
            </w:pPr>
            <w:r>
              <w:rPr>
                <w:rFonts w:ascii="宋体" w:hAnsi="宋体" w:eastAsia="宋体" w:cs="宋体"/>
                <w:b w:val="0"/>
              </w:rPr>
              <w:t>570,600</w:t>
            </w:r>
          </w:p>
        </w:tc>
        <w:tc>
          <w:tcPr>
            <w:tcW w:w="0" w:type="dxa"/>
            <w:vAlign w:val="center"/>
          </w:tcPr>
          <w:p>
            <w:pPr>
              <w:spacing w:line="240" w:lineRule="auto"/>
              <w:jc w:val="right"/>
            </w:pPr>
            <w:r>
              <w:rPr>
                <w:rFonts w:ascii="宋体" w:hAnsi="宋体" w:eastAsia="宋体" w:cs="宋体"/>
                <w:b w:val="0"/>
              </w:rPr>
              <w:t>5,808,708.00</w:t>
            </w:r>
          </w:p>
        </w:tc>
        <w:tc>
          <w:tcPr>
            <w:tcW w:w="0" w:type="dxa"/>
            <w:vAlign w:val="center"/>
          </w:tcPr>
          <w:p>
            <w:pPr>
              <w:spacing w:line="240" w:lineRule="auto"/>
              <w:jc w:val="right"/>
            </w:pPr>
            <w:r>
              <w:rPr>
                <w:rFonts w:ascii="宋体" w:hAnsi="宋体" w:eastAsia="宋体" w:cs="宋体"/>
                <w:b w:val="0"/>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000333</w:t>
            </w:r>
          </w:p>
        </w:tc>
        <w:tc>
          <w:tcPr>
            <w:tcW w:w="0" w:type="dxa"/>
            <w:vAlign w:val="center"/>
          </w:tcPr>
          <w:p>
            <w:pPr>
              <w:spacing w:line="240" w:lineRule="auto"/>
              <w:jc w:val="left"/>
            </w:pPr>
            <w:r>
              <w:rPr>
                <w:rFonts w:ascii="宋体" w:hAnsi="宋体" w:eastAsia="宋体" w:cs="宋体"/>
                <w:b w:val="0"/>
              </w:rPr>
              <w:t>美的集团</w:t>
            </w:r>
          </w:p>
        </w:tc>
        <w:tc>
          <w:tcPr>
            <w:tcW w:w="0" w:type="dxa"/>
            <w:vAlign w:val="center"/>
          </w:tcPr>
          <w:p>
            <w:pPr>
              <w:spacing w:line="240" w:lineRule="auto"/>
              <w:jc w:val="right"/>
            </w:pPr>
            <w:r>
              <w:rPr>
                <w:rFonts w:ascii="宋体" w:hAnsi="宋体" w:eastAsia="宋体" w:cs="宋体"/>
                <w:b w:val="0"/>
              </w:rPr>
              <w:t>67,000</w:t>
            </w:r>
          </w:p>
        </w:tc>
        <w:tc>
          <w:tcPr>
            <w:tcW w:w="0" w:type="dxa"/>
            <w:vAlign w:val="center"/>
          </w:tcPr>
          <w:p>
            <w:pPr>
              <w:spacing w:line="240" w:lineRule="auto"/>
              <w:jc w:val="right"/>
            </w:pPr>
            <w:r>
              <w:rPr>
                <w:rFonts w:ascii="宋体" w:hAnsi="宋体" w:eastAsia="宋体" w:cs="宋体"/>
                <w:b w:val="0"/>
              </w:rPr>
              <w:t>4,868,220.00</w:t>
            </w:r>
          </w:p>
        </w:tc>
        <w:tc>
          <w:tcPr>
            <w:tcW w:w="0" w:type="dxa"/>
            <w:vAlign w:val="center"/>
          </w:tcPr>
          <w:p>
            <w:pPr>
              <w:spacing w:line="240" w:lineRule="auto"/>
              <w:jc w:val="right"/>
            </w:pPr>
            <w:r>
              <w:rPr>
                <w:rFonts w:ascii="宋体" w:hAnsi="宋体" w:eastAsia="宋体" w:cs="宋体"/>
                <w:b w:val="0"/>
              </w:rPr>
              <w:t>6.96</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3,723,470.16</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3,723,470.16</w:t>
            </w:r>
          </w:p>
        </w:tc>
        <w:tc>
          <w:tcPr>
            <w:tcW w:w="0" w:type="dxa"/>
            <w:vAlign w:val="center"/>
          </w:tcPr>
          <w:p>
            <w:pPr>
              <w:spacing w:line="240" w:lineRule="auto"/>
              <w:jc w:val="right"/>
            </w:pPr>
            <w:r>
              <w:rPr>
                <w:rFonts w:ascii="宋体" w:hAnsi="宋体" w:eastAsia="宋体" w:cs="宋体"/>
                <w:b w:val="0"/>
              </w:rPr>
              <w:t>5.32</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019773</w:t>
            </w:r>
          </w:p>
        </w:tc>
        <w:tc>
          <w:tcPr>
            <w:tcW w:w="0" w:type="dxa"/>
            <w:vAlign w:val="center"/>
          </w:tcPr>
          <w:p>
            <w:pPr>
              <w:spacing w:line="240" w:lineRule="auto"/>
              <w:jc w:val="left"/>
            </w:pPr>
            <w:r>
              <w:rPr>
                <w:rFonts w:ascii="宋体" w:hAnsi="宋体" w:eastAsia="宋体" w:cs="宋体"/>
                <w:b w:val="0"/>
              </w:rPr>
              <w:t>25国债08</w:t>
            </w:r>
          </w:p>
        </w:tc>
        <w:tc>
          <w:tcPr>
            <w:tcW w:w="0" w:type="dxa"/>
            <w:vAlign w:val="center"/>
          </w:tcPr>
          <w:p>
            <w:pPr>
              <w:spacing w:line="240" w:lineRule="auto"/>
              <w:jc w:val="right"/>
            </w:pPr>
            <w:r>
              <w:rPr>
                <w:rFonts w:ascii="宋体" w:hAnsi="宋体" w:eastAsia="宋体" w:cs="宋体"/>
                <w:b w:val="0"/>
              </w:rPr>
              <w:t>37,000</w:t>
            </w:r>
          </w:p>
        </w:tc>
        <w:tc>
          <w:tcPr>
            <w:tcW w:w="0" w:type="dxa"/>
            <w:vAlign w:val="center"/>
          </w:tcPr>
          <w:p>
            <w:pPr>
              <w:spacing w:line="240" w:lineRule="auto"/>
              <w:jc w:val="right"/>
            </w:pPr>
            <w:r>
              <w:rPr>
                <w:rFonts w:ascii="宋体" w:hAnsi="宋体" w:eastAsia="宋体" w:cs="宋体"/>
                <w:b w:val="0"/>
              </w:rPr>
              <w:t>3,723,470.16</w:t>
            </w:r>
          </w:p>
        </w:tc>
        <w:tc>
          <w:tcPr>
            <w:tcW w:w="0" w:type="dxa"/>
            <w:vAlign w:val="center"/>
          </w:tcPr>
          <w:p>
            <w:pPr>
              <w:spacing w:line="240" w:lineRule="auto"/>
              <w:jc w:val="right"/>
            </w:pPr>
            <w:r>
              <w:rPr>
                <w:rFonts w:ascii="宋体" w:hAnsi="宋体" w:eastAsia="宋体" w:cs="宋体"/>
                <w:b w:val="0"/>
              </w:rPr>
              <w:t>5.32</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275,231.03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275,348.85</w:t>
            </w:r>
          </w:p>
        </w:tc>
      </w:tr>
    </w:tbl>
    <w:p/>
    <w:p>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东方阿尔法兴科一年持有混合A</w:t>
            </w:r>
          </w:p>
        </w:tc>
        <w:tc>
          <w:tcPr>
            <w:tcW w:w="1300" w:type="pct"/>
            <w:vAlign w:val="center"/>
          </w:tcPr>
          <w:p>
            <w:pPr>
              <w:spacing w:line="240" w:lineRule="auto"/>
              <w:jc w:val="center"/>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145,271,137.53</w:t>
            </w:r>
          </w:p>
        </w:tc>
        <w:tc>
          <w:tcPr>
            <w:tcW w:w="1300" w:type="pct"/>
            <w:vAlign w:val="center"/>
          </w:tcPr>
          <w:p>
            <w:pPr>
              <w:spacing w:line="240" w:lineRule="auto"/>
              <w:jc w:val="right"/>
            </w:pPr>
            <w:r>
              <w:rPr>
                <w:rFonts w:ascii="宋体" w:hAnsi="宋体" w:eastAsia="宋体" w:cs="宋体"/>
                <w:b w:val="0"/>
              </w:rPr>
              <w:t>30,752,001.09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66,101.84</w:t>
            </w:r>
          </w:p>
        </w:tc>
        <w:tc>
          <w:tcPr>
            <w:tcW w:w="1300" w:type="pct"/>
            <w:vAlign w:val="center"/>
          </w:tcPr>
          <w:p>
            <w:pPr>
              <w:spacing w:line="240" w:lineRule="auto"/>
              <w:jc w:val="right"/>
            </w:pPr>
            <w:r>
              <w:rPr>
                <w:rFonts w:ascii="宋体" w:hAnsi="宋体" w:eastAsia="宋体" w:cs="宋体"/>
                <w:b w:val="0"/>
              </w:rPr>
              <w:t>1,977,511.26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83,907,569.27</w:t>
            </w:r>
          </w:p>
        </w:tc>
        <w:tc>
          <w:tcPr>
            <w:tcW w:w="1300" w:type="pct"/>
            <w:vAlign w:val="center"/>
          </w:tcPr>
          <w:p>
            <w:pPr>
              <w:spacing w:line="240" w:lineRule="auto"/>
              <w:jc w:val="right"/>
            </w:pPr>
            <w:r>
              <w:rPr>
                <w:rFonts w:ascii="宋体" w:hAnsi="宋体" w:eastAsia="宋体" w:cs="宋体"/>
                <w:b w:val="0"/>
              </w:rPr>
              <w:t>18,562,432.38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61,429,670.10</w:t>
            </w:r>
          </w:p>
        </w:tc>
        <w:tc>
          <w:tcPr>
            <w:tcW w:w="1300" w:type="pct"/>
            <w:vAlign w:val="center"/>
          </w:tcPr>
          <w:p>
            <w:pPr>
              <w:spacing w:line="240" w:lineRule="auto"/>
              <w:jc w:val="right"/>
            </w:pPr>
            <w:r>
              <w:rPr>
                <w:rFonts w:ascii="宋体" w:hAnsi="宋体" w:eastAsia="宋体" w:cs="宋体"/>
                <w:b w:val="0"/>
              </w:rPr>
              <w:t>14,167,079.97</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177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东方阿尔法兴科一年持有混合A</w:t>
            </w:r>
          </w:p>
        </w:tc>
        <w:tc>
          <w:tcPr>
            <w:tcW w:w="950" w:type="pct"/>
            <w:vAlign w:val="center"/>
          </w:tcPr>
          <w:p>
            <w:pPr>
              <w:spacing w:line="240" w:lineRule="auto"/>
              <w:jc w:val="center"/>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5,024,641.70</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5,024,641.70</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798"/>
        <w:gridCol w:w="1798"/>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交易方式</w:t>
            </w:r>
          </w:p>
        </w:tc>
        <w:tc>
          <w:tcPr>
            <w:tcW w:w="769" w:type="pct"/>
            <w:shd w:val="clear" w:color="auto" w:fill="D9D9D9"/>
            <w:vAlign w:val="center"/>
          </w:tcPr>
          <w:p>
            <w:pPr>
              <w:spacing w:line="240" w:lineRule="auto"/>
              <w:jc w:val="center"/>
            </w:pPr>
            <w:r>
              <w:rPr>
                <w:rFonts w:ascii="宋体" w:hAnsi="宋体" w:eastAsia="宋体" w:cs="宋体"/>
                <w:b w:val="0"/>
              </w:rPr>
              <w:t>交易日期</w:t>
            </w:r>
          </w:p>
        </w:tc>
        <w:tc>
          <w:tcPr>
            <w:tcW w:w="923" w:type="pct"/>
            <w:shd w:val="clear" w:color="auto" w:fill="D9D9D9"/>
            <w:vAlign w:val="center"/>
          </w:tcPr>
          <w:p>
            <w:pPr>
              <w:spacing w:line="240" w:lineRule="auto"/>
              <w:jc w:val="center"/>
            </w:pPr>
            <w:r>
              <w:rPr>
                <w:rFonts w:ascii="宋体" w:hAnsi="宋体" w:eastAsia="宋体" w:cs="宋体"/>
                <w:b w:val="0"/>
              </w:rPr>
              <w:t>交易份额（份）</w:t>
            </w:r>
          </w:p>
        </w:tc>
        <w:tc>
          <w:tcPr>
            <w:tcW w:w="923" w:type="pct"/>
            <w:shd w:val="clear" w:color="auto" w:fill="D9D9D9"/>
            <w:vAlign w:val="center"/>
          </w:tcPr>
          <w:p>
            <w:pPr>
              <w:spacing w:line="240" w:lineRule="auto"/>
              <w:jc w:val="center"/>
            </w:pPr>
            <w:r>
              <w:rPr>
                <w:rFonts w:ascii="宋体" w:hAnsi="宋体" w:eastAsia="宋体" w:cs="宋体"/>
                <w:b w:val="0"/>
              </w:rPr>
              <w:t>交易金额 （元）</w:t>
            </w:r>
          </w:p>
        </w:tc>
        <w:tc>
          <w:tcPr>
            <w:tcW w:w="769" w:type="pct"/>
            <w:shd w:val="clear" w:color="auto" w:fill="D9D9D9"/>
            <w:vAlign w:val="center"/>
          </w:tcPr>
          <w:p>
            <w:pPr>
              <w:spacing w:line="240" w:lineRule="auto"/>
              <w:jc w:val="center"/>
            </w:pPr>
            <w:r>
              <w:rPr>
                <w:rFonts w:ascii="宋体" w:hAnsi="宋体" w:eastAsia="宋体" w:cs="宋体"/>
                <w:b w:val="0"/>
              </w:rPr>
              <w:t>适用费率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申赎</w:t>
            </w:r>
          </w:p>
        </w:tc>
        <w:tc>
          <w:tcPr>
            <w:tcW w:w="0" w:type="dxa"/>
            <w:vAlign w:val="center"/>
          </w:tcPr>
          <w:p>
            <w:pPr>
              <w:spacing w:line="240" w:lineRule="auto"/>
              <w:jc w:val="center"/>
            </w:pPr>
            <w:r>
              <w:rPr>
                <w:rFonts w:ascii="宋体" w:hAnsi="宋体" w:eastAsia="宋体" w:cs="宋体"/>
                <w:b w:val="0"/>
              </w:rPr>
              <w:t>2025-08-12</w:t>
            </w:r>
          </w:p>
        </w:tc>
        <w:tc>
          <w:tcPr>
            <w:tcW w:w="0" w:type="dxa"/>
            <w:vAlign w:val="center"/>
          </w:tcPr>
          <w:p>
            <w:pPr>
              <w:spacing w:line="240" w:lineRule="auto"/>
              <w:jc w:val="right"/>
            </w:pPr>
            <w:r>
              <w:rPr>
                <w:rFonts w:ascii="宋体" w:hAnsi="宋体" w:eastAsia="宋体" w:cs="宋体"/>
                <w:b w:val="0"/>
              </w:rPr>
              <w:t>-5,024,641.70</w:t>
            </w:r>
          </w:p>
        </w:tc>
        <w:tc>
          <w:tcPr>
            <w:tcW w:w="0" w:type="dxa"/>
            <w:vAlign w:val="center"/>
          </w:tcPr>
          <w:p>
            <w:pPr>
              <w:spacing w:line="240" w:lineRule="auto"/>
              <w:jc w:val="right"/>
            </w:pPr>
            <w:r>
              <w:rPr>
                <w:rFonts w:ascii="宋体" w:hAnsi="宋体" w:eastAsia="宋体" w:cs="宋体"/>
                <w:b w:val="0"/>
              </w:rPr>
              <w:t>-4,429,221.66</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left"/>
            </w:pP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-5,024,641.70</w:t>
            </w:r>
          </w:p>
        </w:tc>
        <w:tc>
          <w:tcPr>
            <w:tcW w:w="0" w:type="dxa"/>
            <w:vAlign w:val="center"/>
          </w:tcPr>
          <w:p>
            <w:pPr>
              <w:spacing w:line="240" w:lineRule="auto"/>
              <w:jc w:val="right"/>
            </w:pPr>
            <w:r>
              <w:rPr>
                <w:rFonts w:ascii="宋体" w:hAnsi="宋体" w:eastAsia="宋体" w:cs="宋体"/>
                <w:b w:val="0"/>
              </w:rPr>
              <w:t>-4,429,221.66</w:t>
            </w:r>
          </w:p>
        </w:tc>
        <w:tc>
          <w:tcPr>
            <w:tcW w:w="0" w:type="dxa"/>
            <w:vAlign w:val="center"/>
          </w:tcPr>
          <w:p>
            <w:pPr>
              <w:spacing w:line="240" w:lineRule="auto"/>
              <w:jc w:val="left"/>
            </w:pPr>
          </w:p>
        </w:tc>
      </w:tr>
    </w:tbl>
    <w:p>
      <w:r>
        <w:rPr>
          <w:rFonts w:ascii="宋体" w:hAnsi="宋体" w:eastAsia="宋体" w:cs="宋体"/>
          <w:b w:val="0"/>
        </w:rPr>
        <w:t>注：本基金管理人运用固有资金申赎（包含转换）本基金所适用费率符合基金招募说明书和相关公告的规定。</w:t>
      </w:r>
    </w:p>
    <w:p>
      <w:pPr>
        <w:pStyle w:val="2"/>
        <w:jc w:val="center"/>
      </w:pPr>
      <w:r>
        <w:rPr>
          <w:rFonts w:ascii="宋体" w:hAnsi="宋体" w:eastAsia="宋体" w:cs="宋体"/>
        </w:rPr>
        <w:t>§8 影响投资者决策的其他重要信息</w:t>
      </w:r>
    </w:p>
    <w:p>
      <w:pPr>
        <w:pStyle w:val="3"/>
        <w:jc w:val="left"/>
      </w:pPr>
      <w:r>
        <w:rPr>
          <w:rFonts w:ascii="宋体" w:hAnsi="宋体" w:eastAsia="宋体" w:cs="宋体"/>
        </w:rPr>
        <w:t>8.1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581"/>
        <w:gridCol w:w="103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2025年07月09日-2025年08月06日</w:t>
            </w:r>
          </w:p>
        </w:tc>
        <w:tc>
          <w:tcPr>
            <w:tcW w:w="0" w:type="dxa"/>
            <w:vAlign w:val="center"/>
          </w:tcPr>
          <w:p>
            <w:pPr>
              <w:spacing w:line="240" w:lineRule="auto"/>
              <w:jc w:val="right"/>
            </w:pPr>
            <w:r>
              <w:rPr>
                <w:rFonts w:ascii="宋体" w:hAnsi="宋体" w:eastAsia="宋体" w:cs="宋体"/>
                <w:b w:val="0"/>
              </w:rPr>
              <w:t>30,000,350.00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30,000,350.00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个人</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2025年07月01日-2025年07月08日</w:t>
            </w:r>
          </w:p>
        </w:tc>
        <w:tc>
          <w:tcPr>
            <w:tcW w:w="0" w:type="dxa"/>
            <w:vAlign w:val="center"/>
          </w:tcPr>
          <w:p>
            <w:pPr>
              <w:spacing w:line="240" w:lineRule="auto"/>
              <w:jc w:val="right"/>
            </w:pPr>
            <w:r>
              <w:rPr>
                <w:rFonts w:ascii="宋体" w:hAnsi="宋体" w:eastAsia="宋体" w:cs="宋体"/>
                <w:b w:val="0"/>
              </w:rPr>
              <w:t>49,201,250.00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49,201,250.00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8.2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§9 备查文件目录</w:t>
      </w:r>
    </w:p>
    <w:p>
      <w:pPr>
        <w:pStyle w:val="3"/>
        <w:jc w:val="left"/>
      </w:pPr>
      <w:r>
        <w:rPr>
          <w:rFonts w:ascii="宋体" w:hAnsi="宋体" w:eastAsia="宋体" w:cs="宋体"/>
        </w:rPr>
        <w:t>9.1 备查文件目录</w:t>
      </w:r>
    </w:p>
    <w:p>
      <w:r>
        <w:rPr>
          <w:rFonts w:ascii="宋体" w:hAnsi="宋体" w:eastAsia="宋体" w:cs="宋体"/>
          <w:b w:val="0"/>
        </w:rPr>
        <w:t xml:space="preserve">    1、中国证券监督管理委员会批准的东方阿尔法兴科一年持有期混合型证券投资基金设立的文件；</w:t>
      </w:r>
      <w:r>
        <w:rPr>
          <w:rFonts w:ascii="宋体" w:hAnsi="宋体" w:eastAsia="宋体" w:cs="宋体"/>
          <w:b w:val="0"/>
        </w:rPr>
        <w:cr/>
      </w:r>
      <w:r>
        <w:rPr>
          <w:rFonts w:ascii="宋体" w:hAnsi="宋体" w:eastAsia="宋体" w:cs="宋体"/>
          <w:b w:val="0"/>
        </w:rPr>
        <w:t xml:space="preserve">    2、《东方阿尔法兴科一年持有期混合型证券投资基金基金合同》；</w:t>
      </w:r>
      <w:r>
        <w:rPr>
          <w:rFonts w:ascii="宋体" w:hAnsi="宋体" w:eastAsia="宋体" w:cs="宋体"/>
          <w:b w:val="0"/>
        </w:rPr>
        <w:cr/>
      </w:r>
      <w:r>
        <w:rPr>
          <w:rFonts w:ascii="宋体" w:hAnsi="宋体" w:eastAsia="宋体" w:cs="宋体"/>
          <w:b w:val="0"/>
        </w:rPr>
        <w:t xml:space="preserve">    3、《东方阿尔法兴科一年持有期混合型证券投资基金托管协议》；</w:t>
      </w:r>
      <w:r>
        <w:rPr>
          <w:rFonts w:ascii="宋体" w:hAnsi="宋体" w:eastAsia="宋体" w:cs="宋体"/>
          <w:b w:val="0"/>
        </w:rPr>
        <w:cr/>
      </w:r>
      <w:r>
        <w:rPr>
          <w:rFonts w:ascii="宋体" w:hAnsi="宋体" w:eastAsia="宋体" w:cs="宋体"/>
          <w:b w:val="0"/>
        </w:rPr>
        <w:t xml:space="preserve">    4、《东方阿尔法兴科一年持有期混合型证券投资基金招募说明书》；</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9.2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9.3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二〇二五年十月二十五日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东方阿尔法兴科一年持有期混合型证券投资基金2025年第3季度报告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AE02ACE"/>
    <w:rsid w:val="312016A7"/>
    <w:rsid w:val="328572ED"/>
    <w:rsid w:val="3BCA3BF1"/>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2025-10-23T06:42:10Z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