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6CD91" w14:textId="77777777" w:rsidR="00033BEA" w:rsidRDefault="00033BEA" w:rsidP="00A76644">
      <w:pPr>
        <w:pStyle w:val="TOC1"/>
        <w:tabs>
          <w:tab w:val="right" w:leader="dot" w:pos="9080"/>
        </w:tabs>
        <w:spacing w:before="72" w:after="120"/>
        <w:jc w:val="center"/>
        <w:rPr>
          <w:rFonts w:ascii="宋体" w:hAnsi="宋体"/>
          <w:b/>
          <w:bCs/>
          <w:sz w:val="24"/>
        </w:rPr>
      </w:pPr>
    </w:p>
    <w:p w14:paraId="52A90100" w14:textId="77777777" w:rsidR="00033BEA" w:rsidRDefault="00033BEA" w:rsidP="00A76644">
      <w:pPr>
        <w:pStyle w:val="TOC1"/>
        <w:tabs>
          <w:tab w:val="right" w:leader="dot" w:pos="9080"/>
        </w:tabs>
        <w:spacing w:before="72" w:after="120"/>
        <w:jc w:val="center"/>
        <w:rPr>
          <w:rFonts w:ascii="宋体" w:hAnsi="宋体"/>
          <w:b/>
          <w:bCs/>
          <w:sz w:val="24"/>
        </w:rPr>
      </w:pPr>
    </w:p>
    <w:p w14:paraId="38984839"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东方阿尔法医疗健康混合型发起式证券投资基金</w:t>
      </w:r>
      <w:proofErr w:type="spellStart"/>
      <w:proofErr w:type="spellEnd"/>
    </w:p>
    <w:p w14:paraId="451789C6"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2025年第3季度报告</w:t>
      </w:r>
      <w:proofErr w:type="spellStart"/>
      <w:proofErr w:type="spellEnd"/>
    </w:p>
    <w:p w14:paraId="330D4D51" w14:textId="77777777" w:rsidR="00695511" w:rsidRPr="00A76644" w:rsidRDefault="00315609" w:rsidP="00421707">
      <w:pPr>
        <w:pStyle w:val="TOC1"/>
        <w:tabs>
          <w:tab w:val="right" w:leader="dot" w:pos="9080"/>
        </w:tabs>
        <w:spacing w:line="480" w:lineRule="auto"/>
        <w:jc w:val="center"/>
        <w:rPr>
          <w:rFonts w:ascii="宋体" w:eastAsia="宋体" w:hAnsi="宋体" w:cs="宋体"/>
          <w:b/>
          <w:bCs/>
          <w:sz w:val="24"/>
        </w:rPr>
      </w:pPr>
      <w:r>
        <w:rPr>
          <w:rFonts w:ascii="宋体" w:eastAsia="宋体" w:hAnsi="宋体" w:cs="宋体" w:hint="eastAsia"/>
          <w:b/>
          <w:bCs/>
          <w:sz w:val="24"/>
        </w:rPr>
        <w:t>2025年09月30日</w:t>
      </w:r>
      <w:proofErr w:type="spellStart"/>
      <w:proofErr w:type="spellEnd"/>
    </w:p>
    <w:p w14:paraId="205BF4D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2CCC2D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45B4059"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C03714"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80DD33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56C070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C562D33"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110C3F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3A845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EF2E9F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807BBEC"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BC10FD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88AAE4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4C086D"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7EEBE70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0B08E8"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基金管理人:</w:t>
      </w:r>
      <w:proofErr w:type="spellStart"/>
      <w:proofErr w:type="spellEnd"/>
      <w:r>
        <w:rPr>
          <w:rFonts w:ascii="宋体" w:hAnsi="宋体" w:cs="宋体" w:eastAsia="宋体"/>
          <w:b w:val="true"/>
          <w:color w:val=""/>
          <w:sz w:val="24"/>
          <w:u w:val="none"/>
        </w:rPr>
        <w:t>东方阿尔法基金管理有限公司</w:t>
      </w:r>
    </w:p>
    <w:p w14:paraId="31616E72"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基金托管人:</w:t>
      </w:r>
      <w:proofErr w:type="spellStart"/>
      <w:proofErr w:type="spellEnd"/>
      <w:r>
        <w:rPr>
          <w:rFonts w:ascii="宋体" w:hAnsi="宋体" w:cs="宋体" w:eastAsia="宋体"/>
          <w:b w:val="true"/>
          <w:color w:val=""/>
          <w:sz w:val="24"/>
          <w:u w:val="none"/>
        </w:rPr>
        <w:t>招商银行股份有限公司</w:t>
      </w:r>
    </w:p>
    <w:p w14:paraId="01D6CDCE"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报告送出日期:</w:t>
      </w:r>
      <w:proofErr w:type="spellStart"/>
      <w:proofErr w:type="spellEnd"/>
      <w:r>
        <w:rPr>
          <w:rFonts w:ascii="宋体" w:hAnsi="宋体" w:cs="宋体" w:eastAsia="宋体"/>
          <w:b w:val="true"/>
          <w:color w:val=""/>
          <w:sz w:val="24"/>
          <w:u w:val="none"/>
        </w:rPr>
        <w:t>2025年10月25日</w:t>
      </w:r>
    </w:p>
    <w:p w14:paraId="28A208C4" w14:textId="77777777" w:rsidR="00396EB6" w:rsidRDefault="00315609" w:rsidP="00A76644">
      <w:pPr>
        <w:jc w:val="center"/>
      </w:pPr>
      <w:r>
        <w:br w:type="page"/>
      </w:r>
    </w:p>
    <w:p w14:paraId="6B371222" w14:textId="77777777" w:rsidR="00C370BD" w:rsidRPr="00C370BD" w:rsidRDefault="00C370BD" w:rsidP="00801225">
      <w:pPr>
        <w:pStyle w:val="1"/>
        <w:spacing w:line="576" w:lineRule="auto"/>
        <w:jc w:val="center"/>
        <w:rPr>
          <w:rFonts w:ascii="宋体" w:eastAsia="宋体" w:hAnsi="宋体"/>
          <w:sz w:val="24"/>
          <w:szCs w:val="24"/>
        </w:rPr>
      </w:pPr>
      <w:bookmarkStart w:id="0" w:name="_Toc73379713"/>
      <w:r w:rsidRPr="00C370BD">
        <w:rPr>
          <w:rFonts w:ascii="宋体" w:eastAsia="宋体" w:hAnsi="宋体" w:hint="eastAsia"/>
          <w:bCs w:val="0"/>
          <w:sz w:val="24"/>
          <w:szCs w:val="24"/>
        </w:rPr>
        <w:lastRenderedPageBreak/>
        <w:t>§1 重要提示</w:t>
      </w:r>
      <w:bookmarkEnd w:id="0"/>
    </w:p>
    <w:p w14:paraId="7F352D6E" w14:textId="35951F40" w:rsidR="00F07C93" w:rsidRDefault="00F07C93" w:rsidP="00E67AEA">
      <w:pPr>
        <w:widowControl/>
        <w:rPr>
          <w:rFonts w:ascii="宋体" w:eastAsia="宋体" w:hAnsi="宋体"/>
        </w:rPr>
      </w:pPr>
      <w:r>
        <w:t xml:space="preserve">    基金管理人的董事会及董事保证本报告所载资料不存在虚假记载、误导性陈述或重大遗漏，并对其内容的真实性、准确性和完整性承担个别及连带责任。</w:t>
        <w:cr/>
        <w:t xml:space="preserve">    基金托管人招商银行股份有限公司根据本基金合同规定，于2025年10月24日复核了本报告中的财务指标、净值表现和投资组合报告等内容，保证复核内容不存在虚假记载、误导性陈述或者重大遗漏。</w:t>
        <w:cr/>
        <w:t xml:space="preserve">    基金管理人承诺以诚实信用、勤勉尽责的原则管理和运用基金资产，但不保证基金一定盈利。</w:t>
        <w:cr/>
        <w:t xml:space="preserve">    基金的过往业绩并不代表其未来表现。投资有风险，投资者在做出投资决策前应仔细阅读本基金的招募说明书。</w:t>
        <w:cr/>
        <w:t xml:space="preserve">    本报告中财务资料未经审计。</w:t>
        <w:cr/>
        <w:t xml:space="preserve">    本报告期自2025年07月01日起至2025年09月30日止。</w:t>
      </w:r>
      <w:proofErr w:type="spellStart"/>
      <w:proofErr w:type="spellEnd"/>
    </w:p>
    <w:p/>
    <w:p>
      <w:pPr>
        <w:pStyle w:val="1"/>
        <w:jc w:val="center"/>
      </w:pPr>
      <w:r>
        <w:rPr>
          <w:rFonts w:ascii="宋体" w:hAnsi="宋体" w:cs="宋体" w:eastAsia="宋体"/>
        </w:rPr>
        <w:t>§2 基金产品概况</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vAlign w:val="center"/>
          </w:tcPr>
          <w:p>
            <w:pPr>
              <w:spacing w:line="240" w:lineRule="auto"/>
              <w:jc w:val="left"/>
            </w:pPr>
            <w:r>
              <w:rPr>
                <w:rFonts w:ascii="宋体" w:hAnsi="宋体" w:cs="宋体" w:eastAsia="宋体"/>
                <w:b w:val="false"/>
              </w:rPr>
              <w:t>基金简称</w:t>
            </w:r>
          </w:p>
        </w:tc>
        <w:tc>
          <w:tcPr>
            <w:tcW w:type="pct" w:w="3077"/>
            <w:hMerge w:val="restart"/>
            <w:vAlign w:val="center"/>
          </w:tcPr>
          <w:p>
            <w:pPr>
              <w:spacing w:line="240" w:lineRule="auto"/>
              <w:jc w:val="left"/>
            </w:pPr>
            <w:r>
              <w:rPr>
                <w:rFonts w:ascii="宋体" w:hAnsi="宋体" w:cs="宋体" w:eastAsia="宋体"/>
                <w:b w:val="false"/>
              </w:rPr>
              <w:t>东方阿尔法医疗健康混合发起</w:t>
            </w:r>
          </w:p>
        </w:tc>
        <w:tc>
          <w:tcPr>
            <w:hMerge w:val="continue"/>
          </w:tcPr>
          <w:p/>
        </w:tc>
      </w:tr>
      <w:tr>
        <w:tc>
          <w:tcPr>
            <w:tcW w:type="pct" w:w="1923"/>
            <w:vAlign w:val="center"/>
          </w:tcPr>
          <w:p>
            <w:pPr>
              <w:spacing w:line="240" w:lineRule="auto"/>
              <w:jc w:val="left"/>
            </w:pPr>
            <w:r>
              <w:rPr>
                <w:rFonts w:ascii="宋体" w:hAnsi="宋体" w:cs="宋体" w:eastAsia="宋体"/>
                <w:b w:val="false"/>
              </w:rPr>
              <w:t>基金主代码</w:t>
            </w:r>
          </w:p>
        </w:tc>
        <w:tc>
          <w:tcPr>
            <w:tcW/>
            <w:hMerge w:val="restart"/>
            <w:vAlign w:val="center"/>
          </w:tcPr>
          <w:p>
            <w:pPr>
              <w:spacing w:line="240" w:lineRule="auto"/>
              <w:jc w:val="left"/>
            </w:pPr>
            <w:r>
              <w:rPr>
                <w:rFonts w:ascii="宋体" w:hAnsi="宋体" w:cs="宋体" w:eastAsia="宋体"/>
                <w:b w:val="false"/>
              </w:rPr>
              <w:t>014841</w:t>
            </w:r>
          </w:p>
        </w:tc>
        <w:tc>
          <w:tcPr>
            <w:hMerge w:val="continue"/>
          </w:tcPr>
          <w:p/>
        </w:tc>
      </w:tr>
      <w:tr>
        <w:tc>
          <w:tcPr>
            <w:tcW w:type="pct" w:w="1923"/>
            <w:vAlign w:val="center"/>
          </w:tcPr>
          <w:p>
            <w:pPr>
              <w:spacing w:line="240" w:lineRule="auto"/>
              <w:jc w:val="left"/>
            </w:pPr>
            <w:r>
              <w:rPr>
                <w:rFonts w:ascii="宋体" w:hAnsi="宋体" w:cs="宋体" w:eastAsia="宋体"/>
                <w:b w:val="false"/>
              </w:rPr>
              <w:t>基金运作方式</w:t>
            </w:r>
          </w:p>
        </w:tc>
        <w:tc>
          <w:tcPr>
            <w:tcW/>
            <w:hMerge w:val="restart"/>
            <w:vAlign w:val="center"/>
          </w:tcPr>
          <w:p>
            <w:pPr>
              <w:spacing w:line="240" w:lineRule="auto"/>
              <w:jc w:val="left"/>
            </w:pPr>
            <w:r>
              <w:rPr>
                <w:rFonts w:ascii="宋体" w:hAnsi="宋体" w:cs="宋体" w:eastAsia="宋体"/>
                <w:b w:val="false"/>
              </w:rPr>
              <w:t>契约型开放式</w:t>
            </w:r>
          </w:p>
        </w:tc>
        <w:tc>
          <w:tcPr>
            <w:hMerge w:val="continue"/>
          </w:tcPr>
          <w:p/>
        </w:tc>
      </w:tr>
      <w:tr>
        <w:tc>
          <w:tcPr>
            <w:tcW w:type="pct" w:w="1923"/>
            <w:vAlign w:val="center"/>
          </w:tcPr>
          <w:p>
            <w:pPr>
              <w:spacing w:line="240" w:lineRule="auto"/>
              <w:jc w:val="left"/>
            </w:pPr>
            <w:r>
              <w:rPr>
                <w:rFonts w:ascii="宋体" w:hAnsi="宋体" w:cs="宋体" w:eastAsia="宋体"/>
                <w:b w:val="false"/>
              </w:rPr>
              <w:t>基金合同生效日</w:t>
            </w:r>
          </w:p>
        </w:tc>
        <w:tc>
          <w:tcPr>
            <w:tcW/>
            <w:hMerge w:val="restart"/>
            <w:vAlign w:val="center"/>
          </w:tcPr>
          <w:p>
            <w:pPr>
              <w:spacing w:line="240" w:lineRule="auto"/>
              <w:jc w:val="left"/>
            </w:pPr>
            <w:r>
              <w:rPr>
                <w:rFonts w:ascii="宋体" w:hAnsi="宋体" w:cs="宋体" w:eastAsia="宋体"/>
                <w:b w:val="false"/>
              </w:rPr>
              <w:t>2022年03月30日</w:t>
            </w:r>
          </w:p>
        </w:tc>
        <w:tc>
          <w:tcPr>
            <w:hMerge w:val="continue"/>
          </w:tcPr>
          <w:p/>
        </w:tc>
      </w:tr>
      <w:tr>
        <w:tc>
          <w:tcPr>
            <w:tcW w:type="pct" w:w="1923"/>
            <w:vAlign w:val="center"/>
          </w:tcPr>
          <w:p>
            <w:pPr>
              <w:spacing w:line="240" w:lineRule="auto"/>
              <w:jc w:val="left"/>
            </w:pPr>
            <w:r>
              <w:rPr>
                <w:rFonts w:ascii="宋体" w:hAnsi="宋体" w:cs="宋体" w:eastAsia="宋体"/>
                <w:b w:val="false"/>
              </w:rPr>
              <w:t>报告期末基金份额总额</w:t>
            </w:r>
          </w:p>
        </w:tc>
        <w:tc>
          <w:tcPr>
            <w:tcW/>
            <w:hMerge w:val="restart"/>
            <w:vAlign w:val="center"/>
          </w:tcPr>
          <w:p>
            <w:pPr>
              <w:spacing w:line="240" w:lineRule="auto"/>
              <w:jc w:val="left"/>
            </w:pPr>
            <w:r>
              <w:rPr>
                <w:rFonts w:ascii="宋体" w:hAnsi="宋体" w:cs="宋体" w:eastAsia="宋体"/>
                <w:b w:val="false"/>
              </w:rPr>
              <w:t>131,347,314.97份</w:t>
            </w:r>
          </w:p>
        </w:tc>
        <w:tc>
          <w:tcPr>
            <w:hMerge w:val="continue"/>
          </w:tcPr>
          <w:p/>
        </w:tc>
      </w:tr>
      <w:tr>
        <w:tc>
          <w:tcPr>
            <w:tcW w:type="pct" w:w="1923"/>
            <w:vAlign w:val="center"/>
          </w:tcPr>
          <w:p>
            <w:pPr>
              <w:spacing w:line="240" w:lineRule="auto"/>
              <w:jc w:val="left"/>
            </w:pPr>
            <w:r>
              <w:rPr>
                <w:rFonts w:ascii="宋体" w:hAnsi="宋体" w:cs="宋体" w:eastAsia="宋体"/>
                <w:b w:val="false"/>
              </w:rPr>
              <w:t>投资目标</w:t>
            </w:r>
          </w:p>
        </w:tc>
        <w:tc>
          <w:tcPr>
            <w:tcW w:type="pct" w:w="2592"/>
            <w:hMerge w:val="restart"/>
            <w:vAlign w:val="center"/>
          </w:tcPr>
          <w:p>
            <w:pPr>
              <w:spacing w:line="240" w:lineRule="auto"/>
              <w:jc w:val="left"/>
            </w:pPr>
            <w:r>
              <w:rPr>
                <w:rFonts w:ascii="宋体" w:hAnsi="宋体" w:cs="宋体" w:eastAsia="宋体"/>
                <w:b w:val="false"/>
              </w:rPr>
              <w:t>本基金采用自上而下与自下而上相结合的投资方法，以基本面分析为立足点，精选医疗健康相关行业证券，在科学严格管理风险的前提下，谋求基金资产的中长期稳健增值。</w:t>
            </w:r>
          </w:p>
        </w:tc>
        <w:tc>
          <w:tcPr>
            <w:hMerge w:val="continue"/>
          </w:tcPr>
          <w:p/>
        </w:tc>
      </w:tr>
      <w:tr>
        <w:tc>
          <w:tcPr>
            <w:tcW w:type="pct" w:w="1923"/>
            <w:vAlign w:val="center"/>
          </w:tcPr>
          <w:p>
            <w:pPr>
              <w:spacing w:line="240" w:lineRule="auto"/>
              <w:jc w:val="left"/>
            </w:pPr>
            <w:r>
              <w:rPr>
                <w:rFonts w:ascii="宋体" w:hAnsi="宋体" w:cs="宋体" w:eastAsia="宋体"/>
                <w:b w:val="false"/>
              </w:rPr>
              <w:t>投资策略</w:t>
            </w:r>
          </w:p>
        </w:tc>
        <w:tc>
          <w:tcPr>
            <w:tcW/>
            <w:hMerge w:val="restart"/>
            <w:vAlign w:val="center"/>
          </w:tcPr>
          <w:p>
            <w:pPr>
              <w:spacing w:line="240" w:lineRule="auto"/>
              <w:jc w:val="left"/>
            </w:pPr>
            <w:r>
              <w:rPr>
                <w:rFonts w:ascii="宋体" w:hAnsi="宋体" w:cs="宋体" w:eastAsia="宋体"/>
                <w:b w:val="false"/>
              </w:rPr>
              <w:t>本基金的投资策略主要有以下11个方面内容：</w:t>
              <w:br/>
            </w:r>
            <w:r>
              <w:rPr>
                <w:rFonts w:ascii="宋体" w:hAnsi="宋体" w:cs="宋体" w:eastAsia="宋体"/>
                <w:b w:val="false"/>
              </w:rPr>
              <w:t>1、资产配置策略</w:t>
              <w:br/>
            </w:r>
            <w:r>
              <w:rPr>
                <w:rFonts w:ascii="宋体" w:hAnsi="宋体" w:cs="宋体" w:eastAsia="宋体"/>
                <w:b w:val="false"/>
              </w:rPr>
              <w:t>本基金通过定性与定量相结合的分析方法，对系统性风险以及可预见的未来时期内各大类资产的预期风险和预期收益率进行分析评估，制定本基金在各类资产之间的配置比例、调整原则和调整范围。</w:t>
              <w:br/>
            </w:r>
            <w:r>
              <w:rPr>
                <w:rFonts w:ascii="宋体" w:hAnsi="宋体" w:cs="宋体" w:eastAsia="宋体"/>
                <w:b w:val="false"/>
              </w:rPr>
              <w:t>2、股票投资策略</w:t>
              <w:br/>
            </w:r>
            <w:r>
              <w:rPr>
                <w:rFonts w:ascii="宋体" w:hAnsi="宋体" w:cs="宋体" w:eastAsia="宋体"/>
                <w:b w:val="false"/>
              </w:rPr>
              <w:t>本基金将通过系统和深入的基本面研究，专注于医疗健康产业投资，对行业发展进行密切跟踪，根据市场不同阶段充分把握各个子行业轮动带来的投资机会。</w:t>
              <w:br/>
            </w:r>
            <w:r>
              <w:rPr>
                <w:rFonts w:ascii="宋体" w:hAnsi="宋体" w:cs="宋体" w:eastAsia="宋体"/>
                <w:b w:val="false"/>
              </w:rPr>
              <w:t>3、港股通标的股票投资策略</w:t>
              <w:br/>
            </w:r>
            <w:r>
              <w:rPr>
                <w:rFonts w:ascii="宋体" w:hAnsi="宋体" w:cs="宋体" w:eastAsia="宋体"/>
                <w:b w:val="false"/>
              </w:rPr>
              <w:t>本基金从治理结构与管理层：良好的公司治理结构，优秀、诚信的公司管理层；行业集中度及行业地位：具备独特的核心竞争优势和定价能力；公司业绩表现：具备中长期持续增长的能力；与A股同类公司相比具有估值优势的公司等方面筛选港股通标的股票。</w:t>
              <w:br/>
            </w:r>
            <w:r>
              <w:rPr>
                <w:rFonts w:ascii="宋体" w:hAnsi="宋体" w:cs="宋体" w:eastAsia="宋体"/>
                <w:b w:val="false"/>
              </w:rPr>
              <w:t>4、存托凭证投资策略</w:t>
              <w:br/>
            </w:r>
            <w:r>
              <w:rPr>
                <w:rFonts w:ascii="宋体" w:hAnsi="宋体" w:cs="宋体" w:eastAsia="宋体"/>
                <w:b w:val="false"/>
              </w:rPr>
              <w:t>本基金可投资存托凭证，本基金将在深入研究的基础上，通过定性分析和定量分析相结合的方式，选择投资价值高的存托凭证进行投资。</w:t>
              <w:br/>
            </w:r>
            <w:r>
              <w:rPr>
                <w:rFonts w:ascii="宋体" w:hAnsi="宋体" w:cs="宋体" w:eastAsia="宋体"/>
                <w:b w:val="false"/>
              </w:rPr>
              <w:t>5、债券类资产投资策略</w:t>
              <w:br/>
            </w:r>
            <w:r>
              <w:rPr>
                <w:rFonts w:ascii="宋体" w:hAnsi="宋体" w:cs="宋体" w:eastAsia="宋体"/>
                <w:b w:val="false"/>
              </w:rPr>
              <w:t>本基金将采取较为积极的债券投资策略，通过利率预测分析、收益率曲线变动分析、债券信用分析、收益率利差分析等，研判各类属固定收益类资产的风险趋势与收益预期，精选个券进行投资。</w:t>
              <w:br/>
            </w:r>
            <w:r>
              <w:rPr>
                <w:rFonts w:ascii="宋体" w:hAnsi="宋体" w:cs="宋体" w:eastAsia="宋体"/>
                <w:b w:val="false"/>
              </w:rPr>
              <w:t>6、可转债（含分离交易可转债）及可交换债券投资策略</w:t>
              <w:br/>
            </w:r>
            <w:r>
              <w:rPr>
                <w:rFonts w:ascii="宋体" w:hAnsi="宋体" w:cs="宋体" w:eastAsia="宋体"/>
                <w:b w:val="false"/>
              </w:rPr>
              <w:t>本基金将重点关注可转债的转换价值、市场价值与其转换价值的比较、转换期限、公司经营业绩、公司当前股票价格、相关的赎回条件、回售条件等方面，以及通过对目标公司股票的投资价值分析和可交换债券的纯债部分价值分析综合开展投资决策。</w:t>
              <w:br/>
            </w:r>
            <w:r>
              <w:rPr>
                <w:rFonts w:ascii="宋体" w:hAnsi="宋体" w:cs="宋体" w:eastAsia="宋体"/>
                <w:b w:val="false"/>
              </w:rPr>
              <w:t>7、股指期货投资策略</w:t>
              <w:br/>
            </w:r>
            <w:r>
              <w:rPr>
                <w:rFonts w:ascii="宋体" w:hAnsi="宋体" w:cs="宋体" w:eastAsia="宋体"/>
                <w:b w:val="false"/>
              </w:rPr>
              <w:t>本基金以套期保值为目的，在风险可控的前提下，参与股指期货的投资。本基金还将运用股指期货来管理特殊情况下的流动性风险。</w:t>
              <w:br/>
            </w:r>
            <w:r>
              <w:rPr>
                <w:rFonts w:ascii="宋体" w:hAnsi="宋体" w:cs="宋体" w:eastAsia="宋体"/>
                <w:b w:val="false"/>
              </w:rPr>
              <w:t>8、融资业务的投资策略</w:t>
              <w:br/>
            </w:r>
            <w:r>
              <w:rPr>
                <w:rFonts w:ascii="宋体" w:hAnsi="宋体" w:cs="宋体" w:eastAsia="宋体"/>
                <w:b w:val="false"/>
              </w:rPr>
              <w:t>本基金参与融资业务，将综合考虑融资成本、保证金比例、冲抵保证金证券折算率、信用资质等条件选择合适的交易对手方。在保障基金投资组合充足流动性以及有效控制融资杠杆风险的前提下，确定融资比例。</w:t>
              <w:br/>
            </w:r>
            <w:r>
              <w:rPr>
                <w:rFonts w:ascii="宋体" w:hAnsi="宋体" w:cs="宋体" w:eastAsia="宋体"/>
                <w:b w:val="false"/>
              </w:rPr>
              <w:t>9、国债期货的投资策略</w:t>
              <w:br/>
            </w:r>
            <w:r>
              <w:rPr>
                <w:rFonts w:ascii="宋体" w:hAnsi="宋体" w:cs="宋体" w:eastAsia="宋体"/>
                <w:b w:val="false"/>
              </w:rPr>
              <w:t>本基金以套期保值为目的，以回避市场风险，通过动态管理国债期货合约数量，以萃取相应债券组合的超额收益。</w:t>
              <w:br/>
            </w:r>
            <w:r>
              <w:rPr>
                <w:rFonts w:ascii="宋体" w:hAnsi="宋体" w:cs="宋体" w:eastAsia="宋体"/>
                <w:b w:val="false"/>
              </w:rPr>
              <w:t xml:space="preserve">10、股票期权投资策略 </w:t>
              <w:br/>
            </w:r>
            <w:r>
              <w:rPr>
                <w:rFonts w:ascii="宋体" w:hAnsi="宋体" w:cs="宋体" w:eastAsia="宋体"/>
                <w:b w:val="false"/>
              </w:rPr>
              <w:t>本基金以套期保值为主要目的参与股票期权交易，结合投资目标、比例限制、风险收益特征以及法律法规的相关限定和要求，确定参与股票期权交易的投资时机和投资比例。</w:t>
              <w:br/>
            </w:r>
            <w:r>
              <w:rPr>
                <w:rFonts w:ascii="宋体" w:hAnsi="宋体" w:cs="宋体" w:eastAsia="宋体"/>
                <w:b w:val="false"/>
              </w:rPr>
              <w:t>11、资产支持证券投资策略</w:t>
              <w:br/>
            </w:r>
            <w:r>
              <w:rPr>
                <w:rFonts w:ascii="宋体" w:hAnsi="宋体" w:cs="宋体" w:eastAsia="宋体"/>
                <w:b w:val="false"/>
              </w:rPr>
              <w:t>基金将投资包括资产抵押贷款支持证券(ABS)、住房抵押贷款支持证券(MBS)等在内的资产支持证券。</w:t>
            </w:r>
          </w:p>
        </w:tc>
        <w:tc>
          <w:tcPr>
            <w:hMerge w:val="continue"/>
          </w:tcPr>
          <w:p/>
        </w:tc>
      </w:tr>
      <w:tr>
        <w:tc>
          <w:tcPr>
            <w:tcW w:type="pct" w:w="1923"/>
            <w:vAlign w:val="center"/>
          </w:tcPr>
          <w:p>
            <w:pPr>
              <w:spacing w:line="240" w:lineRule="auto"/>
              <w:jc w:val="left"/>
            </w:pPr>
            <w:r>
              <w:rPr>
                <w:rFonts w:ascii="宋体" w:hAnsi="宋体" w:cs="宋体" w:eastAsia="宋体"/>
                <w:b w:val="false"/>
              </w:rPr>
              <w:t>业绩比较基准</w:t>
            </w:r>
          </w:p>
        </w:tc>
        <w:tc>
          <w:tcPr>
            <w:tcW/>
            <w:hMerge w:val="restart"/>
            <w:vAlign w:val="center"/>
          </w:tcPr>
          <w:p>
            <w:pPr>
              <w:spacing w:line="240" w:lineRule="auto"/>
              <w:jc w:val="left"/>
            </w:pPr>
            <w:r>
              <w:rPr>
                <w:rFonts w:ascii="宋体" w:hAnsi="宋体" w:cs="宋体" w:eastAsia="宋体"/>
                <w:b w:val="false"/>
              </w:rPr>
              <w:t>中证医药卫生指数收益率×60%+恒生医疗保健指数收益率×20%+中证综合债券指数收益率×20%</w:t>
            </w:r>
          </w:p>
        </w:tc>
        <w:tc>
          <w:tcPr>
            <w:hMerge w:val="continue"/>
          </w:tcPr>
          <w:p/>
        </w:tc>
      </w:tr>
      <w:tr>
        <w:tc>
          <w:tcPr>
            <w:tcW w:type="pct" w:w="1923"/>
            <w:vAlign w:val="center"/>
          </w:tcPr>
          <w:p>
            <w:pPr>
              <w:spacing w:line="240" w:lineRule="auto"/>
              <w:jc w:val="left"/>
            </w:pPr>
            <w:r>
              <w:rPr>
                <w:rFonts w:ascii="宋体" w:hAnsi="宋体" w:cs="宋体" w:eastAsia="宋体"/>
                <w:b w:val="false"/>
              </w:rPr>
              <w:t>风险收益特征</w:t>
            </w:r>
          </w:p>
        </w:tc>
        <w:tc>
          <w:tcPr>
            <w:tcW w:type="pct" w:w="2592"/>
            <w:hMerge w:val="restart"/>
            <w:vAlign w:val="center"/>
          </w:tcPr>
          <w:p>
            <w:pPr>
              <w:spacing w:line="240" w:lineRule="auto"/>
              <w:jc w:val="left"/>
            </w:pPr>
            <w:r>
              <w:rPr>
                <w:rFonts w:ascii="宋体" w:hAnsi="宋体" w:cs="宋体" w:eastAsia="宋体"/>
                <w:b w:val="false"/>
              </w:rPr>
              <w:t>本基金为混合型基金，其预期收益和风险高于货币型基金、债券型基金。本基金如果投资港股通标的股票，需承担汇率风险以及境外市场的风险。</w:t>
            </w:r>
          </w:p>
        </w:tc>
        <w:tc>
          <w:tcPr>
            <w:hMerge w:val="continue"/>
          </w:tcPr>
          <w:p/>
        </w:tc>
      </w:tr>
      <w:tr>
        <w:tc>
          <w:tcPr>
            <w:tcW w:type="pct" w:w="1923"/>
            <w:vAlign w:val="center"/>
          </w:tcPr>
          <w:p>
            <w:pPr>
              <w:spacing w:line="240" w:lineRule="auto"/>
              <w:jc w:val="left"/>
            </w:pPr>
            <w:r>
              <w:rPr>
                <w:rFonts w:ascii="宋体" w:hAnsi="宋体" w:cs="宋体" w:eastAsia="宋体"/>
                <w:b w:val="false"/>
              </w:rPr>
              <w:t>基金管理人</w:t>
            </w:r>
          </w:p>
        </w:tc>
        <w:tc>
          <w:tcPr>
            <w:tcW/>
            <w:hMerge w:val="restart"/>
            <w:vAlign w:val="center"/>
          </w:tcPr>
          <w:p>
            <w:pPr>
              <w:spacing w:line="240" w:lineRule="auto"/>
              <w:jc w:val="left"/>
            </w:pPr>
            <w:r>
              <w:rPr>
                <w:rFonts w:ascii="宋体" w:hAnsi="宋体" w:cs="宋体" w:eastAsia="宋体"/>
                <w:b w:val="false"/>
              </w:rPr>
              <w:t>东方阿尔法基金管理有限公司</w:t>
            </w:r>
          </w:p>
        </w:tc>
        <w:tc>
          <w:tcPr>
            <w:hMerge w:val="continue"/>
          </w:tcPr>
          <w:p/>
        </w:tc>
      </w:tr>
      <w:tr>
        <w:tc>
          <w:tcPr>
            <w:tcW w:type="pct" w:w="1923"/>
            <w:vAlign w:val="center"/>
          </w:tcPr>
          <w:p>
            <w:pPr>
              <w:spacing w:line="240" w:lineRule="auto"/>
              <w:jc w:val="left"/>
            </w:pPr>
            <w:r>
              <w:rPr>
                <w:rFonts w:ascii="宋体" w:hAnsi="宋体" w:cs="宋体" w:eastAsia="宋体"/>
                <w:b w:val="false"/>
              </w:rPr>
              <w:t>基金托管人</w:t>
            </w:r>
          </w:p>
        </w:tc>
        <w:tc>
          <w:tcPr>
            <w:tcW/>
            <w:hMerge w:val="restart"/>
            <w:vAlign w:val="center"/>
          </w:tcPr>
          <w:p>
            <w:pPr>
              <w:spacing w:line="240" w:lineRule="auto"/>
              <w:jc w:val="left"/>
            </w:pPr>
            <w:r>
              <w:rPr>
                <w:rFonts w:ascii="宋体" w:hAnsi="宋体" w:cs="宋体" w:eastAsia="宋体"/>
                <w:b w:val="false"/>
              </w:rPr>
              <w:t>招商银行股份有限公司</w:t>
            </w:r>
          </w:p>
        </w:tc>
        <w:tc>
          <w:tcPr>
            <w:hMerge w:val="continue"/>
          </w:tcPr>
          <w:p/>
        </w:tc>
      </w:tr>
      <w:tr>
        <w:tc>
          <w:tcPr>
            <w:tcW/>
            <w:vAlign w:val="center"/>
          </w:tcPr>
          <w:p>
            <w:pPr>
              <w:spacing w:line="240" w:lineRule="auto"/>
              <w:jc w:val="left"/>
            </w:pPr>
            <w:r>
              <w:rPr>
                <w:rFonts w:ascii="宋体" w:hAnsi="宋体" w:cs="宋体" w:eastAsia="宋体"/>
                <w:b w:val="false"/>
              </w:rPr>
              <w:t>下属分级基金的基金简称</w:t>
            </w:r>
          </w:p>
        </w:tc>
        <w:tc>
          <w:tcPr>
            <w:tcW w:type="pct" w:w="1500"/>
            <w:vAlign w:val="center"/>
          </w:tcPr>
          <w:p>
            <w:pPr>
              <w:spacing w:line="240" w:lineRule="auto"/>
              <w:jc w:val="left"/>
            </w:pPr>
            <w:r>
              <w:rPr>
                <w:rFonts w:ascii="宋体" w:hAnsi="宋体" w:cs="宋体" w:eastAsia="宋体"/>
                <w:b w:val="false"/>
              </w:rPr>
              <w:t>东方阿尔法医疗健康混合发起A</w:t>
            </w:r>
          </w:p>
        </w:tc>
        <w:tc>
          <w:tcPr>
            <w:tcW w:type="pct" w:w="1500"/>
            <w:vAlign w:val="center"/>
          </w:tcPr>
          <w:p>
            <w:pPr>
              <w:spacing w:line="240" w:lineRule="auto"/>
              <w:jc w:val="left"/>
            </w:pPr>
            <w:r>
              <w:rPr>
                <w:rFonts w:ascii="宋体" w:hAnsi="宋体" w:cs="宋体" w:eastAsia="宋体"/>
                <w:b w:val="false"/>
              </w:rPr>
              <w:t>东方阿尔法医疗健康混合发起C</w:t>
            </w:r>
          </w:p>
        </w:tc>
      </w:tr>
      <w:tr>
        <w:tc>
          <w:tcPr>
            <w:tcW/>
            <w:vAlign w:val="center"/>
          </w:tcPr>
          <w:p>
            <w:pPr>
              <w:spacing w:line="240" w:lineRule="auto"/>
              <w:jc w:val="left"/>
            </w:pPr>
            <w:r>
              <w:rPr>
                <w:rFonts w:ascii="宋体" w:hAnsi="宋体" w:cs="宋体" w:eastAsia="宋体"/>
                <w:b w:val="false"/>
              </w:rPr>
              <w:t>下属分级基金的交易代码</w:t>
            </w:r>
          </w:p>
        </w:tc>
        <w:tc>
          <w:tcPr>
            <w:tcW w:type="pct" w:w="1500"/>
            <w:vAlign w:val="center"/>
          </w:tcPr>
          <w:p>
            <w:pPr>
              <w:spacing w:line="240" w:lineRule="auto"/>
              <w:jc w:val="left"/>
            </w:pPr>
            <w:r>
              <w:rPr>
                <w:rFonts w:ascii="宋体" w:hAnsi="宋体" w:cs="宋体" w:eastAsia="宋体"/>
                <w:b w:val="false"/>
              </w:rPr>
              <w:t>014841</w:t>
            </w:r>
          </w:p>
        </w:tc>
        <w:tc>
          <w:tcPr>
            <w:tcW w:type="pct" w:w="1500"/>
            <w:vAlign w:val="center"/>
          </w:tcPr>
          <w:p>
            <w:pPr>
              <w:spacing w:line="240" w:lineRule="auto"/>
              <w:jc w:val="left"/>
            </w:pPr>
            <w:r>
              <w:rPr>
                <w:rFonts w:ascii="宋体" w:hAnsi="宋体" w:cs="宋体" w:eastAsia="宋体"/>
                <w:b w:val="false"/>
              </w:rPr>
              <w:t>014842</w:t>
            </w:r>
          </w:p>
        </w:tc>
      </w:tr>
      <w:tr>
        <w:tc>
          <w:tcPr>
            <w:tcW/>
            <w:vAlign w:val="center"/>
          </w:tcPr>
          <w:p>
            <w:pPr>
              <w:spacing w:line="240" w:lineRule="auto"/>
              <w:jc w:val="left"/>
            </w:pPr>
            <w:r>
              <w:rPr>
                <w:rFonts w:ascii="宋体" w:hAnsi="宋体" w:cs="宋体" w:eastAsia="宋体"/>
                <w:b w:val="false"/>
              </w:rPr>
              <w:t>报告期末下属分级基金的份额总额</w:t>
            </w:r>
          </w:p>
        </w:tc>
        <w:tc>
          <w:tcPr>
            <w:tcW w:type="pct" w:w="1500"/>
            <w:vAlign w:val="center"/>
          </w:tcPr>
          <w:p>
            <w:pPr>
              <w:spacing w:line="240" w:lineRule="auto"/>
              <w:jc w:val="left"/>
            </w:pPr>
            <w:r>
              <w:rPr>
                <w:rFonts w:ascii="宋体" w:hAnsi="宋体" w:cs="宋体" w:eastAsia="宋体"/>
                <w:b w:val="false"/>
              </w:rPr>
              <w:t>60,702,901.12份</w:t>
            </w:r>
          </w:p>
        </w:tc>
        <w:tc>
          <w:tcPr>
            <w:tcW w:type="pct" w:w="1500"/>
            <w:vAlign w:val="center"/>
          </w:tcPr>
          <w:p>
            <w:pPr>
              <w:spacing w:line="240" w:lineRule="auto"/>
              <w:jc w:val="left"/>
            </w:pPr>
            <w:r>
              <w:rPr>
                <w:rFonts w:ascii="宋体" w:hAnsi="宋体" w:cs="宋体" w:eastAsia="宋体"/>
                <w:b w:val="false"/>
              </w:rPr>
              <w:t>70,644,413.85份</w:t>
            </w:r>
          </w:p>
        </w:tc>
      </w:tr>
    </w:tbl>
    <w:p>
      <w:pPr>
        <w:pStyle w:val="1"/>
        <w:jc w:val="center"/>
      </w:pPr>
      <w:r>
        <w:rPr>
          <w:rFonts w:ascii="宋体" w:hAnsi="宋体" w:cs="宋体" w:eastAsia="宋体"/>
        </w:rPr>
        <w:t>§3 主要财务指标和基金净值表现</w:t>
      </w:r>
    </w:p>
    <w:p>
      <w:pPr>
        <w:pStyle w:val="2"/>
        <w:jc w:val="left"/>
      </w:pPr>
      <w:r>
        <w:rPr>
          <w:rFonts w:ascii="宋体" w:hAnsi="宋体" w:cs="宋体" w:eastAsia="宋体"/>
        </w:rPr>
        <w:t>3.1 主要财务指标</w:t>
      </w:r>
    </w:p>
    <w:p>
      <w:pPr>
        <w:jc w:val="right"/>
      </w:pPr>
      <w:r>
        <w:rPr>
          <w:rFonts w:ascii="宋体" w:hAnsi="宋体" w:cs="宋体" w:eastAsia="宋体"/>
          <w:b w:val="false"/>
        </w:rPr>
        <w:t>单位：人民币元</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vMerge w:val="restart"/>
            <w:vAlign w:val="center"/>
          </w:tcPr>
          <w:tcPr>
            <w:shd w:fill="d9d9d9"/>
          </w:tcPr>
          <w:p>
            <w:pPr>
              <w:spacing w:line="240" w:lineRule="auto"/>
              <w:jc w:val="center"/>
            </w:pPr>
            <w:r>
              <w:rPr>
                <w:rFonts w:ascii="宋体" w:hAnsi="宋体" w:cs="宋体" w:eastAsia="宋体"/>
                <w:b w:val="true"/>
              </w:rPr>
              <w:t>主要财务指标</w:t>
            </w:r>
          </w:p>
        </w:tc>
        <w:tc>
          <w:tcPr>
            <w:tcW w:type="pct" w:w="3077"/>
            <w:hMerge w:val="restart"/>
            <w:vAlign w:val="center"/>
          </w:tcPr>
          <w:tcPr>
            <w:shd w:fill="d9d9d9"/>
          </w:tcPr>
          <w:p>
            <w:pPr>
              <w:spacing w:line="240" w:lineRule="auto"/>
              <w:jc w:val="center"/>
            </w:pPr>
            <w:r>
              <w:rPr>
                <w:rFonts w:ascii="宋体" w:hAnsi="宋体" w:cs="宋体" w:eastAsia="宋体"/>
                <w:b w:val="false"/>
              </w:rPr>
              <w:t>报告期（2025年07月01日-2025年09月30日）</w:t>
            </w:r>
          </w:p>
        </w:tc>
        <w:tc>
          <w:tcPr>
            <w:hMerge w:val="continue"/>
          </w:tcPr>
          <w:p/>
        </w:tc>
      </w:tr>
      <w:tr>
        <w:tc>
          <w:tcPr>
            <w:vMerge w:val="continue"/>
          </w:tcPr>
          <w:p/>
        </w:tc>
        <w:tc>
          <w:tcPr>
            <w:tcW w:type="pct" w:w="1500"/>
            <w:vAlign w:val="center"/>
          </w:tcPr>
          <w:tcPr>
            <w:shd w:fill="d9d9d9"/>
          </w:tcPr>
          <w:p>
            <w:pPr>
              <w:spacing w:line="240" w:lineRule="auto"/>
              <w:jc w:val="center"/>
            </w:pPr>
            <w:r>
              <w:rPr>
                <w:rFonts w:ascii="宋体" w:hAnsi="宋体" w:cs="宋体" w:eastAsia="宋体"/>
                <w:b w:val="false"/>
              </w:rPr>
              <w:t>东方阿尔法医疗健康混合发起A</w:t>
            </w:r>
          </w:p>
        </w:tc>
        <w:tc>
          <w:tcPr>
            <w:tcW w:type="pct" w:w="1500"/>
            <w:vAlign w:val="center"/>
          </w:tcPr>
          <w:tcPr>
            <w:shd w:fill="d9d9d9"/>
          </w:tcPr>
          <w:p>
            <w:pPr>
              <w:spacing w:line="240" w:lineRule="auto"/>
              <w:jc w:val="center"/>
            </w:pPr>
            <w:r>
              <w:rPr>
                <w:rFonts w:ascii="宋体" w:hAnsi="宋体" w:cs="宋体" w:eastAsia="宋体"/>
                <w:b w:val="false"/>
              </w:rPr>
              <w:t>东方阿尔法医疗健康混合发起C</w:t>
            </w:r>
          </w:p>
        </w:tc>
      </w:tr>
      <w:tr>
        <w:tc>
          <w:tcPr>
            <w:tcW/>
            <w:vAlign w:val="center"/>
          </w:tcPr>
          <w:p>
            <w:pPr>
              <w:spacing w:line="240" w:lineRule="auto"/>
              <w:jc w:val="left"/>
            </w:pPr>
            <w:r>
              <w:rPr>
                <w:rFonts w:ascii="宋体" w:hAnsi="宋体" w:cs="宋体" w:eastAsia="宋体"/>
                <w:b w:val="false"/>
              </w:rPr>
              <w:t>1.本期已实现收益</w:t>
            </w:r>
          </w:p>
        </w:tc>
        <w:tc>
          <w:tcPr>
            <w:tcW w:type="pct" w:w="1500"/>
            <w:vAlign w:val="center"/>
          </w:tcPr>
          <w:p>
            <w:pPr>
              <w:spacing w:line="240" w:lineRule="auto"/>
              <w:jc w:val="right"/>
            </w:pPr>
            <w:r>
              <w:rPr>
                <w:rFonts w:ascii="宋体" w:hAnsi="宋体" w:cs="宋体" w:eastAsia="宋体"/>
                <w:b w:val="false"/>
              </w:rPr>
              <w:t>15,347,332.13</w:t>
            </w:r>
          </w:p>
        </w:tc>
        <w:tc>
          <w:tcPr>
            <w:tcW w:type="pct" w:w="1500"/>
            <w:vAlign w:val="center"/>
          </w:tcPr>
          <w:p>
            <w:pPr>
              <w:spacing w:line="240" w:lineRule="auto"/>
              <w:jc w:val="right"/>
            </w:pPr>
            <w:r>
              <w:rPr>
                <w:rFonts w:ascii="宋体" w:hAnsi="宋体" w:cs="宋体" w:eastAsia="宋体"/>
                <w:b w:val="false"/>
              </w:rPr>
              <w:t>14,842,266.16</w:t>
            </w:r>
          </w:p>
        </w:tc>
      </w:tr>
      <w:tr>
        <w:tc>
          <w:tcPr>
            <w:tcW/>
            <w:vAlign w:val="center"/>
          </w:tcPr>
          <w:p>
            <w:pPr>
              <w:spacing w:line="240" w:lineRule="auto"/>
              <w:jc w:val="left"/>
            </w:pPr>
            <w:r>
              <w:rPr>
                <w:rFonts w:ascii="宋体" w:hAnsi="宋体" w:cs="宋体" w:eastAsia="宋体"/>
                <w:b w:val="false"/>
              </w:rPr>
              <w:t>2.本期利润</w:t>
            </w:r>
          </w:p>
        </w:tc>
        <w:tc>
          <w:tcPr>
            <w:tcW w:type="pct" w:w="1500"/>
            <w:vAlign w:val="center"/>
          </w:tcPr>
          <w:p>
            <w:pPr>
              <w:spacing w:line="240" w:lineRule="auto"/>
              <w:jc w:val="right"/>
            </w:pPr>
            <w:r>
              <w:rPr>
                <w:rFonts w:ascii="宋体" w:hAnsi="宋体" w:cs="宋体" w:eastAsia="宋体"/>
                <w:b w:val="false"/>
              </w:rPr>
              <w:t>18,838,647.18</w:t>
            </w:r>
          </w:p>
        </w:tc>
        <w:tc>
          <w:tcPr>
            <w:tcW w:type="pct" w:w="1500"/>
            <w:vAlign w:val="center"/>
          </w:tcPr>
          <w:p>
            <w:pPr>
              <w:spacing w:line="240" w:lineRule="auto"/>
              <w:jc w:val="right"/>
            </w:pPr>
            <w:r>
              <w:rPr>
                <w:rFonts w:ascii="宋体" w:hAnsi="宋体" w:cs="宋体" w:eastAsia="宋体"/>
                <w:b w:val="false"/>
              </w:rPr>
              <w:t>17,283,181.53</w:t>
            </w:r>
          </w:p>
        </w:tc>
      </w:tr>
      <w:tr>
        <w:tc>
          <w:tcPr>
            <w:tcW/>
            <w:vAlign w:val="center"/>
          </w:tcPr>
          <w:p>
            <w:pPr>
              <w:spacing w:line="240" w:lineRule="auto"/>
              <w:jc w:val="left"/>
            </w:pPr>
            <w:r>
              <w:rPr>
                <w:rFonts w:ascii="宋体" w:hAnsi="宋体" w:cs="宋体" w:eastAsia="宋体"/>
                <w:b w:val="false"/>
              </w:rPr>
              <w:t>3.加权平均基金份额本期利润</w:t>
            </w:r>
          </w:p>
        </w:tc>
        <w:tc>
          <w:tcPr>
            <w:tcW w:type="pct" w:w="1500"/>
            <w:vAlign w:val="center"/>
          </w:tcPr>
          <w:p>
            <w:pPr>
              <w:spacing w:line="240" w:lineRule="auto"/>
              <w:jc w:val="right"/>
            </w:pPr>
            <w:r>
              <w:rPr>
                <w:rFonts w:ascii="宋体" w:hAnsi="宋体" w:cs="宋体" w:eastAsia="宋体"/>
                <w:b w:val="false"/>
              </w:rPr>
              <w:t>0.2458</w:t>
            </w:r>
          </w:p>
        </w:tc>
        <w:tc>
          <w:tcPr>
            <w:tcW w:type="pct" w:w="1500"/>
            <w:vAlign w:val="center"/>
          </w:tcPr>
          <w:p>
            <w:pPr>
              <w:spacing w:line="240" w:lineRule="auto"/>
              <w:jc w:val="right"/>
            </w:pPr>
            <w:r>
              <w:rPr>
                <w:rFonts w:ascii="宋体" w:hAnsi="宋体" w:cs="宋体" w:eastAsia="宋体"/>
                <w:b w:val="false"/>
              </w:rPr>
              <w:t>0.2340</w:t>
            </w:r>
          </w:p>
        </w:tc>
      </w:tr>
      <w:tr>
        <w:tc>
          <w:tcPr>
            <w:tcW/>
            <w:vAlign w:val="center"/>
          </w:tcPr>
          <w:p>
            <w:pPr>
              <w:spacing w:line="240" w:lineRule="auto"/>
              <w:jc w:val="left"/>
            </w:pPr>
            <w:r>
              <w:rPr>
                <w:rFonts w:ascii="宋体" w:hAnsi="宋体" w:cs="宋体" w:eastAsia="宋体"/>
                <w:b w:val="false"/>
              </w:rPr>
              <w:t>4.期末基金资产净值</w:t>
            </w:r>
          </w:p>
        </w:tc>
        <w:tc>
          <w:tcPr>
            <w:tcW w:type="pct" w:w="1500"/>
            <w:vAlign w:val="center"/>
          </w:tcPr>
          <w:p>
            <w:pPr>
              <w:spacing w:line="240" w:lineRule="auto"/>
              <w:jc w:val="right"/>
            </w:pPr>
            <w:r>
              <w:rPr>
                <w:rFonts w:ascii="宋体" w:hAnsi="宋体" w:cs="宋体" w:eastAsia="宋体"/>
                <w:b w:val="false"/>
              </w:rPr>
              <w:t>78,404,885.88</w:t>
            </w:r>
          </w:p>
        </w:tc>
        <w:tc>
          <w:tcPr>
            <w:tcW w:type="pct" w:w="1500"/>
            <w:vAlign w:val="center"/>
          </w:tcPr>
          <w:p>
            <w:pPr>
              <w:spacing w:line="240" w:lineRule="auto"/>
              <w:jc w:val="right"/>
            </w:pPr>
            <w:r>
              <w:rPr>
                <w:rFonts w:ascii="宋体" w:hAnsi="宋体" w:cs="宋体" w:eastAsia="宋体"/>
                <w:b w:val="false"/>
              </w:rPr>
              <w:t>89,665,123.99</w:t>
            </w:r>
          </w:p>
        </w:tc>
      </w:tr>
      <w:tr>
        <w:tc>
          <w:tcPr>
            <w:tcW/>
            <w:vAlign w:val="center"/>
          </w:tcPr>
          <w:p>
            <w:pPr>
              <w:spacing w:line="240" w:lineRule="auto"/>
              <w:jc w:val="left"/>
            </w:pPr>
            <w:r>
              <w:rPr>
                <w:rFonts w:ascii="宋体" w:hAnsi="宋体" w:cs="宋体" w:eastAsia="宋体"/>
                <w:b w:val="false"/>
              </w:rPr>
              <w:t>5.期末基金份额净值</w:t>
            </w:r>
          </w:p>
        </w:tc>
        <w:tc>
          <w:tcPr>
            <w:tcW w:type="pct" w:w="1500"/>
            <w:vAlign w:val="center"/>
          </w:tcPr>
          <w:p>
            <w:pPr>
              <w:spacing w:line="240" w:lineRule="auto"/>
              <w:jc w:val="right"/>
            </w:pPr>
            <w:r>
              <w:rPr>
                <w:rFonts w:ascii="宋体" w:hAnsi="宋体" w:cs="宋体" w:eastAsia="宋体"/>
                <w:b w:val="false"/>
              </w:rPr>
              <w:t>1.2916</w:t>
            </w:r>
          </w:p>
        </w:tc>
        <w:tc>
          <w:tcPr>
            <w:tcW w:type="pct" w:w="1500"/>
            <w:vAlign w:val="center"/>
          </w:tcPr>
          <w:p>
            <w:pPr>
              <w:spacing w:line="240" w:lineRule="auto"/>
              <w:jc w:val="right"/>
            </w:pPr>
            <w:r>
              <w:rPr>
                <w:rFonts w:ascii="宋体" w:hAnsi="宋体" w:cs="宋体" w:eastAsia="宋体"/>
                <w:b w:val="false"/>
              </w:rPr>
              <w:t>1.2692</w:t>
            </w:r>
          </w:p>
        </w:tc>
      </w:tr>
    </w:tbl>
    <w:p>
      <w:r>
        <w:rPr>
          <w:rFonts w:ascii="宋体" w:hAnsi="宋体" w:cs="宋体" w:eastAsia="宋体"/>
          <w:b w:val="false"/>
        </w:rPr>
        <w:t>注：1、本期已实现收益指基金本期利息收入、投资收益、其他收入(不含公允价值变动收益)扣除相关费用后的余额，本期利润为本期已实现收益加上本期公允价值变动收益。</w:t>
        <w:cr/>
      </w:r>
      <w:r>
        <w:rPr>
          <w:rFonts w:ascii="宋体" w:hAnsi="宋体" w:cs="宋体" w:eastAsia="宋体"/>
          <w:b w:val="false"/>
        </w:rPr>
        <w:t>2、所述基金业绩指标不包括持有人认购或交易基金的各项费用，计入费用后实际收益水平要低于所列数字。</w:t>
      </w:r>
    </w:p>
    <w:p/>
    <w:p>
      <w:pPr>
        <w:pStyle w:val="2"/>
        <w:jc w:val="left"/>
      </w:pPr>
      <w:r>
        <w:rPr>
          <w:rFonts w:ascii="宋体" w:hAnsi="宋体" w:cs="宋体" w:eastAsia="宋体"/>
        </w:rPr>
        <w:t>3.2 基金净值表现</w:t>
      </w:r>
    </w:p>
    <w:p>
      <w:r>
        <w:rPr>
          <w:rStyle w:val="正文"/>
          <w:rFonts w:ascii="宋体" w:hAnsi="宋体" w:cs="宋体" w:eastAsia="宋体"/>
          <w:b w:val="true"/>
        </w:rPr>
        <w:t>3.2.1 基金份额净值增长率及其与同期业绩比较基准收益率的比较</w:t>
      </w:r>
    </w:p>
    <w:p>
      <w:pPr>
        <w:jc w:val="left"/>
      </w:pPr>
      <w:r>
        <w:rPr>
          <w:rFonts w:ascii="宋体" w:hAnsi="宋体" w:cs="宋体" w:eastAsia="宋体"/>
          <w:b w:val="true"/>
        </w:rPr>
        <w:t>东方阿尔法医疗健康混合发起A净值表现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19.61%</w:t>
            </w:r>
          </w:p>
        </w:tc>
        <w:tc>
          <w:tcPr>
            <w:tcW/>
            <w:vAlign w:val="center"/>
          </w:tcPr>
          <w:p>
            <w:pPr>
              <w:spacing w:line="240" w:lineRule="auto"/>
              <w:jc w:val="right"/>
            </w:pPr>
            <w:r>
              <w:rPr>
                <w:rFonts w:ascii="宋体" w:hAnsi="宋体" w:cs="宋体" w:eastAsia="宋体"/>
                <w:b w:val="false"/>
              </w:rPr>
              <w:t>2.16%</w:t>
            </w:r>
          </w:p>
        </w:tc>
        <w:tc>
          <w:tcPr>
            <w:tcW/>
            <w:vAlign w:val="center"/>
          </w:tcPr>
          <w:p>
            <w:pPr>
              <w:spacing w:line="240" w:lineRule="auto"/>
              <w:jc w:val="right"/>
            </w:pPr>
            <w:r>
              <w:rPr>
                <w:rFonts w:ascii="宋体" w:hAnsi="宋体" w:cs="宋体" w:eastAsia="宋体"/>
                <w:b w:val="false"/>
              </w:rPr>
              <w:t>16.11%</w:t>
            </w:r>
          </w:p>
        </w:tc>
        <w:tc>
          <w:tcPr>
            <w:tcW/>
            <w:vAlign w:val="center"/>
          </w:tcPr>
          <w:p>
            <w:pPr>
              <w:spacing w:line="240" w:lineRule="auto"/>
              <w:jc w:val="right"/>
            </w:pPr>
            <w:r>
              <w:rPr>
                <w:rFonts w:ascii="宋体" w:hAnsi="宋体" w:cs="宋体" w:eastAsia="宋体"/>
                <w:b w:val="false"/>
              </w:rPr>
              <w:t>1.08%</w:t>
            </w:r>
          </w:p>
        </w:tc>
        <w:tc>
          <w:tcPr>
            <w:tcW/>
            <w:vAlign w:val="center"/>
          </w:tcPr>
          <w:p>
            <w:pPr>
              <w:spacing w:line="240" w:lineRule="auto"/>
              <w:jc w:val="right"/>
            </w:pPr>
            <w:r>
              <w:rPr>
                <w:rFonts w:ascii="宋体" w:hAnsi="宋体" w:cs="宋体" w:eastAsia="宋体"/>
                <w:b w:val="false"/>
              </w:rPr>
              <w:t>3.50%</w:t>
            </w:r>
          </w:p>
        </w:tc>
        <w:tc>
          <w:tcPr>
            <w:tcW/>
            <w:vAlign w:val="center"/>
          </w:tcPr>
          <w:p>
            <w:pPr>
              <w:spacing w:line="240" w:lineRule="auto"/>
              <w:jc w:val="right"/>
            </w:pPr>
            <w:r>
              <w:rPr>
                <w:rFonts w:ascii="宋体" w:hAnsi="宋体" w:cs="宋体" w:eastAsia="宋体"/>
                <w:b w:val="false"/>
              </w:rPr>
              <w:t>1.08%</w:t>
            </w:r>
          </w:p>
        </w:tc>
      </w:tr>
      <w:tr>
        <w:tc>
          <w:tcPr>
            <w:tcW/>
            <w:vAlign w:val="center"/>
          </w:tcPr>
          <w:p>
            <w:pPr>
              <w:spacing w:line="240" w:lineRule="auto"/>
              <w:jc w:val="left"/>
            </w:pPr>
            <w:r>
              <w:rPr>
                <w:rFonts w:ascii="宋体" w:hAnsi="宋体" w:cs="宋体" w:eastAsia="宋体"/>
                <w:b w:val="false"/>
              </w:rPr>
              <w:t>过去六个月</w:t>
            </w:r>
          </w:p>
        </w:tc>
        <w:tc>
          <w:tcPr>
            <w:tcW/>
            <w:vAlign w:val="center"/>
          </w:tcPr>
          <w:p>
            <w:pPr>
              <w:spacing w:line="240" w:lineRule="auto"/>
              <w:jc w:val="right"/>
            </w:pPr>
            <w:r>
              <w:rPr>
                <w:rFonts w:ascii="宋体" w:hAnsi="宋体" w:cs="宋体" w:eastAsia="宋体"/>
                <w:b w:val="false"/>
              </w:rPr>
              <w:t>34.30%</w:t>
            </w:r>
          </w:p>
        </w:tc>
        <w:tc>
          <w:tcPr>
            <w:tcW/>
            <w:vAlign w:val="center"/>
          </w:tcPr>
          <w:p>
            <w:pPr>
              <w:spacing w:line="240" w:lineRule="auto"/>
              <w:jc w:val="right"/>
            </w:pPr>
            <w:r>
              <w:rPr>
                <w:rFonts w:ascii="宋体" w:hAnsi="宋体" w:cs="宋体" w:eastAsia="宋体"/>
                <w:b w:val="false"/>
              </w:rPr>
              <w:t>2.31%</w:t>
            </w:r>
          </w:p>
        </w:tc>
        <w:tc>
          <w:tcPr>
            <w:tcW/>
            <w:vAlign w:val="center"/>
          </w:tcPr>
          <w:p>
            <w:pPr>
              <w:spacing w:line="240" w:lineRule="auto"/>
              <w:jc w:val="right"/>
            </w:pPr>
            <w:r>
              <w:rPr>
                <w:rFonts w:ascii="宋体" w:hAnsi="宋体" w:cs="宋体" w:eastAsia="宋体"/>
                <w:b w:val="false"/>
              </w:rPr>
              <w:t>21.64%</w:t>
            </w:r>
          </w:p>
        </w:tc>
        <w:tc>
          <w:tcPr>
            <w:tcW/>
            <w:vAlign w:val="center"/>
          </w:tcPr>
          <w:p>
            <w:pPr>
              <w:spacing w:line="240" w:lineRule="auto"/>
              <w:jc w:val="right"/>
            </w:pPr>
            <w:r>
              <w:rPr>
                <w:rFonts w:ascii="宋体" w:hAnsi="宋体" w:cs="宋体" w:eastAsia="宋体"/>
                <w:b w:val="false"/>
              </w:rPr>
              <w:t>1.22%</w:t>
            </w:r>
          </w:p>
        </w:tc>
        <w:tc>
          <w:tcPr>
            <w:tcW/>
            <w:vAlign w:val="center"/>
          </w:tcPr>
          <w:p>
            <w:pPr>
              <w:spacing w:line="240" w:lineRule="auto"/>
              <w:jc w:val="right"/>
            </w:pPr>
            <w:r>
              <w:rPr>
                <w:rFonts w:ascii="宋体" w:hAnsi="宋体" w:cs="宋体" w:eastAsia="宋体"/>
                <w:b w:val="false"/>
              </w:rPr>
              <w:t>12.66%</w:t>
            </w:r>
          </w:p>
        </w:tc>
        <w:tc>
          <w:tcPr>
            <w:tcW/>
            <w:vAlign w:val="center"/>
          </w:tcPr>
          <w:p>
            <w:pPr>
              <w:spacing w:line="240" w:lineRule="auto"/>
              <w:jc w:val="right"/>
            </w:pPr>
            <w:r>
              <w:rPr>
                <w:rFonts w:ascii="宋体" w:hAnsi="宋体" w:cs="宋体" w:eastAsia="宋体"/>
                <w:b w:val="false"/>
              </w:rPr>
              <w:t>1.09%</w:t>
            </w:r>
          </w:p>
        </w:tc>
      </w:tr>
      <w:tr>
        <w:tc>
          <w:tcPr>
            <w:tcW/>
            <w:vAlign w:val="center"/>
          </w:tcPr>
          <w:p>
            <w:pPr>
              <w:spacing w:line="240" w:lineRule="auto"/>
              <w:jc w:val="left"/>
            </w:pPr>
            <w:r>
              <w:rPr>
                <w:rFonts w:ascii="宋体" w:hAnsi="宋体" w:cs="宋体" w:eastAsia="宋体"/>
                <w:b w:val="false"/>
              </w:rPr>
              <w:t>过去一年</w:t>
            </w:r>
          </w:p>
        </w:tc>
        <w:tc>
          <w:tcPr>
            <w:tcW/>
            <w:vAlign w:val="center"/>
          </w:tcPr>
          <w:p>
            <w:pPr>
              <w:spacing w:line="240" w:lineRule="auto"/>
              <w:jc w:val="right"/>
            </w:pPr>
            <w:r>
              <w:rPr>
                <w:rFonts w:ascii="宋体" w:hAnsi="宋体" w:cs="宋体" w:eastAsia="宋体"/>
                <w:b w:val="false"/>
              </w:rPr>
              <w:t>39.11%</w:t>
            </w:r>
          </w:p>
        </w:tc>
        <w:tc>
          <w:tcPr>
            <w:tcW/>
            <w:vAlign w:val="center"/>
          </w:tcPr>
          <w:p>
            <w:pPr>
              <w:spacing w:line="240" w:lineRule="auto"/>
              <w:jc w:val="right"/>
            </w:pPr>
            <w:r>
              <w:rPr>
                <w:rFonts w:ascii="宋体" w:hAnsi="宋体" w:cs="宋体" w:eastAsia="宋体"/>
                <w:b w:val="false"/>
              </w:rPr>
              <w:t>2.04%</w:t>
            </w:r>
          </w:p>
        </w:tc>
        <w:tc>
          <w:tcPr>
            <w:tcW/>
            <w:vAlign w:val="center"/>
          </w:tcPr>
          <w:p>
            <w:pPr>
              <w:spacing w:line="240" w:lineRule="auto"/>
              <w:jc w:val="right"/>
            </w:pPr>
            <w:r>
              <w:rPr>
                <w:rFonts w:ascii="宋体" w:hAnsi="宋体" w:cs="宋体" w:eastAsia="宋体"/>
                <w:b w:val="false"/>
              </w:rPr>
              <w:t>18.19%</w:t>
            </w:r>
          </w:p>
        </w:tc>
        <w:tc>
          <w:tcPr>
            <w:tcW/>
            <w:vAlign w:val="center"/>
          </w:tcPr>
          <w:p>
            <w:pPr>
              <w:spacing w:line="240" w:lineRule="auto"/>
              <w:jc w:val="right"/>
            </w:pPr>
            <w:r>
              <w:rPr>
                <w:rFonts w:ascii="宋体" w:hAnsi="宋体" w:cs="宋体" w:eastAsia="宋体"/>
                <w:b w:val="false"/>
              </w:rPr>
              <w:t>1.26%</w:t>
            </w:r>
          </w:p>
        </w:tc>
        <w:tc>
          <w:tcPr>
            <w:tcW/>
            <w:vAlign w:val="center"/>
          </w:tcPr>
          <w:p>
            <w:pPr>
              <w:spacing w:line="240" w:lineRule="auto"/>
              <w:jc w:val="right"/>
            </w:pPr>
            <w:r>
              <w:rPr>
                <w:rFonts w:ascii="宋体" w:hAnsi="宋体" w:cs="宋体" w:eastAsia="宋体"/>
                <w:b w:val="false"/>
              </w:rPr>
              <w:t>20.92%</w:t>
            </w:r>
          </w:p>
        </w:tc>
        <w:tc>
          <w:tcPr>
            <w:tcW/>
            <w:vAlign w:val="center"/>
          </w:tcPr>
          <w:p>
            <w:pPr>
              <w:spacing w:line="240" w:lineRule="auto"/>
              <w:jc w:val="right"/>
            </w:pPr>
            <w:r>
              <w:rPr>
                <w:rFonts w:ascii="宋体" w:hAnsi="宋体" w:cs="宋体" w:eastAsia="宋体"/>
                <w:b w:val="false"/>
              </w:rPr>
              <w:t>0.78%</w:t>
            </w:r>
          </w:p>
        </w:tc>
      </w:tr>
      <w:tr>
        <w:tc>
          <w:tcPr>
            <w:tcW/>
            <w:vAlign w:val="center"/>
          </w:tcPr>
          <w:p>
            <w:pPr>
              <w:spacing w:line="240" w:lineRule="auto"/>
              <w:jc w:val="left"/>
            </w:pPr>
            <w:r>
              <w:rPr>
                <w:rFonts w:ascii="宋体" w:hAnsi="宋体" w:cs="宋体" w:eastAsia="宋体"/>
                <w:b w:val="false"/>
              </w:rPr>
              <w:t>过去三年</w:t>
            </w:r>
          </w:p>
        </w:tc>
        <w:tc>
          <w:tcPr>
            <w:tcW/>
            <w:vAlign w:val="center"/>
          </w:tcPr>
          <w:p>
            <w:pPr>
              <w:spacing w:line="240" w:lineRule="auto"/>
              <w:jc w:val="right"/>
            </w:pPr>
            <w:r>
              <w:rPr>
                <w:rFonts w:ascii="宋体" w:hAnsi="宋体" w:cs="宋体" w:eastAsia="宋体"/>
                <w:b w:val="false"/>
              </w:rPr>
              <w:t>36.85%</w:t>
            </w:r>
          </w:p>
        </w:tc>
        <w:tc>
          <w:tcPr>
            <w:tcW/>
            <w:vAlign w:val="center"/>
          </w:tcPr>
          <w:p>
            <w:pPr>
              <w:spacing w:line="240" w:lineRule="auto"/>
              <w:jc w:val="right"/>
            </w:pPr>
            <w:r>
              <w:rPr>
                <w:rFonts w:ascii="宋体" w:hAnsi="宋体" w:cs="宋体" w:eastAsia="宋体"/>
                <w:b w:val="false"/>
              </w:rPr>
              <w:t>1.71%</w:t>
            </w:r>
          </w:p>
        </w:tc>
        <w:tc>
          <w:tcPr>
            <w:tcW/>
            <w:vAlign w:val="center"/>
          </w:tcPr>
          <w:p>
            <w:pPr>
              <w:spacing w:line="240" w:lineRule="auto"/>
              <w:jc w:val="right"/>
            </w:pPr>
            <w:r>
              <w:rPr>
                <w:rFonts w:ascii="宋体" w:hAnsi="宋体" w:cs="宋体" w:eastAsia="宋体"/>
                <w:b w:val="false"/>
              </w:rPr>
              <w:t>15.62%</w:t>
            </w:r>
          </w:p>
        </w:tc>
        <w:tc>
          <w:tcPr>
            <w:tcW/>
            <w:vAlign w:val="center"/>
          </w:tcPr>
          <w:p>
            <w:pPr>
              <w:spacing w:line="240" w:lineRule="auto"/>
              <w:jc w:val="right"/>
            </w:pPr>
            <w:r>
              <w:rPr>
                <w:rFonts w:ascii="宋体" w:hAnsi="宋体" w:cs="宋体" w:eastAsia="宋体"/>
                <w:b w:val="false"/>
              </w:rPr>
              <w:t>1.23%</w:t>
            </w:r>
          </w:p>
        </w:tc>
        <w:tc>
          <w:tcPr>
            <w:tcW/>
            <w:vAlign w:val="center"/>
          </w:tcPr>
          <w:p>
            <w:pPr>
              <w:spacing w:line="240" w:lineRule="auto"/>
              <w:jc w:val="right"/>
            </w:pPr>
            <w:r>
              <w:rPr>
                <w:rFonts w:ascii="宋体" w:hAnsi="宋体" w:cs="宋体" w:eastAsia="宋体"/>
                <w:b w:val="false"/>
              </w:rPr>
              <w:t>21.23%</w:t>
            </w:r>
          </w:p>
        </w:tc>
        <w:tc>
          <w:tcPr>
            <w:tcW/>
            <w:vAlign w:val="center"/>
          </w:tcPr>
          <w:p>
            <w:pPr>
              <w:spacing w:line="240" w:lineRule="auto"/>
              <w:jc w:val="right"/>
            </w:pPr>
            <w:r>
              <w:rPr>
                <w:rFonts w:ascii="宋体" w:hAnsi="宋体" w:cs="宋体" w:eastAsia="宋体"/>
                <w:b w:val="false"/>
              </w:rPr>
              <w:t>0.48%</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29.16%</w:t>
            </w:r>
          </w:p>
        </w:tc>
        <w:tc>
          <w:tcPr>
            <w:tcW/>
            <w:vAlign w:val="center"/>
          </w:tcPr>
          <w:p>
            <w:pPr>
              <w:spacing w:line="240" w:lineRule="auto"/>
              <w:jc w:val="right"/>
            </w:pPr>
            <w:r>
              <w:rPr>
                <w:rFonts w:ascii="宋体" w:hAnsi="宋体" w:cs="宋体" w:eastAsia="宋体"/>
                <w:b w:val="false"/>
              </w:rPr>
              <w:t>1.62%</w:t>
            </w:r>
          </w:p>
        </w:tc>
        <w:tc>
          <w:tcPr>
            <w:tcW/>
            <w:vAlign w:val="center"/>
          </w:tcPr>
          <w:p>
            <w:pPr>
              <w:spacing w:line="240" w:lineRule="auto"/>
              <w:jc w:val="right"/>
            </w:pPr>
            <w:r>
              <w:rPr>
                <w:rFonts w:ascii="宋体" w:hAnsi="宋体" w:cs="宋体" w:eastAsia="宋体"/>
                <w:b w:val="false"/>
              </w:rPr>
              <w:t>1.02%</w:t>
            </w:r>
          </w:p>
        </w:tc>
        <w:tc>
          <w:tcPr>
            <w:tcW/>
            <w:vAlign w:val="center"/>
          </w:tcPr>
          <w:p>
            <w:pPr>
              <w:spacing w:line="240" w:lineRule="auto"/>
              <w:jc w:val="right"/>
            </w:pPr>
            <w:r>
              <w:rPr>
                <w:rFonts w:ascii="宋体" w:hAnsi="宋体" w:cs="宋体" w:eastAsia="宋体"/>
                <w:b w:val="false"/>
              </w:rPr>
              <w:t>1.25%</w:t>
            </w:r>
          </w:p>
        </w:tc>
        <w:tc>
          <w:tcPr>
            <w:tcW/>
            <w:vAlign w:val="center"/>
          </w:tcPr>
          <w:p>
            <w:pPr>
              <w:spacing w:line="240" w:lineRule="auto"/>
              <w:jc w:val="right"/>
            </w:pPr>
            <w:r>
              <w:rPr>
                <w:rFonts w:ascii="宋体" w:hAnsi="宋体" w:cs="宋体" w:eastAsia="宋体"/>
                <w:b w:val="false"/>
              </w:rPr>
              <w:t>28.14%</w:t>
            </w:r>
          </w:p>
        </w:tc>
        <w:tc>
          <w:tcPr>
            <w:tcW/>
            <w:vAlign w:val="center"/>
          </w:tcPr>
          <w:p>
            <w:pPr>
              <w:spacing w:line="240" w:lineRule="auto"/>
              <w:jc w:val="right"/>
            </w:pPr>
            <w:r>
              <w:rPr>
                <w:rFonts w:ascii="宋体" w:hAnsi="宋体" w:cs="宋体" w:eastAsia="宋体"/>
                <w:b w:val="false"/>
              </w:rPr>
              <w:t>0.37%</w:t>
            </w:r>
          </w:p>
        </w:tc>
      </w:tr>
    </w:tbl>
    <w:p>
      <w:pPr>
        <w:jc w:val="left"/>
      </w:pPr>
      <w:r>
        <w:rPr>
          <w:rFonts w:ascii="宋体" w:hAnsi="宋体" w:cs="宋体" w:eastAsia="宋体"/>
          <w:b w:val="true"/>
        </w:rPr>
        <w:t>东方阿尔法医疗健康混合发起C净值表现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19.47%</w:t>
            </w:r>
          </w:p>
        </w:tc>
        <w:tc>
          <w:tcPr>
            <w:tcW/>
            <w:vAlign w:val="center"/>
          </w:tcPr>
          <w:p>
            <w:pPr>
              <w:spacing w:line="240" w:lineRule="auto"/>
              <w:jc w:val="right"/>
            </w:pPr>
            <w:r>
              <w:rPr>
                <w:rFonts w:ascii="宋体" w:hAnsi="宋体" w:cs="宋体" w:eastAsia="宋体"/>
                <w:b w:val="false"/>
              </w:rPr>
              <w:t>2.16%</w:t>
            </w:r>
          </w:p>
        </w:tc>
        <w:tc>
          <w:tcPr>
            <w:tcW/>
            <w:vAlign w:val="center"/>
          </w:tcPr>
          <w:p>
            <w:pPr>
              <w:spacing w:line="240" w:lineRule="auto"/>
              <w:jc w:val="right"/>
            </w:pPr>
            <w:r>
              <w:rPr>
                <w:rFonts w:ascii="宋体" w:hAnsi="宋体" w:cs="宋体" w:eastAsia="宋体"/>
                <w:b w:val="false"/>
              </w:rPr>
              <w:t>16.11%</w:t>
            </w:r>
          </w:p>
        </w:tc>
        <w:tc>
          <w:tcPr>
            <w:tcW/>
            <w:vAlign w:val="center"/>
          </w:tcPr>
          <w:p>
            <w:pPr>
              <w:spacing w:line="240" w:lineRule="auto"/>
              <w:jc w:val="right"/>
            </w:pPr>
            <w:r>
              <w:rPr>
                <w:rFonts w:ascii="宋体" w:hAnsi="宋体" w:cs="宋体" w:eastAsia="宋体"/>
                <w:b w:val="false"/>
              </w:rPr>
              <w:t>1.08%</w:t>
            </w:r>
          </w:p>
        </w:tc>
        <w:tc>
          <w:tcPr>
            <w:tcW/>
            <w:vAlign w:val="center"/>
          </w:tcPr>
          <w:p>
            <w:pPr>
              <w:spacing w:line="240" w:lineRule="auto"/>
              <w:jc w:val="right"/>
            </w:pPr>
            <w:r>
              <w:rPr>
                <w:rFonts w:ascii="宋体" w:hAnsi="宋体" w:cs="宋体" w:eastAsia="宋体"/>
                <w:b w:val="false"/>
              </w:rPr>
              <w:t>3.36%</w:t>
            </w:r>
          </w:p>
        </w:tc>
        <w:tc>
          <w:tcPr>
            <w:tcW/>
            <w:vAlign w:val="center"/>
          </w:tcPr>
          <w:p>
            <w:pPr>
              <w:spacing w:line="240" w:lineRule="auto"/>
              <w:jc w:val="right"/>
            </w:pPr>
            <w:r>
              <w:rPr>
                <w:rFonts w:ascii="宋体" w:hAnsi="宋体" w:cs="宋体" w:eastAsia="宋体"/>
                <w:b w:val="false"/>
              </w:rPr>
              <w:t>1.08%</w:t>
            </w:r>
          </w:p>
        </w:tc>
      </w:tr>
      <w:tr>
        <w:tc>
          <w:tcPr>
            <w:tcW/>
            <w:vAlign w:val="center"/>
          </w:tcPr>
          <w:p>
            <w:pPr>
              <w:spacing w:line="240" w:lineRule="auto"/>
              <w:jc w:val="left"/>
            </w:pPr>
            <w:r>
              <w:rPr>
                <w:rFonts w:ascii="宋体" w:hAnsi="宋体" w:cs="宋体" w:eastAsia="宋体"/>
                <w:b w:val="false"/>
              </w:rPr>
              <w:t>过去六个月</w:t>
            </w:r>
          </w:p>
        </w:tc>
        <w:tc>
          <w:tcPr>
            <w:tcW/>
            <w:vAlign w:val="center"/>
          </w:tcPr>
          <w:p>
            <w:pPr>
              <w:spacing w:line="240" w:lineRule="auto"/>
              <w:jc w:val="right"/>
            </w:pPr>
            <w:r>
              <w:rPr>
                <w:rFonts w:ascii="宋体" w:hAnsi="宋体" w:cs="宋体" w:eastAsia="宋体"/>
                <w:b w:val="false"/>
              </w:rPr>
              <w:t>33.97%</w:t>
            </w:r>
          </w:p>
        </w:tc>
        <w:tc>
          <w:tcPr>
            <w:tcW/>
            <w:vAlign w:val="center"/>
          </w:tcPr>
          <w:p>
            <w:pPr>
              <w:spacing w:line="240" w:lineRule="auto"/>
              <w:jc w:val="right"/>
            </w:pPr>
            <w:r>
              <w:rPr>
                <w:rFonts w:ascii="宋体" w:hAnsi="宋体" w:cs="宋体" w:eastAsia="宋体"/>
                <w:b w:val="false"/>
              </w:rPr>
              <w:t>2.31%</w:t>
            </w:r>
          </w:p>
        </w:tc>
        <w:tc>
          <w:tcPr>
            <w:tcW/>
            <w:vAlign w:val="center"/>
          </w:tcPr>
          <w:p>
            <w:pPr>
              <w:spacing w:line="240" w:lineRule="auto"/>
              <w:jc w:val="right"/>
            </w:pPr>
            <w:r>
              <w:rPr>
                <w:rFonts w:ascii="宋体" w:hAnsi="宋体" w:cs="宋体" w:eastAsia="宋体"/>
                <w:b w:val="false"/>
              </w:rPr>
              <w:t>21.64%</w:t>
            </w:r>
          </w:p>
        </w:tc>
        <w:tc>
          <w:tcPr>
            <w:tcW/>
            <w:vAlign w:val="center"/>
          </w:tcPr>
          <w:p>
            <w:pPr>
              <w:spacing w:line="240" w:lineRule="auto"/>
              <w:jc w:val="right"/>
            </w:pPr>
            <w:r>
              <w:rPr>
                <w:rFonts w:ascii="宋体" w:hAnsi="宋体" w:cs="宋体" w:eastAsia="宋体"/>
                <w:b w:val="false"/>
              </w:rPr>
              <w:t>1.22%</w:t>
            </w:r>
          </w:p>
        </w:tc>
        <w:tc>
          <w:tcPr>
            <w:tcW/>
            <w:vAlign w:val="center"/>
          </w:tcPr>
          <w:p>
            <w:pPr>
              <w:spacing w:line="240" w:lineRule="auto"/>
              <w:jc w:val="right"/>
            </w:pPr>
            <w:r>
              <w:rPr>
                <w:rFonts w:ascii="宋体" w:hAnsi="宋体" w:cs="宋体" w:eastAsia="宋体"/>
                <w:b w:val="false"/>
              </w:rPr>
              <w:t>12.33%</w:t>
            </w:r>
          </w:p>
        </w:tc>
        <w:tc>
          <w:tcPr>
            <w:tcW/>
            <w:vAlign w:val="center"/>
          </w:tcPr>
          <w:p>
            <w:pPr>
              <w:spacing w:line="240" w:lineRule="auto"/>
              <w:jc w:val="right"/>
            </w:pPr>
            <w:r>
              <w:rPr>
                <w:rFonts w:ascii="宋体" w:hAnsi="宋体" w:cs="宋体" w:eastAsia="宋体"/>
                <w:b w:val="false"/>
              </w:rPr>
              <w:t>1.09%</w:t>
            </w:r>
          </w:p>
        </w:tc>
      </w:tr>
      <w:tr>
        <w:tc>
          <w:tcPr>
            <w:tcW/>
            <w:vAlign w:val="center"/>
          </w:tcPr>
          <w:p>
            <w:pPr>
              <w:spacing w:line="240" w:lineRule="auto"/>
              <w:jc w:val="left"/>
            </w:pPr>
            <w:r>
              <w:rPr>
                <w:rFonts w:ascii="宋体" w:hAnsi="宋体" w:cs="宋体" w:eastAsia="宋体"/>
                <w:b w:val="false"/>
              </w:rPr>
              <w:t>过去一年</w:t>
            </w:r>
          </w:p>
        </w:tc>
        <w:tc>
          <w:tcPr>
            <w:tcW/>
            <w:vAlign w:val="center"/>
          </w:tcPr>
          <w:p>
            <w:pPr>
              <w:spacing w:line="240" w:lineRule="auto"/>
              <w:jc w:val="right"/>
            </w:pPr>
            <w:r>
              <w:rPr>
                <w:rFonts w:ascii="宋体" w:hAnsi="宋体" w:cs="宋体" w:eastAsia="宋体"/>
                <w:b w:val="false"/>
              </w:rPr>
              <w:t>38.42%</w:t>
            </w:r>
          </w:p>
        </w:tc>
        <w:tc>
          <w:tcPr>
            <w:tcW/>
            <w:vAlign w:val="center"/>
          </w:tcPr>
          <w:p>
            <w:pPr>
              <w:spacing w:line="240" w:lineRule="auto"/>
              <w:jc w:val="right"/>
            </w:pPr>
            <w:r>
              <w:rPr>
                <w:rFonts w:ascii="宋体" w:hAnsi="宋体" w:cs="宋体" w:eastAsia="宋体"/>
                <w:b w:val="false"/>
              </w:rPr>
              <w:t>2.03%</w:t>
            </w:r>
          </w:p>
        </w:tc>
        <w:tc>
          <w:tcPr>
            <w:tcW/>
            <w:vAlign w:val="center"/>
          </w:tcPr>
          <w:p>
            <w:pPr>
              <w:spacing w:line="240" w:lineRule="auto"/>
              <w:jc w:val="right"/>
            </w:pPr>
            <w:r>
              <w:rPr>
                <w:rFonts w:ascii="宋体" w:hAnsi="宋体" w:cs="宋体" w:eastAsia="宋体"/>
                <w:b w:val="false"/>
              </w:rPr>
              <w:t>18.19%</w:t>
            </w:r>
          </w:p>
        </w:tc>
        <w:tc>
          <w:tcPr>
            <w:tcW/>
            <w:vAlign w:val="center"/>
          </w:tcPr>
          <w:p>
            <w:pPr>
              <w:spacing w:line="240" w:lineRule="auto"/>
              <w:jc w:val="right"/>
            </w:pPr>
            <w:r>
              <w:rPr>
                <w:rFonts w:ascii="宋体" w:hAnsi="宋体" w:cs="宋体" w:eastAsia="宋体"/>
                <w:b w:val="false"/>
              </w:rPr>
              <w:t>1.26%</w:t>
            </w:r>
          </w:p>
        </w:tc>
        <w:tc>
          <w:tcPr>
            <w:tcW/>
            <w:vAlign w:val="center"/>
          </w:tcPr>
          <w:p>
            <w:pPr>
              <w:spacing w:line="240" w:lineRule="auto"/>
              <w:jc w:val="right"/>
            </w:pPr>
            <w:r>
              <w:rPr>
                <w:rFonts w:ascii="宋体" w:hAnsi="宋体" w:cs="宋体" w:eastAsia="宋体"/>
                <w:b w:val="false"/>
              </w:rPr>
              <w:t>20.23%</w:t>
            </w:r>
          </w:p>
        </w:tc>
        <w:tc>
          <w:tcPr>
            <w:tcW/>
            <w:vAlign w:val="center"/>
          </w:tcPr>
          <w:p>
            <w:pPr>
              <w:spacing w:line="240" w:lineRule="auto"/>
              <w:jc w:val="right"/>
            </w:pPr>
            <w:r>
              <w:rPr>
                <w:rFonts w:ascii="宋体" w:hAnsi="宋体" w:cs="宋体" w:eastAsia="宋体"/>
                <w:b w:val="false"/>
              </w:rPr>
              <w:t>0.77%</w:t>
            </w:r>
          </w:p>
        </w:tc>
      </w:tr>
      <w:tr>
        <w:tc>
          <w:tcPr>
            <w:tcW/>
            <w:vAlign w:val="center"/>
          </w:tcPr>
          <w:p>
            <w:pPr>
              <w:spacing w:line="240" w:lineRule="auto"/>
              <w:jc w:val="left"/>
            </w:pPr>
            <w:r>
              <w:rPr>
                <w:rFonts w:ascii="宋体" w:hAnsi="宋体" w:cs="宋体" w:eastAsia="宋体"/>
                <w:b w:val="false"/>
              </w:rPr>
              <w:t>过去三年</w:t>
            </w:r>
          </w:p>
        </w:tc>
        <w:tc>
          <w:tcPr>
            <w:tcW/>
            <w:vAlign w:val="center"/>
          </w:tcPr>
          <w:p>
            <w:pPr>
              <w:spacing w:line="240" w:lineRule="auto"/>
              <w:jc w:val="right"/>
            </w:pPr>
            <w:r>
              <w:rPr>
                <w:rFonts w:ascii="宋体" w:hAnsi="宋体" w:cs="宋体" w:eastAsia="宋体"/>
                <w:b w:val="false"/>
              </w:rPr>
              <w:t>34.82%</w:t>
            </w:r>
          </w:p>
        </w:tc>
        <w:tc>
          <w:tcPr>
            <w:tcW/>
            <w:vAlign w:val="center"/>
          </w:tcPr>
          <w:p>
            <w:pPr>
              <w:spacing w:line="240" w:lineRule="auto"/>
              <w:jc w:val="right"/>
            </w:pPr>
            <w:r>
              <w:rPr>
                <w:rFonts w:ascii="宋体" w:hAnsi="宋体" w:cs="宋体" w:eastAsia="宋体"/>
                <w:b w:val="false"/>
              </w:rPr>
              <w:t>1.70%</w:t>
            </w:r>
          </w:p>
        </w:tc>
        <w:tc>
          <w:tcPr>
            <w:tcW/>
            <w:vAlign w:val="center"/>
          </w:tcPr>
          <w:p>
            <w:pPr>
              <w:spacing w:line="240" w:lineRule="auto"/>
              <w:jc w:val="right"/>
            </w:pPr>
            <w:r>
              <w:rPr>
                <w:rFonts w:ascii="宋体" w:hAnsi="宋体" w:cs="宋体" w:eastAsia="宋体"/>
                <w:b w:val="false"/>
              </w:rPr>
              <w:t>15.62%</w:t>
            </w:r>
          </w:p>
        </w:tc>
        <w:tc>
          <w:tcPr>
            <w:tcW/>
            <w:vAlign w:val="center"/>
          </w:tcPr>
          <w:p>
            <w:pPr>
              <w:spacing w:line="240" w:lineRule="auto"/>
              <w:jc w:val="right"/>
            </w:pPr>
            <w:r>
              <w:rPr>
                <w:rFonts w:ascii="宋体" w:hAnsi="宋体" w:cs="宋体" w:eastAsia="宋体"/>
                <w:b w:val="false"/>
              </w:rPr>
              <w:t>1.23%</w:t>
            </w:r>
          </w:p>
        </w:tc>
        <w:tc>
          <w:tcPr>
            <w:tcW/>
            <w:vAlign w:val="center"/>
          </w:tcPr>
          <w:p>
            <w:pPr>
              <w:spacing w:line="240" w:lineRule="auto"/>
              <w:jc w:val="right"/>
            </w:pPr>
            <w:r>
              <w:rPr>
                <w:rFonts w:ascii="宋体" w:hAnsi="宋体" w:cs="宋体" w:eastAsia="宋体"/>
                <w:b w:val="false"/>
              </w:rPr>
              <w:t>19.20%</w:t>
            </w:r>
          </w:p>
        </w:tc>
        <w:tc>
          <w:tcPr>
            <w:tcW/>
            <w:vAlign w:val="center"/>
          </w:tcPr>
          <w:p>
            <w:pPr>
              <w:spacing w:line="240" w:lineRule="auto"/>
              <w:jc w:val="right"/>
            </w:pPr>
            <w:r>
              <w:rPr>
                <w:rFonts w:ascii="宋体" w:hAnsi="宋体" w:cs="宋体" w:eastAsia="宋体"/>
                <w:b w:val="false"/>
              </w:rPr>
              <w:t>0.47%</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26.92%</w:t>
            </w:r>
          </w:p>
        </w:tc>
        <w:tc>
          <w:tcPr>
            <w:tcW/>
            <w:vAlign w:val="center"/>
          </w:tcPr>
          <w:p>
            <w:pPr>
              <w:spacing w:line="240" w:lineRule="auto"/>
              <w:jc w:val="right"/>
            </w:pPr>
            <w:r>
              <w:rPr>
                <w:rFonts w:ascii="宋体" w:hAnsi="宋体" w:cs="宋体" w:eastAsia="宋体"/>
                <w:b w:val="false"/>
              </w:rPr>
              <w:t>1.62%</w:t>
            </w:r>
          </w:p>
        </w:tc>
        <w:tc>
          <w:tcPr>
            <w:tcW/>
            <w:vAlign w:val="center"/>
          </w:tcPr>
          <w:p>
            <w:pPr>
              <w:spacing w:line="240" w:lineRule="auto"/>
              <w:jc w:val="right"/>
            </w:pPr>
            <w:r>
              <w:rPr>
                <w:rFonts w:ascii="宋体" w:hAnsi="宋体" w:cs="宋体" w:eastAsia="宋体"/>
                <w:b w:val="false"/>
              </w:rPr>
              <w:t>1.02%</w:t>
            </w:r>
          </w:p>
        </w:tc>
        <w:tc>
          <w:tcPr>
            <w:tcW/>
            <w:vAlign w:val="center"/>
          </w:tcPr>
          <w:p>
            <w:pPr>
              <w:spacing w:line="240" w:lineRule="auto"/>
              <w:jc w:val="right"/>
            </w:pPr>
            <w:r>
              <w:rPr>
                <w:rFonts w:ascii="宋体" w:hAnsi="宋体" w:cs="宋体" w:eastAsia="宋体"/>
                <w:b w:val="false"/>
              </w:rPr>
              <w:t>1.25%</w:t>
            </w:r>
          </w:p>
        </w:tc>
        <w:tc>
          <w:tcPr>
            <w:tcW/>
            <w:vAlign w:val="center"/>
          </w:tcPr>
          <w:p>
            <w:pPr>
              <w:spacing w:line="240" w:lineRule="auto"/>
              <w:jc w:val="right"/>
            </w:pPr>
            <w:r>
              <w:rPr>
                <w:rFonts w:ascii="宋体" w:hAnsi="宋体" w:cs="宋体" w:eastAsia="宋体"/>
                <w:b w:val="false"/>
              </w:rPr>
              <w:t>25.90%</w:t>
            </w:r>
          </w:p>
        </w:tc>
        <w:tc>
          <w:tcPr>
            <w:tcW/>
            <w:vAlign w:val="center"/>
          </w:tcPr>
          <w:p>
            <w:pPr>
              <w:spacing w:line="240" w:lineRule="auto"/>
              <w:jc w:val="right"/>
            </w:pPr>
            <w:r>
              <w:rPr>
                <w:rFonts w:ascii="宋体" w:hAnsi="宋体" w:cs="宋体" w:eastAsia="宋体"/>
                <w:b w:val="false"/>
              </w:rPr>
              <w:t>0.37%</w:t>
            </w:r>
          </w:p>
        </w:tc>
      </w:tr>
    </w:tbl>
    <w:p>
      <w:r>
        <w:rPr>
          <w:rFonts w:ascii="宋体" w:hAnsi="宋体" w:cs="宋体" w:eastAsia="宋体"/>
          <w:b w:val="false"/>
        </w:rPr>
        <w:t>注：1、本基金业绩比较基准为：中证医药卫生指数收益率×60%+恒生医疗保健指数收益率×20%+中证综合债券指数收益率×20%。</w:t>
        <w:cr/>
      </w:r>
      <w:r>
        <w:rPr>
          <w:rFonts w:ascii="宋体" w:hAnsi="宋体" w:cs="宋体" w:eastAsia="宋体"/>
          <w:b w:val="false"/>
        </w:rPr>
        <w:t>2、本基金自2022年03月30日成立至今尚未满五年，无过去五年的净值表现。</w:t>
      </w:r>
    </w:p>
    <w:p/>
    <w:p>
      <w:r>
        <w:rPr>
          <w:rStyle w:val="正文"/>
          <w:rFonts w:ascii="宋体" w:hAnsi="宋体" w:cs="宋体" w:eastAsia="宋体"/>
          <w:b w:val="true"/>
        </w:rPr>
        <w:t>3.2.2 自基金合同生效以来基金累计净值增长率变动及其与同期业绩比较基准收益率变动的比较</w:t>
      </w:r>
    </w:p>
    <w:p>
      <w:r>
        <w:drawing>
          <wp:inline distT="0" distR="0" distB="0" distL="0">
            <wp:extent cx="5715000" cy="3048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16"/>
                    <a:stretch>
                      <a:fillRect/>
                    </a:stretch>
                  </pic:blipFill>
                  <pic:spPr>
                    <a:xfrm>
                      <a:off x="0" y="0"/>
                      <a:ext cx="5715000" cy="3048000"/>
                    </a:xfrm>
                    <a:prstGeom prst="rect">
                      <a:avLst/>
                    </a:prstGeom>
                  </pic:spPr>
                </pic:pic>
              </a:graphicData>
            </a:graphic>
          </wp:inline>
        </w:drawing>
      </w:r>
    </w:p>
    <w:p>
      <w:r>
        <w:drawing>
          <wp:inline distT="0" distR="0" distB="0" distL="0">
            <wp:extent cx="5715000" cy="3048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17"/>
                    <a:stretch>
                      <a:fillRect/>
                    </a:stretch>
                  </pic:blipFill>
                  <pic:spPr>
                    <a:xfrm>
                      <a:off x="0" y="0"/>
                      <a:ext cx="5715000" cy="3048000"/>
                    </a:xfrm>
                    <a:prstGeom prst="rect">
                      <a:avLst/>
                    </a:prstGeom>
                  </pic:spPr>
                </pic:pic>
              </a:graphicData>
            </a:graphic>
          </wp:inline>
        </w:drawing>
      </w:r>
    </w:p>
    <w:p>
      <w:pPr>
        <w:pStyle w:val="1"/>
        <w:jc w:val="center"/>
      </w:pPr>
      <w:r>
        <w:rPr>
          <w:rFonts w:ascii="宋体" w:hAnsi="宋体" w:cs="宋体" w:eastAsia="宋体"/>
        </w:rPr>
        <w:t>§4 管理人报告</w:t>
      </w:r>
    </w:p>
    <w:p>
      <w:pPr>
        <w:pStyle w:val="2"/>
        <w:jc w:val="left"/>
      </w:pPr>
      <w:r>
        <w:rPr>
          <w:rFonts w:ascii="宋体" w:hAnsi="宋体" w:cs="宋体" w:eastAsia="宋体"/>
        </w:rPr>
        <w:t>4.1 基金经理（或基金经理小组）简介</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538"/>
            <w:vMerge w:val="restart"/>
            <w:vAlign w:val="center"/>
          </w:tcPr>
          <w:tcPr>
            <w:shd w:fill="d9d9d9"/>
          </w:tcPr>
          <w:p>
            <w:pPr>
              <w:spacing w:line="240" w:lineRule="auto"/>
              <w:jc w:val="center"/>
            </w:pPr>
            <w:r>
              <w:rPr>
                <w:rFonts w:ascii="宋体" w:hAnsi="宋体" w:cs="宋体" w:eastAsia="宋体"/>
                <w:b w:val="false"/>
              </w:rPr>
              <w:t>姓名</w:t>
            </w:r>
          </w:p>
        </w:tc>
        <w:tc>
          <w:tcPr>
            <w:tcW w:type="pct" w:w="1231"/>
            <w:vMerge w:val="restart"/>
            <w:vAlign w:val="center"/>
          </w:tcPr>
          <w:tcPr>
            <w:shd w:fill="d9d9d9"/>
          </w:tcPr>
          <w:p>
            <w:pPr>
              <w:spacing w:line="240" w:lineRule="auto"/>
              <w:jc w:val="center"/>
            </w:pPr>
            <w:r>
              <w:rPr>
                <w:rFonts w:ascii="宋体" w:hAnsi="宋体" w:cs="宋体" w:eastAsia="宋体"/>
                <w:b w:val="false"/>
              </w:rPr>
              <w:t>职务</w:t>
            </w:r>
          </w:p>
        </w:tc>
        <w:tc>
          <w:tcPr>
            <w:tcW w:type="pct" w:w="808"/>
            <w:hMerge w:val="restart"/>
            <w:vAlign w:val="center"/>
          </w:tcPr>
          <w:tcPr>
            <w:shd w:fill="d9d9d9"/>
          </w:tcPr>
          <w:p>
            <w:pPr>
              <w:spacing w:line="240" w:lineRule="auto"/>
              <w:jc w:val="center"/>
            </w:pPr>
            <w:r>
              <w:rPr>
                <w:rFonts w:ascii="宋体" w:hAnsi="宋体" w:cs="宋体" w:eastAsia="宋体"/>
                <w:b w:val="false"/>
              </w:rPr>
              <w:t>任本基金的基金经理期限</w:t>
            </w:r>
          </w:p>
        </w:tc>
        <w:tc>
          <w:tcPr>
            <w:hMerge w:val="continue"/>
          </w:tcPr>
          <w:p/>
        </w:tc>
        <w:tc>
          <w:tcPr>
            <w:tcW w:type="pct" w:w="308"/>
            <w:vMerge w:val="restart"/>
            <w:vAlign w:val="center"/>
          </w:tcPr>
          <w:tcPr>
            <w:shd w:fill="d9d9d9"/>
          </w:tcPr>
          <w:p>
            <w:pPr>
              <w:spacing w:line="240" w:lineRule="auto"/>
              <w:jc w:val="center"/>
            </w:pPr>
            <w:r>
              <w:rPr>
                <w:rFonts w:ascii="宋体" w:hAnsi="宋体" w:cs="宋体" w:eastAsia="宋体"/>
                <w:b w:val="false"/>
              </w:rPr>
              <w:t>证券从业年限</w:t>
            </w:r>
          </w:p>
        </w:tc>
        <w:tc>
          <w:tcPr>
            <w:tcW w:type="pct" w:w="1462"/>
            <w:vMerge w:val="restart"/>
            <w:vAlign w:val="center"/>
          </w:tcPr>
          <w:tcPr>
            <w:shd w:fill="d9d9d9"/>
          </w:tcPr>
          <w:p>
            <w:pPr>
              <w:spacing w:line="240" w:lineRule="auto"/>
              <w:jc w:val="center"/>
            </w:pPr>
            <w:r>
              <w:rPr>
                <w:rFonts w:ascii="宋体" w:hAnsi="宋体" w:cs="宋体" w:eastAsia="宋体"/>
                <w:b w:val="false"/>
              </w:rPr>
              <w:t>说明</w:t>
            </w:r>
          </w:p>
        </w:tc>
      </w:tr>
      <w:tr>
        <w:tc>
          <w:tcPr>
            <w:vMerge w:val="continue"/>
          </w:tcPr>
          <w:p/>
        </w:tc>
        <w:tc>
          <w:tcPr>
            <w:vMerge w:val="continue"/>
          </w:tcPr>
          <w:p/>
        </w:tc>
        <w:tc>
          <w:tcPr>
            <w:tcW w:type="pct" w:w="400"/>
            <w:vAlign w:val="center"/>
          </w:tcPr>
          <w:tcPr>
            <w:shd w:fill="d9d9d9"/>
          </w:tcPr>
          <w:p>
            <w:pPr>
              <w:spacing w:line="240" w:lineRule="auto"/>
              <w:jc w:val="center"/>
            </w:pPr>
            <w:r>
              <w:rPr>
                <w:rFonts w:ascii="宋体" w:hAnsi="宋体" w:cs="宋体" w:eastAsia="宋体"/>
                <w:b w:val="false"/>
              </w:rPr>
              <w:t>任职日期</w:t>
            </w:r>
          </w:p>
        </w:tc>
        <w:tc>
          <w:tcPr>
            <w:tcW w:type="pct" w:w="392"/>
            <w:vAlign w:val="center"/>
          </w:tcPr>
          <w:tcPr>
            <w:shd w:fill="d9d9d9"/>
          </w:tcPr>
          <w:p>
            <w:pPr>
              <w:spacing w:line="240" w:lineRule="auto"/>
              <w:jc w:val="center"/>
            </w:pPr>
            <w:r>
              <w:rPr>
                <w:rFonts w:ascii="宋体" w:hAnsi="宋体" w:cs="宋体" w:eastAsia="宋体"/>
                <w:b w:val="false"/>
              </w:rPr>
              <w:t>离任日期</w:t>
            </w:r>
          </w:p>
        </w:tc>
        <w:tc>
          <w:tcPr>
            <w:vMerge w:val="continue"/>
          </w:tcPr>
          <w:p/>
        </w:tc>
        <w:tc>
          <w:tcPr>
            <w:vMerge w:val="continue"/>
          </w:tcPr>
          <w:p/>
        </w:tc>
      </w:tr>
      <w:tr>
        <w:tc>
          <w:tcPr>
            <w:tcW/>
            <w:vAlign w:val="center"/>
          </w:tcPr>
          <w:p>
            <w:pPr>
              <w:spacing w:line="240" w:lineRule="auto"/>
              <w:jc w:val="left"/>
            </w:pPr>
            <w:r>
              <w:rPr>
                <w:rFonts w:ascii="宋体" w:hAnsi="宋体" w:cs="宋体" w:eastAsia="宋体"/>
                <w:b w:val="false"/>
              </w:rPr>
              <w:t>孟昱</w:t>
            </w:r>
          </w:p>
        </w:tc>
        <w:tc>
          <w:tcPr>
            <w:tcW/>
            <w:vAlign w:val="center"/>
          </w:tcPr>
          <w:p>
            <w:pPr>
              <w:spacing w:line="240" w:lineRule="auto"/>
              <w:jc w:val="left"/>
            </w:pPr>
            <w:r>
              <w:rPr>
                <w:rFonts w:ascii="宋体" w:hAnsi="宋体" w:cs="宋体" w:eastAsia="宋体"/>
                <w:b w:val="false"/>
              </w:rPr>
              <w:t>基金经理</w:t>
            </w:r>
          </w:p>
        </w:tc>
        <w:tc>
          <w:tcPr>
            <w:tcW/>
            <w:vAlign w:val="center"/>
          </w:tcPr>
          <w:p>
            <w:pPr>
              <w:spacing w:line="240" w:lineRule="auto"/>
              <w:jc w:val="center"/>
            </w:pPr>
            <w:r>
              <w:rPr>
                <w:rFonts w:ascii="宋体" w:hAnsi="宋体" w:cs="宋体" w:eastAsia="宋体"/>
                <w:b w:val="false"/>
              </w:rPr>
              <w:t>2023-11-29</w:t>
            </w:r>
          </w:p>
        </w:tc>
        <w:tc>
          <w:tcPr>
            <w:tcW/>
            <w:vAlign w:val="center"/>
          </w:tcPr>
          <w:p>
            <w:pPr>
              <w:spacing w:line="240" w:lineRule="auto"/>
              <w:jc w:val="center"/>
            </w:pPr>
            <w:r>
              <w:rPr>
                <w:rFonts w:ascii="宋体" w:hAnsi="宋体" w:cs="宋体" w:eastAsia="宋体"/>
                <w:b w:val="false"/>
              </w:rPr>
              <w:t>-</w:t>
            </w:r>
          </w:p>
        </w:tc>
        <w:tc>
          <w:tcPr>
            <w:tcW/>
            <w:vAlign w:val="center"/>
          </w:tcPr>
          <w:p>
            <w:pPr>
              <w:spacing w:line="240" w:lineRule="auto"/>
              <w:jc w:val="center"/>
            </w:pPr>
            <w:r>
              <w:rPr>
                <w:rFonts w:ascii="宋体" w:hAnsi="宋体" w:cs="宋体" w:eastAsia="宋体"/>
                <w:b w:val="false"/>
              </w:rPr>
              <w:t>5年</w:t>
            </w:r>
          </w:p>
        </w:tc>
        <w:tc>
          <w:tcPr>
            <w:tcW/>
            <w:vAlign w:val="center"/>
          </w:tcPr>
          <w:p>
            <w:pPr>
              <w:spacing w:line="240" w:lineRule="auto"/>
              <w:jc w:val="left"/>
            </w:pPr>
            <w:r>
              <w:rPr>
                <w:rFonts w:ascii="宋体" w:hAnsi="宋体" w:cs="宋体" w:eastAsia="宋体"/>
                <w:b w:val="false"/>
              </w:rPr>
              <w:t>孟昱先生，中山大学理学硕士，2020年8月至2021年9月，在深圳市涌容资产管理有限公司工作，任研究部研究员；2021年10月至2023年10月，在深圳市中欧瑞博投资管理股份有限公司工作，历任医药投研部研究员、基金经理；2023年10月，入职东方阿尔法基金管理有限公司公募投资部，现任东方阿尔法基金管理有限公司基金经理</w:t>
            </w:r>
          </w:p>
        </w:tc>
      </w:tr>
    </w:tbl>
    <w:p>
      <w:r>
        <w:rPr>
          <w:rFonts w:ascii="宋体" w:hAnsi="宋体" w:cs="宋体" w:eastAsia="宋体"/>
          <w:b w:val="false"/>
        </w:rPr>
        <w:t>注：1.对基金的首任基金经理，其"任职日期"为基金合同生效日，"离任日期"为根据公告确定的解聘日期；对此后的非首任基金经理，"任职日期"和"离任日期"分别指公告确定的任职日期和离任日期。</w:t>
        <w:cr/>
      </w:r>
      <w:r>
        <w:rPr>
          <w:rFonts w:ascii="宋体" w:hAnsi="宋体" w:cs="宋体" w:eastAsia="宋体"/>
          <w:b w:val="false"/>
        </w:rPr>
        <w:t>2.证券从业的含义遵从《证券基金经营机构董事、监事、高级管理人员及从业人员监督管理办法》的相关规定。</w:t>
      </w:r>
    </w:p>
    <w:p/>
    <w:p>
      <w:r>
        <w:rPr>
          <w:rStyle w:val="正文"/>
          <w:rFonts w:ascii="宋体" w:hAnsi="宋体" w:cs="宋体" w:eastAsia="宋体"/>
          <w:b w:val="true"/>
        </w:rPr>
        <w:t>4.1.1 期末兼任私募资产管理计划投资经理的基金经理同时管理的产品情况</w:t>
      </w:r>
    </w:p>
    <w:p>
      <w:r>
        <w:rPr>
          <w:rFonts w:ascii="宋体" w:hAnsi="宋体" w:cs="宋体" w:eastAsia="宋体"/>
          <w:b w:val="false"/>
        </w:rPr>
        <w:t xml:space="preserve">    无。</w:t>
      </w:r>
    </w:p>
    <w:p/>
    <w:p>
      <w:pPr>
        <w:pStyle w:val="2"/>
        <w:jc w:val="left"/>
      </w:pPr>
      <w:r>
        <w:rPr>
          <w:rFonts w:ascii="宋体" w:hAnsi="宋体" w:cs="宋体" w:eastAsia="宋体"/>
        </w:rPr>
        <w:t>4.2 管理人对报告期内本基金运作遵规守信情况的说明</w:t>
      </w:r>
    </w:p>
    <w:p>
      <w:r>
        <w:rPr>
          <w:rFonts w:ascii="宋体" w:hAnsi="宋体" w:cs="宋体" w:eastAsia="宋体"/>
          <w:b w:val="false"/>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p>
      <w:pPr>
        <w:pStyle w:val="2"/>
        <w:jc w:val="left"/>
      </w:pPr>
      <w:r>
        <w:rPr>
          <w:rFonts w:ascii="宋体" w:hAnsi="宋体" w:cs="宋体" w:eastAsia="宋体"/>
        </w:rPr>
        <w:t>4.3 公平交易专项说明</w:t>
      </w:r>
    </w:p>
    <w:p>
      <w:r>
        <w:rPr>
          <w:rStyle w:val="正文"/>
          <w:rFonts w:ascii="宋体" w:hAnsi="宋体" w:cs="宋体" w:eastAsia="宋体"/>
          <w:b w:val="true"/>
        </w:rPr>
        <w:t>4.3.1 公平交易制度的执行情况</w:t>
      </w:r>
    </w:p>
    <w:p>
      <w:r>
        <w:rPr>
          <w:rFonts w:ascii="宋体" w:hAnsi="宋体" w:cs="宋体" w:eastAsia="宋体"/>
          <w:b w:val="false"/>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cr/>
      </w:r>
      <w:r>
        <w:rPr>
          <w:rFonts w:ascii="宋体" w:hAnsi="宋体" w:cs="宋体" w:eastAsia="宋体"/>
          <w:b w:val="false"/>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p>
      <w:r>
        <w:rPr>
          <w:rStyle w:val="正文"/>
          <w:rFonts w:ascii="宋体" w:hAnsi="宋体" w:cs="宋体" w:eastAsia="宋体"/>
          <w:b w:val="true"/>
        </w:rPr>
        <w:t>4.3.2 异常交易行为的专项说明</w:t>
      </w:r>
    </w:p>
    <w:p>
      <w:r>
        <w:rPr>
          <w:rFonts w:ascii="宋体" w:hAnsi="宋体" w:cs="宋体" w:eastAsia="宋体"/>
          <w:b w:val="false"/>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2"/>
        <w:jc w:val="left"/>
      </w:pPr>
      <w:r>
        <w:rPr>
          <w:rFonts w:ascii="宋体" w:hAnsi="宋体" w:cs="宋体" w:eastAsia="宋体"/>
        </w:rPr>
        <w:t>4.4 报告期内基金的投资策略和运作分析</w:t>
      </w:r>
    </w:p>
    <w:p>
      <w:r>
        <w:rPr>
          <w:rFonts w:ascii="宋体" w:hAnsi="宋体" w:cs="宋体" w:eastAsia="宋体"/>
          <w:b w:val="false"/>
        </w:rPr>
        <w:t xml:space="preserve">    2025年第三季度，医药板块各子板块涨跌情况差异较大，A股和港股市场表现各有不同，具体如下：</w:t>
        <w:cr/>
      </w:r>
      <w:r>
        <w:rPr>
          <w:rFonts w:ascii="宋体" w:hAnsi="宋体" w:cs="宋体" w:eastAsia="宋体"/>
          <w:b w:val="false"/>
        </w:rPr>
        <w:t xml:space="preserve">    A股市场方面，生物医药指数上涨了14%。其中，医药研发外包（CXO）涨幅显著，达到48%；医疗耗材上涨22%；创新药相关板块上涨20%。然而，疫苗、线下药店、血液制品、体外诊断、医疗设备等板块表现不佳，面临不同程度的压力。</w:t>
        <w:cr/>
      </w:r>
      <w:r>
        <w:rPr>
          <w:rFonts w:ascii="宋体" w:hAnsi="宋体" w:cs="宋体" w:eastAsia="宋体"/>
          <w:b w:val="false"/>
        </w:rPr>
        <w:t xml:space="preserve">    港股方面，医疗保健板块涨幅达41%。领涨的子板块包括生物科技，涨幅为54%；生命科学服务上涨51%；制药板块上涨39%。从单月表现来看，7月份指数由于BD（商务拓展）催化，大幅上涨。而在8月和9月，由于创新药公司BD进入真空期，市场预期落空，导致创新药大幅回调。</w:t>
        <w:cr/>
      </w:r>
      <w:r>
        <w:rPr>
          <w:rFonts w:ascii="宋体" w:hAnsi="宋体" w:cs="宋体" w:eastAsia="宋体"/>
          <w:b w:val="false"/>
        </w:rPr>
        <w:t xml:space="preserve">    从季度表现来看，第一季度医药板块整体强势，但内部结构分化明显，创新药、CXO、AI医疗等细分领域表现优异。进入第二季度，创新药板块进一步脱颖而出，成为市场焦点。这一轮创新药的崛起，主要得益于海外BD授权预期的推动。2025年上半年，创新药海外BD授权交易累计达46笔，首付款总计233.4亿元，交易对价总包合计4710亿元，已超过2023至2024年全年的水平。中国创新药海外授权的历史总交易对价有望突破2000亿美元，首付款累计达成165.8亿美元。据CNBC报道，截至2025年5月20日，在首付款5000万美元以上的BD交易中，中国占比高达42%，而2024年这一比例为27%，2019年时仅为0%。这一显著增长表明，全球医药领域对中国新药研发的认可度正在不断提升。第三季度，创新药呈现前高后低的走势，主要因素是对于BD预期的极致乐观和反转。</w:t>
        <w:cr/>
      </w:r>
      <w:r>
        <w:rPr>
          <w:rFonts w:ascii="宋体" w:hAnsi="宋体" w:cs="宋体" w:eastAsia="宋体"/>
          <w:b w:val="false"/>
        </w:rPr>
        <w:t xml:space="preserve">    对于市场关注的创新药BD三大疑问，我们的观点如下：不能因短期无大BD就否定行业潜力或推断未来无大BD。短期情况受过高预期、BD本身偶然性与阶段性（如MNC大额BD多集中在10月-次年1月）影响。而中国创新药的全球竞争力持续提升，只要分子创新与进度领先，后续大BD仍值得期待。MNC（跨国公司）布局欧美Biotech与中国BD并行不悖，并非放弃中国。中国创新药企已跻身全球创新牌桌且话语权、产业替代力增强。短期BD减少与美国对华投资限制仅是时间巧合，非企业刻意为之。评估BD质量不应只看首付款或总包金额，核心是项目成功概率、市场潜力及后续里程碑。真正有价值的是具备全球竞争力的“海外大药”。后续来看，短期BD减少是随机事件，需坚定中国创新药竞争力带来的长期BD潜力信心。当前市场情绪低迷正是中长期加仓创新药的时机，中国创新药出海是未来5-10年的明确产业趋势。</w:t>
        <w:cr/>
      </w:r>
      <w:r>
        <w:rPr>
          <w:rFonts w:ascii="宋体" w:hAnsi="宋体" w:cs="宋体" w:eastAsia="宋体"/>
          <w:b w:val="false"/>
        </w:rPr>
        <w:t xml:space="preserve">    综上所述，创新药产业的发展趋势已经形成。当前，创新药的定价仍遵循产品销售峰值3～4xPS（市销率）的大框架，DCF（折现现金流）模型仍可有效评估大多数创新药资产的合理价值，属于合理偏低。从单一创新药物的价值兑现来看，可分为三个阶段：创新分子临床价值POC（概念验证）阶段、海外市场拓展或授权阶段以及药物上市后的商业化快速爬坡期。目前，本轮创新药板块的快速上涨主要基于临床POC阶段的成果和海外授权预期，尚未进入商业化阶段的价值释放。</w:t>
        <w:cr/>
      </w:r>
      <w:r>
        <w:rPr>
          <w:rFonts w:ascii="宋体" w:hAnsi="宋体" w:cs="宋体" w:eastAsia="宋体"/>
          <w:b w:val="false"/>
        </w:rPr>
        <w:t xml:space="preserve">    CXO板块作为创新药的上下游产业链，经历一轮寒冬后，明显看到了订单规模的拐点和复苏。其中，受益于多肽类药物放量的CDMO已经率先走出低谷。而更多的临床CRO，我们通过复盘发现，其股价表现往往与创新药指数成强正相关，而与自身业绩表现存在1～2季度的错位。当第三季度创新药短期见顶回落之际，CXO却走出了一波大行情，单季度指数涨幅48%。我们认为一方面，有基本面进一步走强的原因，比如龙头公司业绩和订单超预期；另一方面，资金在创新药板块过于拥挤，溢出后选择CXO这样一个创新药产业链上下游板块也是必行之举。</w:t>
        <w:cr/>
      </w:r>
      <w:r>
        <w:rPr>
          <w:rFonts w:ascii="宋体" w:hAnsi="宋体" w:cs="宋体" w:eastAsia="宋体"/>
          <w:b w:val="false"/>
        </w:rPr>
        <w:t xml:space="preserve">    基于以上分析，我们在第三季度的创新药持仓依然选择头部确定性高的创新药和弹性创新药的两头配置策略。然后对于业绩能见度高，估值合理的cxo继续进行配置。医疗设备&amp;器械板块，部分Q3高增长的资产，以及26年预期加速增长的资产，我们也在关注，并进行配置。对于短期新药资产的回撤，选择有限度忍耐。</w:t>
      </w:r>
    </w:p>
    <w:p/>
    <w:p>
      <w:pPr>
        <w:pStyle w:val="2"/>
        <w:jc w:val="left"/>
      </w:pPr>
      <w:r>
        <w:rPr>
          <w:rFonts w:ascii="宋体" w:hAnsi="宋体" w:cs="宋体" w:eastAsia="宋体"/>
        </w:rPr>
        <w:t>4.5 报告期内基金的业绩表现</w:t>
      </w:r>
    </w:p>
    <w:p>
      <w:r>
        <w:rPr>
          <w:rFonts w:ascii="宋体" w:hAnsi="宋体" w:cs="宋体" w:eastAsia="宋体"/>
          <w:b w:val="false"/>
        </w:rPr>
        <w:t xml:space="preserve">    截至报告期末东方阿尔法医疗健康混合发起A基金份额净值为1.2916元，本报告期内，该类基金份额净值增长率为19.61%，同期业绩比较基准收益率为16.11%；截至报告期末东方阿尔法医疗健康混合发起C基金份额净值为1.2692元，本报告期内，该类基金份额净值增长率为19.47%，同期业绩比较基准收益率为16.11%。</w:t>
      </w:r>
    </w:p>
    <w:p/>
    <w:p>
      <w:pPr>
        <w:pStyle w:val="2"/>
        <w:jc w:val="left"/>
      </w:pPr>
      <w:r>
        <w:rPr>
          <w:rFonts w:ascii="宋体" w:hAnsi="宋体" w:cs="宋体" w:eastAsia="宋体"/>
        </w:rPr>
        <w:t>4.6 报告期内基金持有人数或基金资产净值预警说明</w:t>
      </w:r>
    </w:p>
    <w:p>
      <w:r>
        <w:rPr>
          <w:rFonts w:ascii="宋体" w:hAnsi="宋体" w:cs="宋体" w:eastAsia="宋体"/>
          <w:b w:val="false"/>
        </w:rPr>
        <w:t xml:space="preserve">    本报告期内，本基金未出现连续20个工作日基金份额持有人数量不满200人或者基金资产净值低于5000万的情形。</w:t>
      </w:r>
    </w:p>
    <w:p>
      <w:pPr>
        <w:pStyle w:val="1"/>
        <w:jc w:val="center"/>
      </w:pPr>
      <w:r>
        <w:rPr>
          <w:rFonts w:ascii="宋体" w:hAnsi="宋体" w:cs="宋体" w:eastAsia="宋体"/>
        </w:rPr>
        <w:t>§5 投资组合报告</w:t>
      </w:r>
    </w:p>
    <w:p>
      <w:pPr>
        <w:pStyle w:val="2"/>
        <w:jc w:val="left"/>
      </w:pPr>
      <w:r>
        <w:rPr>
          <w:rFonts w:ascii="宋体" w:hAnsi="宋体" w:cs="宋体" w:eastAsia="宋体"/>
        </w:rPr>
        <w:t>5.1 报告期末基金资产组合情况</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462"/>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项目</w:t>
            </w:r>
          </w:p>
        </w:tc>
        <w:tc>
          <w:tcPr>
            <w:tcW w:type="pct" w:w="1538"/>
            <w:vAlign w:val="center"/>
          </w:tcPr>
          <w:tcPr>
            <w:shd w:fill="d9d9d9"/>
          </w:tcPr>
          <w:p>
            <w:pPr>
              <w:spacing w:line="240" w:lineRule="auto"/>
              <w:jc w:val="center"/>
            </w:pPr>
            <w:r>
              <w:rPr>
                <w:rFonts w:ascii="宋体" w:hAnsi="宋体" w:cs="宋体" w:eastAsia="宋体"/>
                <w:b w:val="false"/>
              </w:rPr>
              <w:t>金额(元)</w:t>
            </w:r>
          </w:p>
        </w:tc>
        <w:tc>
          <w:tcPr>
            <w:tcW w:type="pct" w:w="1538"/>
            <w:vAlign w:val="center"/>
          </w:tcPr>
          <w:tcPr>
            <w:shd w:fill="d9d9d9"/>
          </w:tcPr>
          <w:p>
            <w:pPr>
              <w:spacing w:line="240" w:lineRule="auto"/>
              <w:jc w:val="center"/>
            </w:pPr>
            <w:r>
              <w:rPr>
                <w:rFonts w:ascii="宋体" w:hAnsi="宋体" w:cs="宋体" w:eastAsia="宋体"/>
                <w:b w:val="false"/>
              </w:rPr>
              <w:t>占基金总资产的比例（%）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权益投资</w:t>
            </w:r>
          </w:p>
        </w:tc>
        <w:tc>
          <w:tcPr>
            <w:tcW/>
            <w:vAlign w:val="center"/>
          </w:tcPr>
          <w:p>
            <w:pPr>
              <w:spacing w:line="240" w:lineRule="auto"/>
              <w:jc w:val="right"/>
            </w:pPr>
            <w:r>
              <w:rPr>
                <w:rFonts w:ascii="宋体" w:hAnsi="宋体" w:cs="宋体" w:eastAsia="宋体"/>
                <w:b w:val="false"/>
              </w:rPr>
              <w:t>147,991,667.16</w:t>
            </w:r>
          </w:p>
        </w:tc>
        <w:tc>
          <w:tcPr>
            <w:tcW/>
            <w:vAlign w:val="center"/>
          </w:tcPr>
          <w:p>
            <w:pPr>
              <w:spacing w:line="240" w:lineRule="auto"/>
              <w:jc w:val="right"/>
            </w:pPr>
            <w:r>
              <w:rPr>
                <w:rFonts w:ascii="宋体" w:hAnsi="宋体" w:cs="宋体" w:eastAsia="宋体"/>
                <w:b w:val="false"/>
              </w:rPr>
              <w:t>87.70</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其中：股票</w:t>
            </w:r>
          </w:p>
        </w:tc>
        <w:tc>
          <w:tcPr>
            <w:tcW/>
            <w:vAlign w:val="center"/>
          </w:tcPr>
          <w:p>
            <w:pPr>
              <w:spacing w:line="240" w:lineRule="auto"/>
              <w:jc w:val="right"/>
            </w:pPr>
            <w:r>
              <w:rPr>
                <w:rFonts w:ascii="宋体" w:hAnsi="宋体" w:cs="宋体" w:eastAsia="宋体"/>
                <w:b w:val="false"/>
              </w:rPr>
              <w:t>147,991,667.16</w:t>
            </w:r>
          </w:p>
        </w:tc>
        <w:tc>
          <w:tcPr>
            <w:tcW/>
            <w:vAlign w:val="center"/>
          </w:tcPr>
          <w:p>
            <w:pPr>
              <w:spacing w:line="240" w:lineRule="auto"/>
              <w:jc w:val="right"/>
            </w:pPr>
            <w:r>
              <w:rPr>
                <w:rFonts w:ascii="宋体" w:hAnsi="宋体" w:cs="宋体" w:eastAsia="宋体"/>
                <w:b w:val="false"/>
              </w:rPr>
              <w:t>87.70</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基金投资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固定收益投资</w:t>
            </w:r>
          </w:p>
        </w:tc>
        <w:tc>
          <w:tcPr>
            <w:tcW/>
            <w:vAlign w:val="center"/>
          </w:tcPr>
          <w:p>
            <w:pPr>
              <w:spacing w:line="240" w:lineRule="auto"/>
              <w:jc w:val="right"/>
            </w:pPr>
            <w:r>
              <w:rPr>
                <w:rFonts w:ascii="宋体" w:hAnsi="宋体" w:cs="宋体" w:eastAsia="宋体"/>
                <w:b w:val="false"/>
              </w:rPr>
              <w:t>8,753,876.96</w:t>
            </w:r>
          </w:p>
        </w:tc>
        <w:tc>
          <w:tcPr>
            <w:tcW/>
            <w:vAlign w:val="center"/>
          </w:tcPr>
          <w:p>
            <w:pPr>
              <w:spacing w:line="240" w:lineRule="auto"/>
              <w:jc w:val="right"/>
            </w:pPr>
            <w:r>
              <w:rPr>
                <w:rFonts w:ascii="宋体" w:hAnsi="宋体" w:cs="宋体" w:eastAsia="宋体"/>
                <w:b w:val="false"/>
              </w:rPr>
              <w:t>5.19</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其中：债券</w:t>
            </w:r>
          </w:p>
        </w:tc>
        <w:tc>
          <w:tcPr>
            <w:tcW/>
            <w:vAlign w:val="center"/>
          </w:tcPr>
          <w:p>
            <w:pPr>
              <w:spacing w:line="240" w:lineRule="auto"/>
              <w:jc w:val="right"/>
            </w:pPr>
            <w:r>
              <w:rPr>
                <w:rFonts w:ascii="宋体" w:hAnsi="宋体" w:cs="宋体" w:eastAsia="宋体"/>
                <w:b w:val="false"/>
              </w:rPr>
              <w:t>8,753,876.96</w:t>
            </w:r>
          </w:p>
        </w:tc>
        <w:tc>
          <w:tcPr>
            <w:tcW/>
            <w:vAlign w:val="center"/>
          </w:tcPr>
          <w:p>
            <w:pPr>
              <w:spacing w:line="240" w:lineRule="auto"/>
              <w:jc w:val="right"/>
            </w:pPr>
            <w:r>
              <w:rPr>
                <w:rFonts w:ascii="宋体" w:hAnsi="宋体" w:cs="宋体" w:eastAsia="宋体"/>
                <w:b w:val="false"/>
              </w:rPr>
              <w:t>5.19</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 xml:space="preserve">      资产支持证券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pPr>
            <w:r>
              <w:rPr>
                <w:rFonts w:ascii="宋体" w:hAnsi="宋体" w:cs="宋体" w:eastAsia="宋体"/>
                <w:b w:val="false"/>
              </w:rPr>
              <w:t>贵金属投资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金融衍生品投资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买入返售金融资产</w:t>
            </w:r>
          </w:p>
        </w:tc>
        <w:tc>
          <w:tcPr>
            <w:tcW/>
            <w:vAlign w:val="center"/>
          </w:tcPr>
          <w:p>
            <w:pPr>
              <w:spacing w:line="240" w:lineRule="auto"/>
              <w:jc w:val="right"/>
            </w:pPr>
            <w:r>
              <w:rPr>
                <w:rFonts w:ascii="宋体" w:hAnsi="宋体" w:cs="宋体" w:eastAsia="宋体"/>
                <w:b w:val="false"/>
              </w:rPr>
              <w:t>-1,643.53</w:t>
            </w:r>
          </w:p>
        </w:tc>
        <w:tc>
          <w:tcPr>
            <w:tcW/>
            <w:vAlign w:val="center"/>
          </w:tcPr>
          <w:p>
            <w:pPr>
              <w:spacing w:line="240" w:lineRule="auto"/>
              <w:jc w:val="right"/>
            </w:pPr>
            <w:r>
              <w:rPr>
                <w:rFonts w:ascii="宋体" w:hAnsi="宋体" w:cs="宋体" w:eastAsia="宋体"/>
                <w:b w:val="false"/>
              </w:rPr>
              <w:t>0.00</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其中：买断式回购的买入返售金融资产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银行存款和结算备付金合计</w:t>
            </w:r>
          </w:p>
        </w:tc>
        <w:tc>
          <w:tcPr>
            <w:tcW/>
            <w:vAlign w:val="center"/>
          </w:tcPr>
          <w:p>
            <w:pPr>
              <w:spacing w:line="240" w:lineRule="auto"/>
              <w:jc w:val="right"/>
            </w:pPr>
            <w:r>
              <w:rPr>
                <w:rFonts w:ascii="宋体" w:hAnsi="宋体" w:cs="宋体" w:eastAsia="宋体"/>
                <w:b w:val="false"/>
              </w:rPr>
              <w:t>10,548,913.63</w:t>
            </w:r>
          </w:p>
        </w:tc>
        <w:tc>
          <w:tcPr>
            <w:tcW/>
            <w:vAlign w:val="center"/>
          </w:tcPr>
          <w:p>
            <w:pPr>
              <w:spacing w:line="240" w:lineRule="auto"/>
              <w:jc w:val="right"/>
            </w:pPr>
            <w:r>
              <w:rPr>
                <w:rFonts w:ascii="宋体" w:hAnsi="宋体" w:cs="宋体" w:eastAsia="宋体"/>
                <w:b w:val="false"/>
              </w:rPr>
              <w:t>6.25</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其他资产</w:t>
            </w:r>
          </w:p>
        </w:tc>
        <w:tc>
          <w:tcPr>
            <w:tcW/>
            <w:vAlign w:val="center"/>
          </w:tcPr>
          <w:p>
            <w:pPr>
              <w:spacing w:line="240" w:lineRule="auto"/>
              <w:jc w:val="right"/>
            </w:pPr>
            <w:r>
              <w:rPr>
                <w:rFonts w:ascii="宋体" w:hAnsi="宋体" w:cs="宋体" w:eastAsia="宋体"/>
                <w:b w:val="false"/>
              </w:rPr>
              <w:t>1,453,637.11</w:t>
            </w:r>
          </w:p>
        </w:tc>
        <w:tc>
          <w:tcPr>
            <w:tcW/>
            <w:vAlign w:val="center"/>
          </w:tcPr>
          <w:p>
            <w:pPr>
              <w:spacing w:line="240" w:lineRule="auto"/>
              <w:jc w:val="right"/>
            </w:pPr>
            <w:r>
              <w:rPr>
                <w:rFonts w:ascii="宋体" w:hAnsi="宋体" w:cs="宋体" w:eastAsia="宋体"/>
                <w:b w:val="false"/>
              </w:rPr>
              <w:t>0.86</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168,746,451.33</w:t>
            </w:r>
          </w:p>
        </w:tc>
        <w:tc>
          <w:tcPr>
            <w:tcW/>
            <w:vAlign w:val="center"/>
          </w:tcPr>
          <w:p>
            <w:pPr>
              <w:spacing w:line="240" w:lineRule="auto"/>
              <w:jc w:val="right"/>
            </w:pPr>
            <w:r>
              <w:rPr>
                <w:rFonts w:ascii="宋体" w:hAnsi="宋体" w:cs="宋体" w:eastAsia="宋体"/>
                <w:b w:val="false"/>
              </w:rPr>
              <w:t>100.00</w:t>
            </w:r>
          </w:p>
        </w:tc>
      </w:tr>
    </w:tbl>
    <w:p>
      <w:r>
        <w:rPr>
          <w:rFonts w:ascii="宋体" w:hAnsi="宋体" w:cs="宋体" w:eastAsia="宋体"/>
          <w:b w:val="false"/>
        </w:rPr>
        <w:t>注：报告期末本基金通过港股通交易机制投资的港股公允价值合计70,285,162.73元，占基金资产净值的比例为41.82%。</w:t>
      </w:r>
    </w:p>
    <w:p/>
    <w:p>
      <w:pPr>
        <w:pStyle w:val="2"/>
        <w:jc w:val="left"/>
      </w:pPr>
      <w:r>
        <w:rPr>
          <w:rFonts w:ascii="宋体" w:hAnsi="宋体" w:cs="宋体" w:eastAsia="宋体"/>
        </w:rPr>
        <w:t>5.2 报告期末按行业分类的股票投资组合</w:t>
      </w:r>
    </w:p>
    <w:p>
      <w:r>
        <w:rPr>
          <w:rStyle w:val="正文"/>
          <w:rFonts w:ascii="宋体" w:hAnsi="宋体" w:cs="宋体" w:eastAsia="宋体"/>
          <w:b w:val="true"/>
        </w:rPr>
        <w:t>5.2.1 报告期末按行业分类的境内股票投资组合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代码</w:t>
            </w:r>
          </w:p>
        </w:tc>
        <w:tc>
          <w:tcPr>
            <w:tcW w:type="pct" w:w="1538"/>
            <w:vAlign w:val="center"/>
          </w:tcPr>
          <w:tcPr>
            <w:shd w:fill="d9d9d9"/>
          </w:tcPr>
          <w:p>
            <w:pPr>
              <w:spacing w:line="240" w:lineRule="auto"/>
              <w:jc w:val="center"/>
            </w:pPr>
            <w:r>
              <w:rPr>
                <w:rFonts w:ascii="宋体" w:hAnsi="宋体" w:cs="宋体" w:eastAsia="宋体"/>
                <w:b w:val="false"/>
              </w:rPr>
              <w:t>行业类别</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1538"/>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A</w:t>
            </w:r>
          </w:p>
        </w:tc>
        <w:tc>
          <w:tcPr>
            <w:tcW/>
            <w:vAlign w:val="center"/>
          </w:tcPr>
          <w:p>
            <w:pPr>
              <w:spacing w:line="240" w:lineRule="auto"/>
              <w:jc w:val="left"/>
            </w:pPr>
            <w:r>
              <w:rPr>
                <w:rFonts w:ascii="宋体" w:hAnsi="宋体" w:cs="宋体" w:eastAsia="宋体"/>
                <w:b w:val="false"/>
              </w:rPr>
              <w:t>农、林、牧、渔业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B</w:t>
            </w:r>
          </w:p>
        </w:tc>
        <w:tc>
          <w:tcPr>
            <w:tcW/>
            <w:vAlign w:val="center"/>
          </w:tcPr>
          <w:p>
            <w:pPr>
              <w:spacing w:line="240" w:lineRule="auto"/>
              <w:jc w:val="left"/>
            </w:pPr>
            <w:r>
              <w:rPr>
                <w:rFonts w:ascii="宋体" w:hAnsi="宋体" w:cs="宋体" w:eastAsia="宋体"/>
                <w:b w:val="false"/>
              </w:rPr>
              <w:t>采矿业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C</w:t>
            </w:r>
          </w:p>
        </w:tc>
        <w:tc>
          <w:tcPr>
            <w:tcW/>
            <w:vAlign w:val="center"/>
          </w:tcPr>
          <w:p>
            <w:pPr>
              <w:spacing w:line="240" w:lineRule="auto"/>
              <w:jc w:val="left"/>
            </w:pPr>
            <w:r>
              <w:rPr>
                <w:rFonts w:ascii="宋体" w:hAnsi="宋体" w:cs="宋体" w:eastAsia="宋体"/>
                <w:b w:val="false"/>
              </w:rPr>
              <w:t>制造业</w:t>
            </w:r>
          </w:p>
        </w:tc>
        <w:tc>
          <w:tcPr>
            <w:tcW/>
            <w:vAlign w:val="center"/>
          </w:tcPr>
          <w:p>
            <w:pPr>
              <w:spacing w:line="240" w:lineRule="auto"/>
              <w:jc w:val="right"/>
            </w:pPr>
            <w:r>
              <w:rPr>
                <w:rFonts w:ascii="宋体" w:hAnsi="宋体" w:cs="宋体" w:eastAsia="宋体"/>
                <w:b w:val="false"/>
              </w:rPr>
              <w:t>75,970,039.43</w:t>
            </w:r>
          </w:p>
        </w:tc>
        <w:tc>
          <w:tcPr>
            <w:tcW/>
            <w:vAlign w:val="center"/>
          </w:tcPr>
          <w:p>
            <w:pPr>
              <w:spacing w:line="240" w:lineRule="auto"/>
              <w:jc w:val="right"/>
            </w:pPr>
            <w:r>
              <w:rPr>
                <w:rFonts w:ascii="宋体" w:hAnsi="宋体" w:cs="宋体" w:eastAsia="宋体"/>
                <w:b w:val="false"/>
              </w:rPr>
              <w:t>45.20</w:t>
            </w:r>
          </w:p>
        </w:tc>
      </w:tr>
      <w:tr>
        <w:tc>
          <w:tcPr>
            <w:tcW/>
            <w:vAlign w:val="center"/>
          </w:tcPr>
          <w:p>
            <w:pPr>
              <w:spacing w:line="240" w:lineRule="auto"/>
              <w:jc w:val="center"/>
            </w:pPr>
            <w:r>
              <w:rPr>
                <w:rFonts w:ascii="宋体" w:hAnsi="宋体" w:cs="宋体" w:eastAsia="宋体"/>
                <w:b w:val="false"/>
              </w:rPr>
              <w:t>D</w:t>
            </w:r>
          </w:p>
        </w:tc>
        <w:tc>
          <w:tcPr>
            <w:tcW/>
            <w:vAlign w:val="center"/>
          </w:tcPr>
          <w:p>
            <w:pPr>
              <w:spacing w:line="240" w:lineRule="auto"/>
              <w:jc w:val="left"/>
            </w:pPr>
            <w:r>
              <w:rPr>
                <w:rFonts w:ascii="宋体" w:hAnsi="宋体" w:cs="宋体" w:eastAsia="宋体"/>
                <w:b w:val="false"/>
              </w:rPr>
              <w:t>电力、热力、燃气及水生产和供应业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E</w:t>
            </w:r>
          </w:p>
        </w:tc>
        <w:tc>
          <w:tcPr>
            <w:tcW/>
            <w:vAlign w:val="center"/>
          </w:tcPr>
          <w:p>
            <w:pPr>
              <w:spacing w:line="240" w:lineRule="auto"/>
              <w:jc w:val="left"/>
            </w:pPr>
            <w:r>
              <w:rPr>
                <w:rFonts w:ascii="宋体" w:hAnsi="宋体" w:cs="宋体" w:eastAsia="宋体"/>
                <w:b w:val="false"/>
              </w:rPr>
              <w:t>建筑业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F</w:t>
            </w:r>
          </w:p>
        </w:tc>
        <w:tc>
          <w:tcPr>
            <w:tcW/>
            <w:vAlign w:val="center"/>
          </w:tcPr>
          <w:p>
            <w:pPr>
              <w:spacing w:line="240" w:lineRule="auto"/>
              <w:jc w:val="left"/>
            </w:pPr>
            <w:r>
              <w:rPr>
                <w:rFonts w:ascii="宋体" w:hAnsi="宋体" w:cs="宋体" w:eastAsia="宋体"/>
                <w:b w:val="false"/>
              </w:rPr>
              <w:t>批发和零售业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G</w:t>
            </w:r>
          </w:p>
        </w:tc>
        <w:tc>
          <w:tcPr>
            <w:tcW/>
            <w:vAlign w:val="center"/>
          </w:tcPr>
          <w:p>
            <w:pPr>
              <w:spacing w:line="240" w:lineRule="auto"/>
              <w:jc w:val="left"/>
            </w:pPr>
            <w:r>
              <w:rPr>
                <w:rFonts w:ascii="宋体" w:hAnsi="宋体" w:cs="宋体" w:eastAsia="宋体"/>
                <w:b w:val="false"/>
              </w:rPr>
              <w:t>交通运输、仓储和邮政业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H</w:t>
            </w:r>
          </w:p>
        </w:tc>
        <w:tc>
          <w:tcPr>
            <w:tcW/>
            <w:vAlign w:val="center"/>
          </w:tcPr>
          <w:p>
            <w:pPr>
              <w:spacing w:line="240" w:lineRule="auto"/>
              <w:jc w:val="left"/>
            </w:pPr>
            <w:r>
              <w:rPr>
                <w:rFonts w:ascii="宋体" w:hAnsi="宋体" w:cs="宋体" w:eastAsia="宋体"/>
                <w:b w:val="false"/>
              </w:rPr>
              <w:t>住宿和餐饮业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I</w:t>
            </w:r>
          </w:p>
        </w:tc>
        <w:tc>
          <w:tcPr>
            <w:tcW/>
            <w:vAlign w:val="center"/>
          </w:tcPr>
          <w:p>
            <w:pPr>
              <w:spacing w:line="240" w:lineRule="auto"/>
              <w:jc w:val="left"/>
            </w:pPr>
            <w:r>
              <w:rPr>
                <w:rFonts w:ascii="宋体" w:hAnsi="宋体" w:cs="宋体" w:eastAsia="宋体"/>
                <w:b w:val="false"/>
              </w:rPr>
              <w:t>信息传输、软件和信息技术服务业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J</w:t>
            </w:r>
          </w:p>
        </w:tc>
        <w:tc>
          <w:tcPr>
            <w:tcW/>
            <w:vAlign w:val="center"/>
          </w:tcPr>
          <w:p>
            <w:pPr>
              <w:spacing w:line="240" w:lineRule="auto"/>
              <w:jc w:val="left"/>
            </w:pPr>
            <w:r>
              <w:rPr>
                <w:rFonts w:ascii="宋体" w:hAnsi="宋体" w:cs="宋体" w:eastAsia="宋体"/>
                <w:b w:val="false"/>
              </w:rPr>
              <w:t>金融业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K</w:t>
            </w:r>
          </w:p>
        </w:tc>
        <w:tc>
          <w:tcPr>
            <w:tcW/>
            <w:vAlign w:val="center"/>
          </w:tcPr>
          <w:p>
            <w:pPr>
              <w:spacing w:line="240" w:lineRule="auto"/>
              <w:jc w:val="left"/>
            </w:pPr>
            <w:r>
              <w:rPr>
                <w:rFonts w:ascii="宋体" w:hAnsi="宋体" w:cs="宋体" w:eastAsia="宋体"/>
                <w:b w:val="false"/>
              </w:rPr>
              <w:t>房地产业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L</w:t>
            </w:r>
          </w:p>
        </w:tc>
        <w:tc>
          <w:tcPr>
            <w:tcW/>
            <w:vAlign w:val="center"/>
          </w:tcPr>
          <w:p>
            <w:pPr>
              <w:spacing w:line="240" w:lineRule="auto"/>
              <w:jc w:val="left"/>
            </w:pPr>
            <w:r>
              <w:rPr>
                <w:rFonts w:ascii="宋体" w:hAnsi="宋体" w:cs="宋体" w:eastAsia="宋体"/>
                <w:b w:val="false"/>
              </w:rPr>
              <w:t>租赁和商务服务业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M</w:t>
            </w:r>
          </w:p>
        </w:tc>
        <w:tc>
          <w:tcPr>
            <w:tcW/>
            <w:vAlign w:val="center"/>
          </w:tcPr>
          <w:p>
            <w:pPr>
              <w:spacing w:line="240" w:lineRule="auto"/>
              <w:jc w:val="left"/>
            </w:pPr>
            <w:r>
              <w:rPr>
                <w:rFonts w:ascii="宋体" w:hAnsi="宋体" w:cs="宋体" w:eastAsia="宋体"/>
                <w:b w:val="false"/>
              </w:rPr>
              <w:t>科学研究和技术服务业</w:t>
            </w:r>
          </w:p>
        </w:tc>
        <w:tc>
          <w:tcPr>
            <w:tcW/>
            <w:vAlign w:val="center"/>
          </w:tcPr>
          <w:p>
            <w:pPr>
              <w:spacing w:line="240" w:lineRule="auto"/>
              <w:jc w:val="right"/>
            </w:pPr>
            <w:r>
              <w:rPr>
                <w:rFonts w:ascii="宋体" w:hAnsi="宋体" w:cs="宋体" w:eastAsia="宋体"/>
                <w:b w:val="false"/>
              </w:rPr>
              <w:t>1,736,465.00</w:t>
            </w:r>
          </w:p>
        </w:tc>
        <w:tc>
          <w:tcPr>
            <w:tcW/>
            <w:vAlign w:val="center"/>
          </w:tcPr>
          <w:p>
            <w:pPr>
              <w:spacing w:line="240" w:lineRule="auto"/>
              <w:jc w:val="right"/>
            </w:pPr>
            <w:r>
              <w:rPr>
                <w:rFonts w:ascii="宋体" w:hAnsi="宋体" w:cs="宋体" w:eastAsia="宋体"/>
                <w:b w:val="false"/>
              </w:rPr>
              <w:t>1.03</w:t>
            </w:r>
          </w:p>
        </w:tc>
      </w:tr>
      <w:tr>
        <w:tc>
          <w:tcPr>
            <w:tcW/>
            <w:vAlign w:val="center"/>
          </w:tcPr>
          <w:p>
            <w:pPr>
              <w:spacing w:line="240" w:lineRule="auto"/>
              <w:jc w:val="center"/>
            </w:pPr>
            <w:r>
              <w:rPr>
                <w:rFonts w:ascii="宋体" w:hAnsi="宋体" w:cs="宋体" w:eastAsia="宋体"/>
                <w:b w:val="false"/>
              </w:rPr>
              <w:t>N</w:t>
            </w:r>
          </w:p>
        </w:tc>
        <w:tc>
          <w:tcPr>
            <w:tcW/>
            <w:vAlign w:val="center"/>
          </w:tcPr>
          <w:p>
            <w:pPr>
              <w:spacing w:line="240" w:lineRule="auto"/>
              <w:jc w:val="left"/>
            </w:pPr>
            <w:r>
              <w:rPr>
                <w:rFonts w:ascii="宋体" w:hAnsi="宋体" w:cs="宋体" w:eastAsia="宋体"/>
                <w:b w:val="false"/>
              </w:rPr>
              <w:t>水利、环境和公共设施管理业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O</w:t>
            </w:r>
          </w:p>
        </w:tc>
        <w:tc>
          <w:tcPr>
            <w:tcW/>
            <w:vAlign w:val="center"/>
          </w:tcPr>
          <w:p>
            <w:pPr>
              <w:spacing w:line="240" w:lineRule="auto"/>
              <w:jc w:val="left"/>
            </w:pPr>
            <w:r>
              <w:rPr>
                <w:rFonts w:ascii="宋体" w:hAnsi="宋体" w:cs="宋体" w:eastAsia="宋体"/>
                <w:b w:val="false"/>
              </w:rPr>
              <w:t>居民服务、修理和其他服务业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P</w:t>
            </w:r>
          </w:p>
        </w:tc>
        <w:tc>
          <w:tcPr>
            <w:tcW/>
            <w:vAlign w:val="center"/>
          </w:tcPr>
          <w:p>
            <w:pPr>
              <w:spacing w:line="240" w:lineRule="auto"/>
              <w:jc w:val="left"/>
            </w:pPr>
            <w:r>
              <w:rPr>
                <w:rFonts w:ascii="宋体" w:hAnsi="宋体" w:cs="宋体" w:eastAsia="宋体"/>
                <w:b w:val="false"/>
              </w:rPr>
              <w:t>教育</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Q</w:t>
            </w:r>
          </w:p>
        </w:tc>
        <w:tc>
          <w:tcPr>
            <w:tcW/>
            <w:vAlign w:val="center"/>
          </w:tcPr>
          <w:p>
            <w:pPr>
              <w:spacing w:line="240" w:lineRule="auto"/>
              <w:jc w:val="left"/>
            </w:pPr>
            <w:r>
              <w:rPr>
                <w:rFonts w:ascii="宋体" w:hAnsi="宋体" w:cs="宋体" w:eastAsia="宋体"/>
                <w:b w:val="false"/>
              </w:rPr>
              <w:t>卫生和社会工作</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R</w:t>
            </w:r>
          </w:p>
        </w:tc>
        <w:tc>
          <w:tcPr>
            <w:tcW/>
            <w:vAlign w:val="center"/>
          </w:tcPr>
          <w:p>
            <w:pPr>
              <w:spacing w:line="240" w:lineRule="auto"/>
              <w:jc w:val="left"/>
            </w:pPr>
            <w:r>
              <w:rPr>
                <w:rFonts w:ascii="宋体" w:hAnsi="宋体" w:cs="宋体" w:eastAsia="宋体"/>
                <w:b w:val="false"/>
              </w:rPr>
              <w:t>文化、体育和娱乐业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S</w:t>
            </w:r>
          </w:p>
        </w:tc>
        <w:tc>
          <w:tcPr>
            <w:tcW/>
            <w:vAlign w:val="center"/>
          </w:tcPr>
          <w:p>
            <w:pPr>
              <w:spacing w:line="240" w:lineRule="auto"/>
              <w:jc w:val="left"/>
            </w:pPr>
            <w:r>
              <w:rPr>
                <w:rFonts w:ascii="宋体" w:hAnsi="宋体" w:cs="宋体" w:eastAsia="宋体"/>
                <w:b w:val="false"/>
              </w:rPr>
              <w:t>综合</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77,706,504.43</w:t>
            </w:r>
          </w:p>
        </w:tc>
        <w:tc>
          <w:tcPr>
            <w:tcW/>
            <w:vAlign w:val="center"/>
          </w:tcPr>
          <w:p>
            <w:pPr>
              <w:spacing w:line="240" w:lineRule="auto"/>
              <w:jc w:val="right"/>
            </w:pPr>
            <w:r>
              <w:rPr>
                <w:rFonts w:ascii="宋体" w:hAnsi="宋体" w:cs="宋体" w:eastAsia="宋体"/>
                <w:b w:val="false"/>
              </w:rPr>
              <w:t>46.23</w:t>
            </w:r>
          </w:p>
        </w:tc>
      </w:tr>
    </w:tbl>
    <w:p/>
    <w:p>
      <w:r>
        <w:rPr>
          <w:rStyle w:val="正文"/>
          <w:rFonts w:ascii="宋体" w:hAnsi="宋体" w:cs="宋体" w:eastAsia="宋体"/>
          <w:b w:val="true"/>
        </w:rPr>
        <w:t>5.2.2 报告期末按行业分类的港股通投资股票投资组合</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538"/>
            <w:vAlign w:val="center"/>
          </w:tcPr>
          <w:tcPr>
            <w:shd w:fill="d9d9d9"/>
          </w:tcPr>
          <w:p>
            <w:pPr>
              <w:spacing w:line="240" w:lineRule="auto"/>
              <w:jc w:val="center"/>
            </w:pPr>
            <w:r>
              <w:rPr>
                <w:rFonts w:ascii="宋体" w:hAnsi="宋体" w:cs="宋体" w:eastAsia="宋体"/>
                <w:b w:val="false"/>
              </w:rPr>
              <w:t>行业类别</w:t>
            </w:r>
          </w:p>
        </w:tc>
        <w:tc>
          <w:tcPr>
            <w:tcW w:type="pct" w:w="1538"/>
            <w:vAlign w:val="center"/>
          </w:tcPr>
          <w:tcPr>
            <w:shd w:fill="d9d9d9"/>
          </w:tcPr>
          <w:p>
            <w:pPr>
              <w:spacing w:line="240" w:lineRule="auto"/>
              <w:jc w:val="center"/>
            </w:pPr>
            <w:r>
              <w:rPr>
                <w:rFonts w:ascii="宋体" w:hAnsi="宋体" w:cs="宋体" w:eastAsia="宋体"/>
                <w:b w:val="false"/>
              </w:rPr>
              <w:t>公允价值（人民币）</w:t>
            </w:r>
          </w:p>
        </w:tc>
        <w:tc>
          <w:tcPr>
            <w:tcW w:type="pct" w:w="1538"/>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left"/>
            </w:pPr>
            <w:r>
              <w:rPr>
                <w:rFonts w:ascii="宋体" w:hAnsi="宋体" w:cs="宋体" w:eastAsia="宋体"/>
                <w:b w:val="false"/>
              </w:rPr>
              <w:t>医疗保健</w:t>
            </w:r>
          </w:p>
        </w:tc>
        <w:tc>
          <w:tcPr>
            <w:tcW/>
            <w:vAlign w:val="center"/>
          </w:tcPr>
          <w:p>
            <w:pPr>
              <w:spacing w:line="240" w:lineRule="auto"/>
              <w:jc w:val="right"/>
            </w:pPr>
            <w:r>
              <w:rPr>
                <w:rFonts w:ascii="宋体" w:hAnsi="宋体" w:cs="宋体" w:eastAsia="宋体"/>
                <w:b w:val="false"/>
              </w:rPr>
              <w:t>70,285,162.73</w:t>
            </w:r>
          </w:p>
        </w:tc>
        <w:tc>
          <w:tcPr>
            <w:tcW/>
            <w:vAlign w:val="center"/>
          </w:tcPr>
          <w:p>
            <w:pPr>
              <w:spacing w:line="240" w:lineRule="auto"/>
              <w:jc w:val="right"/>
            </w:pPr>
            <w:r>
              <w:rPr>
                <w:rFonts w:ascii="宋体" w:hAnsi="宋体" w:cs="宋体" w:eastAsia="宋体"/>
                <w:b w:val="false"/>
              </w:rPr>
              <w:t>41.82</w:t>
            </w:r>
          </w:p>
        </w:tc>
      </w:tr>
      <w:tr>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70,285,162.73</w:t>
            </w:r>
          </w:p>
        </w:tc>
        <w:tc>
          <w:tcPr>
            <w:tcW/>
            <w:vAlign w:val="center"/>
          </w:tcPr>
          <w:p>
            <w:pPr>
              <w:spacing w:line="240" w:lineRule="auto"/>
              <w:jc w:val="right"/>
            </w:pPr>
            <w:r>
              <w:rPr>
                <w:rFonts w:ascii="宋体" w:hAnsi="宋体" w:cs="宋体" w:eastAsia="宋体"/>
                <w:b w:val="false"/>
              </w:rPr>
              <w:t>41.82</w:t>
            </w:r>
          </w:p>
        </w:tc>
      </w:tr>
    </w:tbl>
    <w:p/>
    <w:p>
      <w:pPr>
        <w:pStyle w:val="2"/>
        <w:jc w:val="left"/>
      </w:pPr>
      <w:r>
        <w:rPr>
          <w:rFonts w:ascii="宋体" w:hAnsi="宋体" w:cs="宋体" w:eastAsia="宋体"/>
        </w:rPr>
        <w:t>5.3 报告期末按公允价值占基金资产净值比例大小排序的前十名股票投资明细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股票代码</w:t>
            </w:r>
          </w:p>
        </w:tc>
        <w:tc>
          <w:tcPr>
            <w:tcW w:type="pct" w:w="769"/>
            <w:vAlign w:val="center"/>
          </w:tcPr>
          <w:tcPr>
            <w:shd w:fill="d9d9d9"/>
          </w:tcPr>
          <w:p>
            <w:pPr>
              <w:spacing w:line="240" w:lineRule="auto"/>
              <w:jc w:val="center"/>
            </w:pPr>
            <w:r>
              <w:rPr>
                <w:rFonts w:ascii="宋体" w:hAnsi="宋体" w:cs="宋体" w:eastAsia="宋体"/>
                <w:b w:val="false"/>
              </w:rPr>
              <w:t>股票名称</w:t>
            </w:r>
          </w:p>
        </w:tc>
        <w:tc>
          <w:tcPr>
            <w:tcW w:type="pct" w:w="615"/>
            <w:vAlign w:val="center"/>
          </w:tcPr>
          <w:tcPr>
            <w:shd w:fill="d9d9d9"/>
          </w:tcPr>
          <w:p>
            <w:pPr>
              <w:spacing w:line="240" w:lineRule="auto"/>
              <w:jc w:val="center"/>
            </w:pPr>
            <w:r>
              <w:rPr>
                <w:rFonts w:ascii="宋体" w:hAnsi="宋体" w:cs="宋体" w:eastAsia="宋体"/>
                <w:b w:val="false"/>
              </w:rPr>
              <w:t>数量(股)</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06990</w:t>
            </w:r>
          </w:p>
        </w:tc>
        <w:tc>
          <w:tcPr>
            <w:tcW/>
            <w:vAlign w:val="center"/>
          </w:tcPr>
          <w:p>
            <w:pPr>
              <w:spacing w:line="240" w:lineRule="auto"/>
              <w:jc w:val="left"/>
            </w:pPr>
            <w:r>
              <w:rPr>
                <w:rFonts w:ascii="宋体" w:hAnsi="宋体" w:cs="宋体" w:eastAsia="宋体"/>
                <w:b w:val="false"/>
              </w:rPr>
              <w:t>科伦博泰生物－Ｂ</w:t>
            </w:r>
          </w:p>
        </w:tc>
        <w:tc>
          <w:tcPr>
            <w:tcW/>
            <w:vAlign w:val="center"/>
          </w:tcPr>
          <w:p>
            <w:pPr>
              <w:spacing w:line="240" w:lineRule="auto"/>
              <w:jc w:val="right"/>
            </w:pPr>
            <w:r>
              <w:rPr>
                <w:rFonts w:ascii="宋体" w:hAnsi="宋体" w:cs="宋体" w:eastAsia="宋体"/>
                <w:b w:val="false"/>
              </w:rPr>
              <w:t>31,200</w:t>
            </w:r>
          </w:p>
        </w:tc>
        <w:tc>
          <w:tcPr>
            <w:tcW/>
            <w:vAlign w:val="center"/>
          </w:tcPr>
          <w:p>
            <w:pPr>
              <w:spacing w:line="240" w:lineRule="auto"/>
              <w:jc w:val="right"/>
            </w:pPr>
            <w:r>
              <w:rPr>
                <w:rFonts w:ascii="宋体" w:hAnsi="宋体" w:cs="宋体" w:eastAsia="宋体"/>
                <w:b w:val="false"/>
              </w:rPr>
              <w:t>14,641,277.66</w:t>
            </w:r>
          </w:p>
        </w:tc>
        <w:tc>
          <w:tcPr>
            <w:tcW/>
            <w:vAlign w:val="center"/>
          </w:tcPr>
          <w:p>
            <w:pPr>
              <w:spacing w:line="240" w:lineRule="auto"/>
              <w:jc w:val="right"/>
            </w:pPr>
            <w:r>
              <w:rPr>
                <w:rFonts w:ascii="宋体" w:hAnsi="宋体" w:cs="宋体" w:eastAsia="宋体"/>
                <w:b w:val="false"/>
              </w:rPr>
              <w:t>8.71</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01801</w:t>
            </w:r>
          </w:p>
        </w:tc>
        <w:tc>
          <w:tcPr>
            <w:tcW/>
            <w:vAlign w:val="center"/>
          </w:tcPr>
          <w:p>
            <w:pPr>
              <w:spacing w:line="240" w:lineRule="auto"/>
              <w:jc w:val="left"/>
            </w:pPr>
            <w:r>
              <w:rPr>
                <w:rFonts w:ascii="宋体" w:hAnsi="宋体" w:cs="宋体" w:eastAsia="宋体"/>
                <w:b w:val="false"/>
              </w:rPr>
              <w:t>信达生物</w:t>
            </w:r>
          </w:p>
        </w:tc>
        <w:tc>
          <w:tcPr>
            <w:tcW/>
            <w:vAlign w:val="center"/>
          </w:tcPr>
          <w:p>
            <w:pPr>
              <w:spacing w:line="240" w:lineRule="auto"/>
              <w:jc w:val="right"/>
            </w:pPr>
            <w:r>
              <w:rPr>
                <w:rFonts w:ascii="宋体" w:hAnsi="宋体" w:cs="宋体" w:eastAsia="宋体"/>
                <w:b w:val="false"/>
              </w:rPr>
              <w:t>160,000</w:t>
            </w:r>
          </w:p>
        </w:tc>
        <w:tc>
          <w:tcPr>
            <w:tcW/>
            <w:vAlign w:val="center"/>
          </w:tcPr>
          <w:p>
            <w:pPr>
              <w:spacing w:line="240" w:lineRule="auto"/>
              <w:jc w:val="right"/>
            </w:pPr>
            <w:r>
              <w:rPr>
                <w:rFonts w:ascii="宋体" w:hAnsi="宋体" w:cs="宋体" w:eastAsia="宋体"/>
                <w:b w:val="false"/>
              </w:rPr>
              <w:t>14,081,803.52</w:t>
            </w:r>
          </w:p>
        </w:tc>
        <w:tc>
          <w:tcPr>
            <w:tcW/>
            <w:vAlign w:val="center"/>
          </w:tcPr>
          <w:p>
            <w:pPr>
              <w:spacing w:line="240" w:lineRule="auto"/>
              <w:jc w:val="right"/>
            </w:pPr>
            <w:r>
              <w:rPr>
                <w:rFonts w:ascii="宋体" w:hAnsi="宋体" w:cs="宋体" w:eastAsia="宋体"/>
                <w:b w:val="false"/>
              </w:rPr>
              <w:t>8.38</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01530</w:t>
            </w:r>
          </w:p>
        </w:tc>
        <w:tc>
          <w:tcPr>
            <w:tcW/>
            <w:vAlign w:val="center"/>
          </w:tcPr>
          <w:p>
            <w:pPr>
              <w:spacing w:line="240" w:lineRule="auto"/>
              <w:jc w:val="left"/>
            </w:pPr>
            <w:r>
              <w:rPr>
                <w:rFonts w:ascii="宋体" w:hAnsi="宋体" w:cs="宋体" w:eastAsia="宋体"/>
                <w:b w:val="false"/>
              </w:rPr>
              <w:t>三生制药</w:t>
            </w:r>
          </w:p>
        </w:tc>
        <w:tc>
          <w:tcPr>
            <w:tcW/>
            <w:vAlign w:val="center"/>
          </w:tcPr>
          <w:p>
            <w:pPr>
              <w:spacing w:line="240" w:lineRule="auto"/>
              <w:jc w:val="right"/>
            </w:pPr>
            <w:r>
              <w:rPr>
                <w:rFonts w:ascii="宋体" w:hAnsi="宋体" w:cs="宋体" w:eastAsia="宋体"/>
                <w:b w:val="false"/>
              </w:rPr>
              <w:t>476,000</w:t>
            </w:r>
          </w:p>
        </w:tc>
        <w:tc>
          <w:tcPr>
            <w:tcW/>
            <w:vAlign w:val="center"/>
          </w:tcPr>
          <w:p>
            <w:pPr>
              <w:spacing w:line="240" w:lineRule="auto"/>
              <w:jc w:val="right"/>
            </w:pPr>
            <w:r>
              <w:rPr>
                <w:rFonts w:ascii="宋体" w:hAnsi="宋体" w:cs="宋体" w:eastAsia="宋体"/>
                <w:b w:val="false"/>
              </w:rPr>
              <w:t>13,037,354.40</w:t>
            </w:r>
          </w:p>
        </w:tc>
        <w:tc>
          <w:tcPr>
            <w:tcW/>
            <w:vAlign w:val="center"/>
          </w:tcPr>
          <w:p>
            <w:pPr>
              <w:spacing w:line="240" w:lineRule="auto"/>
              <w:jc w:val="right"/>
            </w:pPr>
            <w:r>
              <w:rPr>
                <w:rFonts w:ascii="宋体" w:hAnsi="宋体" w:cs="宋体" w:eastAsia="宋体"/>
                <w:b w:val="false"/>
              </w:rPr>
              <w:t>7.76</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688506</w:t>
            </w:r>
          </w:p>
        </w:tc>
        <w:tc>
          <w:tcPr>
            <w:tcW/>
            <w:vAlign w:val="center"/>
          </w:tcPr>
          <w:p>
            <w:pPr>
              <w:spacing w:line="240" w:lineRule="auto"/>
              <w:jc w:val="left"/>
            </w:pPr>
            <w:r>
              <w:rPr>
                <w:rFonts w:ascii="宋体" w:hAnsi="宋体" w:cs="宋体" w:eastAsia="宋体"/>
                <w:b w:val="false"/>
              </w:rPr>
              <w:t>百利天恒</w:t>
            </w:r>
          </w:p>
        </w:tc>
        <w:tc>
          <w:tcPr>
            <w:tcW/>
            <w:vAlign w:val="center"/>
          </w:tcPr>
          <w:p>
            <w:pPr>
              <w:spacing w:line="240" w:lineRule="auto"/>
              <w:jc w:val="right"/>
            </w:pPr>
            <w:r>
              <w:rPr>
                <w:rFonts w:ascii="宋体" w:hAnsi="宋体" w:cs="宋体" w:eastAsia="宋体"/>
                <w:b w:val="false"/>
              </w:rPr>
              <w:t>34,619</w:t>
            </w:r>
          </w:p>
        </w:tc>
        <w:tc>
          <w:tcPr>
            <w:tcW/>
            <w:vAlign w:val="center"/>
          </w:tcPr>
          <w:p>
            <w:pPr>
              <w:spacing w:line="240" w:lineRule="auto"/>
              <w:jc w:val="right"/>
            </w:pPr>
            <w:r>
              <w:rPr>
                <w:rFonts w:ascii="宋体" w:hAnsi="宋体" w:cs="宋体" w:eastAsia="宋体"/>
                <w:b w:val="false"/>
              </w:rPr>
              <w:t>12,992,510.70</w:t>
            </w:r>
          </w:p>
        </w:tc>
        <w:tc>
          <w:tcPr>
            <w:tcW/>
            <w:vAlign w:val="center"/>
          </w:tcPr>
          <w:p>
            <w:pPr>
              <w:spacing w:line="240" w:lineRule="auto"/>
              <w:jc w:val="right"/>
            </w:pPr>
            <w:r>
              <w:rPr>
                <w:rFonts w:ascii="宋体" w:hAnsi="宋体" w:cs="宋体" w:eastAsia="宋体"/>
                <w:b w:val="false"/>
              </w:rPr>
              <w:t>7.73</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09926</w:t>
            </w:r>
          </w:p>
        </w:tc>
        <w:tc>
          <w:tcPr>
            <w:tcW/>
            <w:vAlign w:val="center"/>
          </w:tcPr>
          <w:p>
            <w:pPr>
              <w:spacing w:line="240" w:lineRule="auto"/>
              <w:jc w:val="left"/>
            </w:pPr>
            <w:r>
              <w:rPr>
                <w:rFonts w:ascii="宋体" w:hAnsi="宋体" w:cs="宋体" w:eastAsia="宋体"/>
                <w:b w:val="false"/>
              </w:rPr>
              <w:t>康方生物</w:t>
            </w:r>
          </w:p>
        </w:tc>
        <w:tc>
          <w:tcPr>
            <w:tcW/>
            <w:vAlign w:val="center"/>
          </w:tcPr>
          <w:p>
            <w:pPr>
              <w:spacing w:line="240" w:lineRule="auto"/>
              <w:jc w:val="right"/>
            </w:pPr>
            <w:r>
              <w:rPr>
                <w:rFonts w:ascii="宋体" w:hAnsi="宋体" w:cs="宋体" w:eastAsia="宋体"/>
                <w:b w:val="false"/>
              </w:rPr>
              <w:t>93,000</w:t>
            </w:r>
          </w:p>
        </w:tc>
        <w:tc>
          <w:tcPr>
            <w:tcW/>
            <w:vAlign w:val="center"/>
          </w:tcPr>
          <w:p>
            <w:pPr>
              <w:spacing w:line="240" w:lineRule="auto"/>
              <w:jc w:val="right"/>
            </w:pPr>
            <w:r>
              <w:rPr>
                <w:rFonts w:ascii="宋体" w:hAnsi="宋体" w:cs="宋体" w:eastAsia="宋体"/>
                <w:b w:val="false"/>
              </w:rPr>
              <w:t>11,988,888.17</w:t>
            </w:r>
          </w:p>
        </w:tc>
        <w:tc>
          <w:tcPr>
            <w:tcW/>
            <w:vAlign w:val="center"/>
          </w:tcPr>
          <w:p>
            <w:pPr>
              <w:spacing w:line="240" w:lineRule="auto"/>
              <w:jc w:val="right"/>
            </w:pPr>
            <w:r>
              <w:rPr>
                <w:rFonts w:ascii="宋体" w:hAnsi="宋体" w:cs="宋体" w:eastAsia="宋体"/>
                <w:b w:val="false"/>
              </w:rPr>
              <w:t>7.13</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002294</w:t>
            </w:r>
          </w:p>
        </w:tc>
        <w:tc>
          <w:tcPr>
            <w:tcW/>
            <w:vAlign w:val="center"/>
          </w:tcPr>
          <w:p>
            <w:pPr>
              <w:spacing w:line="240" w:lineRule="auto"/>
              <w:jc w:val="left"/>
            </w:pPr>
            <w:r>
              <w:rPr>
                <w:rFonts w:ascii="宋体" w:hAnsi="宋体" w:cs="宋体" w:eastAsia="宋体"/>
                <w:b w:val="false"/>
              </w:rPr>
              <w:t>信立泰</w:t>
            </w:r>
          </w:p>
        </w:tc>
        <w:tc>
          <w:tcPr>
            <w:tcW/>
            <w:vAlign w:val="center"/>
          </w:tcPr>
          <w:p>
            <w:pPr>
              <w:spacing w:line="240" w:lineRule="auto"/>
              <w:jc w:val="right"/>
            </w:pPr>
            <w:r>
              <w:rPr>
                <w:rFonts w:ascii="宋体" w:hAnsi="宋体" w:cs="宋体" w:eastAsia="宋体"/>
                <w:b w:val="false"/>
              </w:rPr>
              <w:t>173,900</w:t>
            </w:r>
          </w:p>
        </w:tc>
        <w:tc>
          <w:tcPr>
            <w:tcW/>
            <w:vAlign w:val="center"/>
          </w:tcPr>
          <w:p>
            <w:pPr>
              <w:spacing w:line="240" w:lineRule="auto"/>
              <w:jc w:val="right"/>
            </w:pPr>
            <w:r>
              <w:rPr>
                <w:rFonts w:ascii="宋体" w:hAnsi="宋体" w:cs="宋体" w:eastAsia="宋体"/>
                <w:b w:val="false"/>
              </w:rPr>
              <w:t>10,494,865.00</w:t>
            </w:r>
          </w:p>
        </w:tc>
        <w:tc>
          <w:tcPr>
            <w:tcW/>
            <w:vAlign w:val="center"/>
          </w:tcPr>
          <w:p>
            <w:pPr>
              <w:spacing w:line="240" w:lineRule="auto"/>
              <w:jc w:val="right"/>
            </w:pPr>
            <w:r>
              <w:rPr>
                <w:rFonts w:ascii="宋体" w:hAnsi="宋体" w:cs="宋体" w:eastAsia="宋体"/>
                <w:b w:val="false"/>
              </w:rPr>
              <w:t>6.24</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688382</w:t>
            </w:r>
          </w:p>
        </w:tc>
        <w:tc>
          <w:tcPr>
            <w:tcW/>
            <w:vAlign w:val="center"/>
          </w:tcPr>
          <w:p>
            <w:pPr>
              <w:spacing w:line="240" w:lineRule="auto"/>
              <w:jc w:val="left"/>
            </w:pPr>
            <w:r>
              <w:rPr>
                <w:rFonts w:ascii="宋体" w:hAnsi="宋体" w:cs="宋体" w:eastAsia="宋体"/>
                <w:b w:val="false"/>
              </w:rPr>
              <w:t>益方生物</w:t>
            </w:r>
          </w:p>
        </w:tc>
        <w:tc>
          <w:tcPr>
            <w:tcW/>
            <w:vAlign w:val="center"/>
          </w:tcPr>
          <w:p>
            <w:pPr>
              <w:spacing w:line="240" w:lineRule="auto"/>
              <w:jc w:val="right"/>
            </w:pPr>
            <w:r>
              <w:rPr>
                <w:rFonts w:ascii="宋体" w:hAnsi="宋体" w:cs="宋体" w:eastAsia="宋体"/>
                <w:b w:val="false"/>
              </w:rPr>
              <w:t>318,074</w:t>
            </w:r>
          </w:p>
        </w:tc>
        <w:tc>
          <w:tcPr>
            <w:tcW/>
            <w:vAlign w:val="center"/>
          </w:tcPr>
          <w:p>
            <w:pPr>
              <w:spacing w:line="240" w:lineRule="auto"/>
              <w:jc w:val="right"/>
            </w:pPr>
            <w:r>
              <w:rPr>
                <w:rFonts w:ascii="宋体" w:hAnsi="宋体" w:cs="宋体" w:eastAsia="宋体"/>
                <w:b w:val="false"/>
              </w:rPr>
              <w:t>9,895,282.14</w:t>
            </w:r>
          </w:p>
        </w:tc>
        <w:tc>
          <w:tcPr>
            <w:tcW/>
            <w:vAlign w:val="center"/>
          </w:tcPr>
          <w:p>
            <w:pPr>
              <w:spacing w:line="240" w:lineRule="auto"/>
              <w:jc w:val="right"/>
            </w:pPr>
            <w:r>
              <w:rPr>
                <w:rFonts w:ascii="宋体" w:hAnsi="宋体" w:cs="宋体" w:eastAsia="宋体"/>
                <w:b w:val="false"/>
              </w:rPr>
              <w:t>5.89</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09969</w:t>
            </w:r>
          </w:p>
        </w:tc>
        <w:tc>
          <w:tcPr>
            <w:tcW/>
            <w:vAlign w:val="center"/>
          </w:tcPr>
          <w:p>
            <w:pPr>
              <w:spacing w:line="240" w:lineRule="auto"/>
              <w:jc w:val="left"/>
            </w:pPr>
            <w:r>
              <w:rPr>
                <w:rFonts w:ascii="宋体" w:hAnsi="宋体" w:cs="宋体" w:eastAsia="宋体"/>
                <w:b w:val="false"/>
              </w:rPr>
              <w:t>诺诚健华</w:t>
            </w:r>
          </w:p>
        </w:tc>
        <w:tc>
          <w:tcPr>
            <w:tcW/>
            <w:vAlign w:val="center"/>
          </w:tcPr>
          <w:p>
            <w:pPr>
              <w:spacing w:line="240" w:lineRule="auto"/>
              <w:jc w:val="right"/>
            </w:pPr>
            <w:r>
              <w:rPr>
                <w:rFonts w:ascii="宋体" w:hAnsi="宋体" w:cs="宋体" w:eastAsia="宋体"/>
                <w:b w:val="false"/>
              </w:rPr>
              <w:t>483,000</w:t>
            </w:r>
          </w:p>
        </w:tc>
        <w:tc>
          <w:tcPr>
            <w:tcW/>
            <w:vAlign w:val="center"/>
          </w:tcPr>
          <w:p>
            <w:pPr>
              <w:spacing w:line="240" w:lineRule="auto"/>
              <w:jc w:val="right"/>
            </w:pPr>
            <w:r>
              <w:rPr>
                <w:rFonts w:ascii="宋体" w:hAnsi="宋体" w:cs="宋体" w:eastAsia="宋体"/>
                <w:b w:val="false"/>
              </w:rPr>
              <w:t>8,254,946.04</w:t>
            </w:r>
          </w:p>
        </w:tc>
        <w:tc>
          <w:tcPr>
            <w:tcW/>
            <w:vAlign w:val="center"/>
          </w:tcPr>
          <w:p>
            <w:pPr>
              <w:spacing w:line="240" w:lineRule="auto"/>
              <w:jc w:val="right"/>
            </w:pPr>
            <w:r>
              <w:rPr>
                <w:rFonts w:ascii="宋体" w:hAnsi="宋体" w:cs="宋体" w:eastAsia="宋体"/>
                <w:b w:val="false"/>
              </w:rPr>
              <w:t>4.91</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688266</w:t>
            </w:r>
          </w:p>
        </w:tc>
        <w:tc>
          <w:tcPr>
            <w:tcW/>
            <w:vAlign w:val="center"/>
          </w:tcPr>
          <w:p>
            <w:pPr>
              <w:spacing w:line="240" w:lineRule="auto"/>
              <w:jc w:val="left"/>
            </w:pPr>
            <w:r>
              <w:rPr>
                <w:rFonts w:ascii="宋体" w:hAnsi="宋体" w:cs="宋体" w:eastAsia="宋体"/>
                <w:b w:val="false"/>
              </w:rPr>
              <w:t>泽璟制药</w:t>
            </w:r>
          </w:p>
        </w:tc>
        <w:tc>
          <w:tcPr>
            <w:tcW/>
            <w:vAlign w:val="center"/>
          </w:tcPr>
          <w:p>
            <w:pPr>
              <w:spacing w:line="240" w:lineRule="auto"/>
              <w:jc w:val="right"/>
            </w:pPr>
            <w:r>
              <w:rPr>
                <w:rFonts w:ascii="宋体" w:hAnsi="宋体" w:cs="宋体" w:eastAsia="宋体"/>
                <w:b w:val="false"/>
              </w:rPr>
              <w:t>59,834</w:t>
            </w:r>
          </w:p>
        </w:tc>
        <w:tc>
          <w:tcPr>
            <w:tcW/>
            <w:vAlign w:val="center"/>
          </w:tcPr>
          <w:p>
            <w:pPr>
              <w:spacing w:line="240" w:lineRule="auto"/>
              <w:jc w:val="right"/>
            </w:pPr>
            <w:r>
              <w:rPr>
                <w:rFonts w:ascii="宋体" w:hAnsi="宋体" w:cs="宋体" w:eastAsia="宋体"/>
                <w:b w:val="false"/>
              </w:rPr>
              <w:t>6,761,840.34</w:t>
            </w:r>
          </w:p>
        </w:tc>
        <w:tc>
          <w:tcPr>
            <w:tcW/>
            <w:vAlign w:val="center"/>
          </w:tcPr>
          <w:p>
            <w:pPr>
              <w:spacing w:line="240" w:lineRule="auto"/>
              <w:jc w:val="right"/>
            </w:pPr>
            <w:r>
              <w:rPr>
                <w:rFonts w:ascii="宋体" w:hAnsi="宋体" w:cs="宋体" w:eastAsia="宋体"/>
                <w:b w:val="false"/>
              </w:rPr>
              <w:t>4.02</w:t>
            </w:r>
          </w:p>
        </w:tc>
      </w:tr>
      <w:tr>
        <w:tc>
          <w:tcPr>
            <w:tcW/>
            <w:vAlign w:val="center"/>
          </w:tcPr>
          <w:p>
            <w:pPr>
              <w:spacing w:line="240" w:lineRule="auto"/>
              <w:jc w:val="center"/>
            </w:pPr>
            <w:r>
              <w:rPr>
                <w:rFonts w:ascii="宋体" w:hAnsi="宋体" w:cs="宋体" w:eastAsia="宋体"/>
                <w:b w:val="false"/>
              </w:rPr>
              <w:t>10</w:t>
            </w:r>
          </w:p>
        </w:tc>
        <w:tc>
          <w:tcPr>
            <w:tcW/>
            <w:vAlign w:val="center"/>
          </w:tcPr>
          <w:p>
            <w:pPr>
              <w:spacing w:line="240" w:lineRule="auto"/>
              <w:jc w:val="left"/>
            </w:pPr>
            <w:r>
              <w:rPr>
                <w:rFonts w:ascii="宋体" w:hAnsi="宋体" w:cs="宋体" w:eastAsia="宋体"/>
                <w:b w:val="false"/>
              </w:rPr>
              <w:t>688068</w:t>
            </w:r>
          </w:p>
        </w:tc>
        <w:tc>
          <w:tcPr>
            <w:tcW/>
            <w:vAlign w:val="center"/>
          </w:tcPr>
          <w:p>
            <w:pPr>
              <w:spacing w:line="240" w:lineRule="auto"/>
              <w:jc w:val="left"/>
            </w:pPr>
            <w:r>
              <w:rPr>
                <w:rFonts w:ascii="宋体" w:hAnsi="宋体" w:cs="宋体" w:eastAsia="宋体"/>
                <w:b w:val="false"/>
              </w:rPr>
              <w:t>热景生物</w:t>
            </w:r>
          </w:p>
        </w:tc>
        <w:tc>
          <w:tcPr>
            <w:tcW/>
            <w:vAlign w:val="center"/>
          </w:tcPr>
          <w:p>
            <w:pPr>
              <w:spacing w:line="240" w:lineRule="auto"/>
              <w:jc w:val="right"/>
            </w:pPr>
            <w:r>
              <w:rPr>
                <w:rFonts w:ascii="宋体" w:hAnsi="宋体" w:cs="宋体" w:eastAsia="宋体"/>
                <w:b w:val="false"/>
              </w:rPr>
              <w:t>36,975</w:t>
            </w:r>
          </w:p>
        </w:tc>
        <w:tc>
          <w:tcPr>
            <w:tcW/>
            <w:vAlign w:val="center"/>
          </w:tcPr>
          <w:p>
            <w:pPr>
              <w:spacing w:line="240" w:lineRule="auto"/>
              <w:jc w:val="right"/>
            </w:pPr>
            <w:r>
              <w:rPr>
                <w:rFonts w:ascii="宋体" w:hAnsi="宋体" w:cs="宋体" w:eastAsia="宋体"/>
                <w:b w:val="false"/>
              </w:rPr>
              <w:t>6,282,792.00</w:t>
            </w:r>
          </w:p>
        </w:tc>
        <w:tc>
          <w:tcPr>
            <w:tcW/>
            <w:vAlign w:val="center"/>
          </w:tcPr>
          <w:p>
            <w:pPr>
              <w:spacing w:line="240" w:lineRule="auto"/>
              <w:jc w:val="right"/>
            </w:pPr>
            <w:r>
              <w:rPr>
                <w:rFonts w:ascii="宋体" w:hAnsi="宋体" w:cs="宋体" w:eastAsia="宋体"/>
                <w:b w:val="false"/>
              </w:rPr>
              <w:t>3.74</w:t>
            </w:r>
          </w:p>
        </w:tc>
      </w:tr>
    </w:tbl>
    <w:p/>
    <w:p>
      <w:pPr>
        <w:pStyle w:val="2"/>
        <w:jc w:val="left"/>
      </w:pPr>
      <w:r>
        <w:rPr>
          <w:rFonts w:ascii="宋体" w:hAnsi="宋体" w:cs="宋体" w:eastAsia="宋体"/>
        </w:rPr>
        <w:t>5.4 报告期末按债券品种分类的债券投资组合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债券品种</w:t>
            </w:r>
          </w:p>
        </w:tc>
        <w:tc>
          <w:tcPr>
            <w:tcW w:type="pct" w:w="769"/>
            <w:vAlign w:val="center"/>
          </w:tcPr>
          <w:tcPr>
            <w:shd w:fill="d9d9d9"/>
          </w:tcPr>
          <w:p>
            <w:pPr>
              <w:spacing w:line="240" w:lineRule="auto"/>
              <w:jc w:val="center"/>
            </w:pPr>
            <w:r>
              <w:rPr>
                <w:rFonts w:ascii="宋体" w:hAnsi="宋体" w:cs="宋体" w:eastAsia="宋体"/>
                <w:b w:val="false"/>
              </w:rPr>
              <w:t>公允价值(元)</w:t>
            </w:r>
          </w:p>
        </w:tc>
        <w:tc>
          <w:tcPr>
            <w:tcW w:type="pct" w:w="1077"/>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国家债券</w:t>
            </w:r>
          </w:p>
        </w:tc>
        <w:tc>
          <w:tcPr>
            <w:tcW/>
            <w:vAlign w:val="center"/>
          </w:tcPr>
          <w:p>
            <w:pPr>
              <w:spacing w:line="240" w:lineRule="auto"/>
              <w:jc w:val="right"/>
            </w:pPr>
            <w:r>
              <w:rPr>
                <w:rFonts w:ascii="宋体" w:hAnsi="宋体" w:cs="宋体" w:eastAsia="宋体"/>
                <w:b w:val="false"/>
              </w:rPr>
              <w:t>8,753,876.96</w:t>
            </w:r>
          </w:p>
        </w:tc>
        <w:tc>
          <w:tcPr>
            <w:tcW/>
            <w:vAlign w:val="center"/>
          </w:tcPr>
          <w:p>
            <w:pPr>
              <w:spacing w:line="240" w:lineRule="auto"/>
              <w:jc w:val="right"/>
            </w:pPr>
            <w:r>
              <w:rPr>
                <w:rFonts w:ascii="宋体" w:hAnsi="宋体" w:cs="宋体" w:eastAsia="宋体"/>
                <w:b w:val="false"/>
              </w:rPr>
              <w:t>5.21</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央行票据</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金融债券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其中：政策性金融债</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企业债券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企业短期融资券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中期票据</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可转债（可交换债）</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同业存单</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10</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8,753,876.96</w:t>
            </w:r>
          </w:p>
        </w:tc>
        <w:tc>
          <w:tcPr>
            <w:tcW/>
            <w:vAlign w:val="center"/>
          </w:tcPr>
          <w:p>
            <w:pPr>
              <w:spacing w:line="240" w:lineRule="auto"/>
              <w:jc w:val="right"/>
            </w:pPr>
            <w:r>
              <w:rPr>
                <w:rFonts w:ascii="宋体" w:hAnsi="宋体" w:cs="宋体" w:eastAsia="宋体"/>
                <w:b w:val="false"/>
              </w:rPr>
              <w:t>5.21</w:t>
            </w:r>
          </w:p>
        </w:tc>
      </w:tr>
    </w:tbl>
    <w:p/>
    <w:p>
      <w:pPr>
        <w:pStyle w:val="2"/>
        <w:jc w:val="left"/>
      </w:pPr>
      <w:r>
        <w:rPr>
          <w:rFonts w:ascii="宋体" w:hAnsi="宋体" w:cs="宋体" w:eastAsia="宋体"/>
        </w:rPr>
        <w:t>5.5 报告期末按公允价值占基金资产净值比例大小排序的前五名债券投资明细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债券代码</w:t>
            </w:r>
          </w:p>
        </w:tc>
        <w:tc>
          <w:tcPr>
            <w:tcW w:type="pct" w:w="769"/>
            <w:vAlign w:val="center"/>
          </w:tcPr>
          <w:tcPr>
            <w:shd w:fill="d9d9d9"/>
          </w:tcPr>
          <w:p>
            <w:pPr>
              <w:spacing w:line="240" w:lineRule="auto"/>
              <w:jc w:val="center"/>
            </w:pPr>
            <w:r>
              <w:rPr>
                <w:rFonts w:ascii="宋体" w:hAnsi="宋体" w:cs="宋体" w:eastAsia="宋体"/>
                <w:b w:val="false"/>
              </w:rPr>
              <w:t>债券名称</w:t>
            </w:r>
          </w:p>
        </w:tc>
        <w:tc>
          <w:tcPr>
            <w:tcW w:type="pct" w:w="615"/>
            <w:vAlign w:val="center"/>
          </w:tcPr>
          <w:tcPr>
            <w:shd w:fill="d9d9d9"/>
          </w:tcPr>
          <w:p>
            <w:pPr>
              <w:spacing w:line="240" w:lineRule="auto"/>
              <w:jc w:val="center"/>
            </w:pPr>
            <w:r>
              <w:rPr>
                <w:rFonts w:ascii="宋体" w:hAnsi="宋体" w:cs="宋体" w:eastAsia="宋体"/>
                <w:b w:val="false"/>
              </w:rPr>
              <w:t>数量(张)</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019773</w:t>
            </w:r>
          </w:p>
        </w:tc>
        <w:tc>
          <w:tcPr>
            <w:tcW/>
            <w:vAlign w:val="center"/>
          </w:tcPr>
          <w:p>
            <w:pPr>
              <w:spacing w:line="240" w:lineRule="auto"/>
              <w:jc w:val="left"/>
            </w:pPr>
            <w:r>
              <w:rPr>
                <w:rFonts w:ascii="宋体" w:hAnsi="宋体" w:cs="宋体" w:eastAsia="宋体"/>
                <w:b w:val="false"/>
              </w:rPr>
              <w:t>25国债08</w:t>
            </w:r>
          </w:p>
        </w:tc>
        <w:tc>
          <w:tcPr>
            <w:tcW/>
            <w:vAlign w:val="center"/>
          </w:tcPr>
          <w:p>
            <w:pPr>
              <w:spacing w:line="240" w:lineRule="auto"/>
              <w:jc w:val="right"/>
            </w:pPr>
            <w:r>
              <w:rPr>
                <w:rFonts w:ascii="宋体" w:hAnsi="宋体" w:cs="宋体" w:eastAsia="宋体"/>
                <w:b w:val="false"/>
              </w:rPr>
              <w:t>84,000</w:t>
            </w:r>
          </w:p>
        </w:tc>
        <w:tc>
          <w:tcPr>
            <w:tcW/>
            <w:vAlign w:val="center"/>
          </w:tcPr>
          <w:p>
            <w:pPr>
              <w:spacing w:line="240" w:lineRule="auto"/>
              <w:jc w:val="right"/>
            </w:pPr>
            <w:r>
              <w:rPr>
                <w:rFonts w:ascii="宋体" w:hAnsi="宋体" w:cs="宋体" w:eastAsia="宋体"/>
                <w:b w:val="false"/>
              </w:rPr>
              <w:t>8,453,283.62</w:t>
            </w:r>
          </w:p>
        </w:tc>
        <w:tc>
          <w:tcPr>
            <w:tcW/>
            <w:vAlign w:val="center"/>
          </w:tcPr>
          <w:p>
            <w:pPr>
              <w:spacing w:line="240" w:lineRule="auto"/>
              <w:jc w:val="right"/>
            </w:pPr>
            <w:r>
              <w:rPr>
                <w:rFonts w:ascii="宋体" w:hAnsi="宋体" w:cs="宋体" w:eastAsia="宋体"/>
                <w:b w:val="false"/>
              </w:rPr>
              <w:t>5.03</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019785</w:t>
            </w:r>
          </w:p>
        </w:tc>
        <w:tc>
          <w:tcPr>
            <w:tcW/>
            <w:vAlign w:val="center"/>
          </w:tcPr>
          <w:p>
            <w:pPr>
              <w:spacing w:line="240" w:lineRule="auto"/>
              <w:jc w:val="left"/>
            </w:pPr>
            <w:r>
              <w:rPr>
                <w:rFonts w:ascii="宋体" w:hAnsi="宋体" w:cs="宋体" w:eastAsia="宋体"/>
                <w:b w:val="false"/>
              </w:rPr>
              <w:t>25国债13</w:t>
            </w:r>
          </w:p>
        </w:tc>
        <w:tc>
          <w:tcPr>
            <w:tcW/>
            <w:vAlign w:val="center"/>
          </w:tcPr>
          <w:p>
            <w:pPr>
              <w:spacing w:line="240" w:lineRule="auto"/>
              <w:jc w:val="right"/>
            </w:pPr>
            <w:r>
              <w:rPr>
                <w:rFonts w:ascii="宋体" w:hAnsi="宋体" w:cs="宋体" w:eastAsia="宋体"/>
                <w:b w:val="false"/>
              </w:rPr>
              <w:t>3,000</w:t>
            </w:r>
          </w:p>
        </w:tc>
        <w:tc>
          <w:tcPr>
            <w:tcW/>
            <w:vAlign w:val="center"/>
          </w:tcPr>
          <w:p>
            <w:pPr>
              <w:spacing w:line="240" w:lineRule="auto"/>
              <w:jc w:val="right"/>
            </w:pPr>
            <w:r>
              <w:rPr>
                <w:rFonts w:ascii="宋体" w:hAnsi="宋体" w:cs="宋体" w:eastAsia="宋体"/>
                <w:b w:val="false"/>
              </w:rPr>
              <w:t>300,593.34</w:t>
            </w:r>
          </w:p>
        </w:tc>
        <w:tc>
          <w:tcPr>
            <w:tcW/>
            <w:vAlign w:val="center"/>
          </w:tcPr>
          <w:p>
            <w:pPr>
              <w:spacing w:line="240" w:lineRule="auto"/>
              <w:jc w:val="right"/>
            </w:pPr>
            <w:r>
              <w:rPr>
                <w:rFonts w:ascii="宋体" w:hAnsi="宋体" w:cs="宋体" w:eastAsia="宋体"/>
                <w:b w:val="false"/>
              </w:rPr>
              <w:t>0.18</w:t>
            </w:r>
          </w:p>
        </w:tc>
      </w:tr>
    </w:tbl>
    <w:p>
      <w:r>
        <w:rPr>
          <w:rFonts w:ascii="宋体" w:hAnsi="宋体" w:cs="宋体" w:eastAsia="宋体"/>
          <w:b w:val="false"/>
        </w:rPr>
        <w:t>注：本基金本报告期末仅持有上述债券。</w:t>
      </w:r>
    </w:p>
    <w:p/>
    <w:p>
      <w:pPr>
        <w:pStyle w:val="2"/>
        <w:jc w:val="left"/>
      </w:pPr>
      <w:r>
        <w:rPr>
          <w:rFonts w:ascii="宋体" w:hAnsi="宋体" w:cs="宋体" w:eastAsia="宋体"/>
        </w:rPr>
        <w:t>5.6 报告期末按公允价值占基金资产净值比例大小排序的前十名资产支持证券投资明细</w:t>
      </w:r>
    </w:p>
    <w:p>
      <w:r>
        <w:rPr>
          <w:rFonts w:ascii="宋体" w:hAnsi="宋体" w:cs="宋体" w:eastAsia="宋体"/>
          <w:b w:val="false"/>
        </w:rPr>
        <w:t xml:space="preserve">    本基金本报告期末未持有资产支持证券。</w:t>
      </w:r>
    </w:p>
    <w:p/>
    <w:p>
      <w:pPr>
        <w:pStyle w:val="2"/>
        <w:jc w:val="left"/>
      </w:pPr>
      <w:r>
        <w:rPr>
          <w:rFonts w:ascii="宋体" w:hAnsi="宋体" w:cs="宋体" w:eastAsia="宋体"/>
        </w:rPr>
        <w:t>5.7 报告期末按公允价值占基金资产净值比例大小排序的前五名贵金属投资明细</w:t>
      </w:r>
    </w:p>
    <w:p>
      <w:r>
        <w:rPr>
          <w:rFonts w:ascii="宋体" w:hAnsi="宋体" w:cs="宋体" w:eastAsia="宋体"/>
          <w:b w:val="false"/>
        </w:rPr>
        <w:t xml:space="preserve">    本基金本报告期末未持有贵金属。</w:t>
      </w:r>
    </w:p>
    <w:p/>
    <w:p>
      <w:pPr>
        <w:pStyle w:val="2"/>
        <w:jc w:val="left"/>
      </w:pPr>
      <w:r>
        <w:rPr>
          <w:rFonts w:ascii="宋体" w:hAnsi="宋体" w:cs="宋体" w:eastAsia="宋体"/>
        </w:rPr>
        <w:t>5.8 报告期末按公允价值占基金资产净值比例大小排序的前五名权证投资明细</w:t>
      </w:r>
    </w:p>
    <w:p>
      <w:r>
        <w:rPr>
          <w:rFonts w:ascii="宋体" w:hAnsi="宋体" w:cs="宋体" w:eastAsia="宋体"/>
          <w:b w:val="false"/>
        </w:rPr>
        <w:t xml:space="preserve">    本基金本报告期末未持有权证。</w:t>
      </w:r>
    </w:p>
    <w:p/>
    <w:p>
      <w:pPr>
        <w:pStyle w:val="2"/>
        <w:jc w:val="left"/>
      </w:pPr>
      <w:r>
        <w:rPr>
          <w:rFonts w:ascii="宋体" w:hAnsi="宋体" w:cs="宋体" w:eastAsia="宋体"/>
        </w:rPr>
        <w:t>5.9 报告期末本基金投资的股指期货交易情况说明</w:t>
      </w:r>
    </w:p>
    <w:p>
      <w:r>
        <w:rPr>
          <w:rFonts w:ascii="宋体" w:hAnsi="宋体" w:cs="宋体" w:eastAsia="宋体"/>
          <w:b w:val="false"/>
        </w:rPr>
        <w:t xml:space="preserve">    本基金本报告期末未持有股指期货。</w:t>
      </w:r>
    </w:p>
    <w:p/>
    <w:p>
      <w:pPr>
        <w:pStyle w:val="2"/>
        <w:jc w:val="left"/>
      </w:pPr>
      <w:r>
        <w:rPr>
          <w:rFonts w:ascii="宋体" w:hAnsi="宋体" w:cs="宋体" w:eastAsia="宋体"/>
        </w:rPr>
        <w:t>5.10 报告期末本基金投资的国债期货交易情况说明</w:t>
      </w:r>
    </w:p>
    <w:p>
      <w:r>
        <w:rPr>
          <w:rFonts w:ascii="宋体" w:hAnsi="宋体" w:cs="宋体" w:eastAsia="宋体"/>
          <w:b w:val="false"/>
        </w:rPr>
        <w:t xml:space="preserve">    本基金本报告期末未持有国债期货。</w:t>
      </w:r>
    </w:p>
    <w:p/>
    <w:p>
      <w:pPr>
        <w:pStyle w:val="2"/>
        <w:jc w:val="left"/>
      </w:pPr>
      <w:r>
        <w:rPr>
          <w:rFonts w:ascii="宋体" w:hAnsi="宋体" w:cs="宋体" w:eastAsia="宋体"/>
        </w:rPr>
        <w:t>5.11 投资组合报告附注</w:t>
      </w:r>
    </w:p>
    <w:p>
      <w:r>
        <w:rPr>
          <w:rStyle w:val="正文"/>
          <w:rFonts w:ascii="宋体" w:hAnsi="宋体" w:cs="宋体" w:eastAsia="宋体"/>
          <w:b w:val="true"/>
        </w:rPr>
        <w:t>5.11.1 本基金投资的前十名证券的发行主体本期受到监管部门立案调查或报告编制日前一年内受到公开谴责、处罚的情形说明</w:t>
      </w:r>
    </w:p>
    <w:p>
      <w:r>
        <w:rPr>
          <w:rFonts w:ascii="宋体" w:hAnsi="宋体" w:cs="宋体" w:eastAsia="宋体"/>
          <w:b w:val="false"/>
        </w:rPr>
        <w:t xml:space="preserve">    本基金投资的前十名证券的发行主体本期未出现被监管部门立案调查，或在报告编制日前一年内受到公开谴责、处罚的情形。</w:t>
      </w:r>
    </w:p>
    <w:p/>
    <w:p>
      <w:r>
        <w:rPr>
          <w:rStyle w:val="正文"/>
          <w:rFonts w:ascii="宋体" w:hAnsi="宋体" w:cs="宋体" w:eastAsia="宋体"/>
          <w:b w:val="true"/>
        </w:rPr>
        <w:t>5.11.2 基金投资的前十名股票超出基金合同规定的备选股票库情况的说明</w:t>
      </w:r>
    </w:p>
    <w:p>
      <w:r>
        <w:rPr>
          <w:rFonts w:ascii="宋体" w:hAnsi="宋体" w:cs="宋体" w:eastAsia="宋体"/>
          <w:b w:val="false"/>
        </w:rPr>
        <w:t xml:space="preserve">    基金投资的前十名股票，均为基金合同规定备选股票库之内的股票。</w:t>
      </w:r>
    </w:p>
    <w:p/>
    <w:p>
      <w:r>
        <w:rPr>
          <w:rStyle w:val="正文"/>
          <w:rFonts w:ascii="宋体" w:hAnsi="宋体" w:cs="宋体" w:eastAsia="宋体"/>
          <w:b w:val="true"/>
        </w:rPr>
        <w:t>5.11.3 其他资产构成</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2308"/>
            <w:vAlign w:val="center"/>
          </w:tcPr>
          <w:tcPr>
            <w:shd w:fill="d9d9d9"/>
          </w:tcPr>
          <w:p>
            <w:pPr>
              <w:spacing w:line="240" w:lineRule="auto"/>
              <w:jc w:val="center"/>
            </w:pPr>
            <w:r>
              <w:rPr>
                <w:rFonts w:ascii="宋体" w:hAnsi="宋体" w:cs="宋体" w:eastAsia="宋体"/>
                <w:b w:val="false"/>
              </w:rPr>
              <w:t>名称</w:t>
            </w:r>
          </w:p>
        </w:tc>
        <w:tc>
          <w:tcPr>
            <w:tcW w:type="pct" w:w="1538"/>
            <w:vAlign w:val="center"/>
          </w:tcPr>
          <w:tcPr>
            <w:shd w:fill="d9d9d9"/>
          </w:tcPr>
          <w:p>
            <w:pPr>
              <w:spacing w:line="240" w:lineRule="auto"/>
              <w:jc w:val="center"/>
            </w:pPr>
            <w:r>
              <w:rPr>
                <w:rFonts w:ascii="宋体" w:hAnsi="宋体" w:cs="宋体" w:eastAsia="宋体"/>
                <w:b w:val="false"/>
              </w:rPr>
              <w:t>金额(元)</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存出保证金</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应收证券清算款</w:t>
            </w:r>
          </w:p>
        </w:tc>
        <w:tc>
          <w:tcPr>
            <w:tcW/>
            <w:vAlign w:val="center"/>
          </w:tcPr>
          <w:p>
            <w:pPr>
              <w:spacing w:line="240" w:lineRule="auto"/>
              <w:jc w:val="right"/>
            </w:pPr>
            <w:r>
              <w:rPr>
                <w:rFonts w:ascii="宋体" w:hAnsi="宋体" w:cs="宋体" w:eastAsia="宋体"/>
                <w:b w:val="false"/>
              </w:rPr>
              <w:t>761,145.60</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应收股利</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应收利息</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应收申购款</w:t>
            </w:r>
          </w:p>
        </w:tc>
        <w:tc>
          <w:tcPr>
            <w:tcW/>
            <w:vAlign w:val="center"/>
          </w:tcPr>
          <w:p>
            <w:pPr>
              <w:spacing w:line="240" w:lineRule="auto"/>
              <w:jc w:val="right"/>
            </w:pPr>
            <w:r>
              <w:rPr>
                <w:rFonts w:ascii="宋体" w:hAnsi="宋体" w:cs="宋体" w:eastAsia="宋体"/>
                <w:b w:val="false"/>
              </w:rPr>
              <w:t>692,491.51</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其他应收款</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1,453,637.11</w:t>
            </w:r>
          </w:p>
        </w:tc>
      </w:tr>
    </w:tbl>
    <w:p/>
    <w:p>
      <w:r>
        <w:rPr>
          <w:rStyle w:val="正文"/>
          <w:rFonts w:ascii="宋体" w:hAnsi="宋体" w:cs="宋体" w:eastAsia="宋体"/>
          <w:b w:val="true"/>
        </w:rPr>
        <w:t>5.11.4 报告期末持有的处于转股期的可转换债券明细</w:t>
      </w:r>
    </w:p>
    <w:p>
      <w:r>
        <w:rPr>
          <w:rFonts w:ascii="宋体" w:hAnsi="宋体" w:cs="宋体" w:eastAsia="宋体"/>
          <w:b w:val="false"/>
        </w:rPr>
        <w:t xml:space="preserve">    本基金本报告期末未持有处于转股期的可转换债券。</w:t>
      </w:r>
    </w:p>
    <w:p/>
    <w:p>
      <w:r>
        <w:rPr>
          <w:rStyle w:val="正文"/>
          <w:rFonts w:ascii="宋体" w:hAnsi="宋体" w:cs="宋体" w:eastAsia="宋体"/>
          <w:b w:val="true"/>
        </w:rPr>
        <w:t>5.11.5 报告期末前十名股票中存在流通受限情况的说明</w:t>
      </w:r>
    </w:p>
    <w:p>
      <w:r>
        <w:rPr>
          <w:rFonts w:ascii="宋体" w:hAnsi="宋体" w:cs="宋体" w:eastAsia="宋体"/>
          <w:b w:val="false"/>
        </w:rPr>
        <w:t xml:space="preserve">    本基金本报告期末前十名股票中不存在流通受限情况。</w:t>
      </w:r>
    </w:p>
    <w:p/>
    <w:p>
      <w:r>
        <w:rPr>
          <w:rStyle w:val="正文"/>
          <w:rFonts w:ascii="宋体" w:hAnsi="宋体" w:cs="宋体" w:eastAsia="宋体"/>
          <w:b w:val="true"/>
        </w:rPr>
        <w:t>5.11.6 投资组合报告附注的其他文字描述部分</w:t>
      </w:r>
    </w:p>
    <w:p>
      <w:r>
        <w:rPr>
          <w:rFonts w:ascii="宋体" w:hAnsi="宋体" w:cs="宋体" w:eastAsia="宋体"/>
          <w:b w:val="false"/>
        </w:rPr>
        <w:t xml:space="preserve">    由于四舍五入原因，分项之和与合计项之间可能存在尾差。</w:t>
      </w:r>
    </w:p>
    <w:p>
      <w:pPr>
        <w:pStyle w:val="1"/>
        <w:jc w:val="center"/>
      </w:pPr>
      <w:r>
        <w:rPr>
          <w:rFonts w:ascii="宋体" w:hAnsi="宋体" w:cs="宋体" w:eastAsia="宋体"/>
        </w:rPr>
        <w:t>§6 开放式基金份额变动</w:t>
      </w:r>
    </w:p>
    <w:p>
      <w:pPr>
        <w:jc w:val="right"/>
      </w:pPr>
      <w:r>
        <w:rPr>
          <w:rFonts w:ascii="宋体" w:hAnsi="宋体" w:cs="宋体" w:eastAsia="宋体"/>
          <w:b w:val="false"/>
        </w:rPr>
        <w:t>单位：份</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2308"/>
            <w:vAlign w:val="center"/>
          </w:tcPr>
          <w:p>
            <w:pPr>
              <w:spacing w:line="240" w:lineRule="auto"/>
              <w:jc w:val="center"/>
            </w:pPr>
          </w:p>
        </w:tc>
        <w:tc>
          <w:tcPr>
            <w:tcW w:type="pct" w:w="1300"/>
            <w:vAlign w:val="center"/>
          </w:tcPr>
          <w:p>
            <w:pPr>
              <w:spacing w:line="240" w:lineRule="auto"/>
              <w:jc w:val="center"/>
            </w:pPr>
            <w:r>
              <w:rPr>
                <w:rFonts w:ascii="宋体" w:hAnsi="宋体" w:cs="宋体" w:eastAsia="宋体"/>
                <w:b w:val="false"/>
              </w:rPr>
              <w:t>东方阿尔法医疗健康混合发起A</w:t>
            </w:r>
          </w:p>
        </w:tc>
        <w:tc>
          <w:tcPr>
            <w:tcW w:type="pct" w:w="1300"/>
            <w:vAlign w:val="center"/>
          </w:tcPr>
          <w:p>
            <w:pPr>
              <w:spacing w:line="240" w:lineRule="auto"/>
              <w:jc w:val="center"/>
            </w:pPr>
            <w:r>
              <w:rPr>
                <w:rFonts w:ascii="宋体" w:hAnsi="宋体" w:cs="宋体" w:eastAsia="宋体"/>
                <w:b w:val="false"/>
              </w:rPr>
              <w:t>东方阿尔法医疗健康混合发起C</w:t>
            </w:r>
          </w:p>
        </w:tc>
      </w:tr>
      <w:tr>
        <w:tc>
          <w:tcPr>
            <w:tcW/>
            <w:vAlign w:val="center"/>
          </w:tcPr>
          <w:p>
            <w:pPr>
              <w:spacing w:line="240" w:lineRule="auto"/>
              <w:jc w:val="left"/>
            </w:pPr>
            <w:r>
              <w:rPr>
                <w:rFonts w:ascii="宋体" w:hAnsi="宋体" w:cs="宋体" w:eastAsia="宋体"/>
                <w:b w:val="false"/>
              </w:rPr>
              <w:t>报告期期初基金份额总额</w:t>
            </w:r>
          </w:p>
        </w:tc>
        <w:tc>
          <w:tcPr>
            <w:tcW w:type="pct" w:w="1300"/>
            <w:vAlign w:val="center"/>
          </w:tcPr>
          <w:p>
            <w:pPr>
              <w:spacing w:line="240" w:lineRule="auto"/>
              <w:jc w:val="right"/>
            </w:pPr>
            <w:r>
              <w:rPr>
                <w:rFonts w:ascii="宋体" w:hAnsi="宋体" w:cs="宋体" w:eastAsia="宋体"/>
                <w:b w:val="false"/>
              </w:rPr>
              <w:t>69,496,260.62</w:t>
            </w:r>
          </w:p>
        </w:tc>
        <w:tc>
          <w:tcPr>
            <w:tcW w:type="pct" w:w="1300"/>
            <w:vAlign w:val="center"/>
          </w:tcPr>
          <w:p>
            <w:pPr>
              <w:spacing w:line="240" w:lineRule="auto"/>
              <w:jc w:val="right"/>
            </w:pPr>
            <w:r>
              <w:rPr>
                <w:rFonts w:ascii="宋体" w:hAnsi="宋体" w:cs="宋体" w:eastAsia="宋体"/>
                <w:b w:val="false"/>
              </w:rPr>
              <w:t>79,126,452.29</w:t>
            </w:r>
          </w:p>
        </w:tc>
      </w:tr>
      <w:tr>
        <w:tc>
          <w:tcPr>
            <w:tcW/>
            <w:vAlign w:val="center"/>
          </w:tcPr>
          <w:p>
            <w:pPr>
              <w:spacing w:line="240" w:lineRule="auto"/>
              <w:jc w:val="left"/>
            </w:pPr>
            <w:r>
              <w:rPr>
                <w:rFonts w:ascii="宋体" w:hAnsi="宋体" w:cs="宋体" w:eastAsia="宋体"/>
                <w:b w:val="false"/>
              </w:rPr>
              <w:t>报告期期间基金总申购份额</w:t>
            </w:r>
          </w:p>
        </w:tc>
        <w:tc>
          <w:tcPr>
            <w:tcW w:type="pct" w:w="1300"/>
            <w:vAlign w:val="center"/>
          </w:tcPr>
          <w:p>
            <w:pPr>
              <w:spacing w:line="240" w:lineRule="auto"/>
              <w:jc w:val="right"/>
            </w:pPr>
            <w:r>
              <w:rPr>
                <w:rFonts w:ascii="宋体" w:hAnsi="宋体" w:cs="宋体" w:eastAsia="宋体"/>
                <w:b w:val="false"/>
              </w:rPr>
              <w:t>39,596,519.16</w:t>
            </w:r>
          </w:p>
        </w:tc>
        <w:tc>
          <w:tcPr>
            <w:tcW w:type="pct" w:w="1300"/>
            <w:vAlign w:val="center"/>
          </w:tcPr>
          <w:p>
            <w:pPr>
              <w:spacing w:line="240" w:lineRule="auto"/>
              <w:jc w:val="right"/>
            </w:pPr>
            <w:r>
              <w:rPr>
                <w:rFonts w:ascii="宋体" w:hAnsi="宋体" w:cs="宋体" w:eastAsia="宋体"/>
                <w:b w:val="false"/>
              </w:rPr>
              <w:t>31,024,364.45</w:t>
            </w:r>
          </w:p>
        </w:tc>
      </w:tr>
      <w:tr>
        <w:tc>
          <w:tcPr>
            <w:tcW/>
            <w:vAlign w:val="center"/>
          </w:tcPr>
          <w:p>
            <w:pPr>
              <w:spacing w:line="240" w:lineRule="auto"/>
              <w:jc w:val="left"/>
            </w:pPr>
            <w:r>
              <w:rPr>
                <w:rFonts w:ascii="宋体" w:hAnsi="宋体" w:cs="宋体" w:eastAsia="宋体"/>
                <w:b w:val="false"/>
              </w:rPr>
              <w:t>减：报告期期间基金总赎回份额</w:t>
            </w:r>
          </w:p>
        </w:tc>
        <w:tc>
          <w:tcPr>
            <w:tcW w:type="pct" w:w="1300"/>
            <w:vAlign w:val="center"/>
          </w:tcPr>
          <w:p>
            <w:pPr>
              <w:spacing w:line="240" w:lineRule="auto"/>
              <w:jc w:val="right"/>
            </w:pPr>
            <w:r>
              <w:rPr>
                <w:rFonts w:ascii="宋体" w:hAnsi="宋体" w:cs="宋体" w:eastAsia="宋体"/>
                <w:b w:val="false"/>
              </w:rPr>
              <w:t>48,389,878.66</w:t>
            </w:r>
          </w:p>
        </w:tc>
        <w:tc>
          <w:tcPr>
            <w:tcW w:type="pct" w:w="1300"/>
            <w:vAlign w:val="center"/>
          </w:tcPr>
          <w:p>
            <w:pPr>
              <w:spacing w:line="240" w:lineRule="auto"/>
              <w:jc w:val="right"/>
            </w:pPr>
            <w:r>
              <w:rPr>
                <w:rFonts w:ascii="宋体" w:hAnsi="宋体" w:cs="宋体" w:eastAsia="宋体"/>
                <w:b w:val="false"/>
              </w:rPr>
              <w:t>39,506,402.89</w:t>
            </w:r>
          </w:p>
        </w:tc>
      </w:tr>
      <w:tr>
        <w:tc>
          <w:tcPr>
            <w:tcW/>
            <w:vAlign w:val="center"/>
          </w:tcPr>
          <w:p>
            <w:pPr>
              <w:spacing w:line="240" w:lineRule="auto"/>
              <w:jc w:val="left"/>
            </w:pPr>
            <w:r>
              <w:rPr>
                <w:rFonts w:ascii="宋体" w:hAnsi="宋体" w:cs="宋体" w:eastAsia="宋体"/>
                <w:b w:val="false"/>
              </w:rPr>
              <w:t>报告期期间基金拆分变动份额（份额减少以“-”填列）</w:t>
            </w:r>
          </w:p>
        </w:tc>
        <w:tc>
          <w:tcPr>
            <w:tcW w:type="pct" w:w="1300"/>
            <w:vAlign w:val="center"/>
          </w:tcPr>
          <w:p>
            <w:pPr>
              <w:spacing w:line="240" w:lineRule="auto"/>
              <w:jc w:val="right"/>
            </w:pPr>
            <w:r>
              <w:rPr>
                <w:rFonts w:ascii="宋体" w:hAnsi="宋体" w:cs="宋体" w:eastAsia="宋体"/>
                <w:b w:val="false"/>
              </w:rPr>
              <w:t>-</w:t>
            </w:r>
          </w:p>
        </w:tc>
        <w:tc>
          <w:tcPr>
            <w:tcW w:type="pct" w:w="130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报告期期末基金份额总额</w:t>
            </w:r>
          </w:p>
        </w:tc>
        <w:tc>
          <w:tcPr>
            <w:tcW w:type="pct" w:w="1300"/>
            <w:vAlign w:val="center"/>
          </w:tcPr>
          <w:p>
            <w:pPr>
              <w:spacing w:line="240" w:lineRule="auto"/>
              <w:jc w:val="right"/>
            </w:pPr>
            <w:r>
              <w:rPr>
                <w:rFonts w:ascii="宋体" w:hAnsi="宋体" w:cs="宋体" w:eastAsia="宋体"/>
                <w:b w:val="false"/>
              </w:rPr>
              <w:t>60,702,901.12</w:t>
            </w:r>
          </w:p>
        </w:tc>
        <w:tc>
          <w:tcPr>
            <w:tcW w:type="pct" w:w="1300"/>
            <w:vAlign w:val="center"/>
          </w:tcPr>
          <w:p>
            <w:pPr>
              <w:spacing w:line="240" w:lineRule="auto"/>
              <w:jc w:val="right"/>
            </w:pPr>
            <w:r>
              <w:rPr>
                <w:rFonts w:ascii="宋体" w:hAnsi="宋体" w:cs="宋体" w:eastAsia="宋体"/>
                <w:b w:val="false"/>
              </w:rPr>
              <w:t>70,644,413.85</w:t>
            </w:r>
          </w:p>
        </w:tc>
      </w:tr>
    </w:tbl>
    <w:p>
      <w:pPr>
        <w:pStyle w:val="1"/>
        <w:jc w:val="center"/>
      </w:pPr>
      <w:r>
        <w:rPr>
          <w:rFonts w:ascii="宋体" w:hAnsi="宋体" w:cs="宋体" w:eastAsia="宋体"/>
        </w:rPr>
        <w:t>§7 基金管理人运用固有资金投资本基金情况</w:t>
      </w:r>
    </w:p>
    <w:p>
      <w:pPr>
        <w:pStyle w:val="2"/>
        <w:jc w:val="left"/>
      </w:pPr>
      <w:r>
        <w:rPr>
          <w:rFonts w:ascii="宋体" w:hAnsi="宋体" w:cs="宋体" w:eastAsia="宋体"/>
        </w:rPr>
        <w:t>7.1 基金管理人持有本基金份额变动情况</w:t>
      </w:r>
    </w:p>
    <w:p>
      <w:pPr>
        <w:jc w:val="right"/>
      </w:pPr>
      <w:r>
        <w:rPr>
          <w:rFonts w:ascii="宋体" w:hAnsi="宋体" w:cs="宋体" w:eastAsia="宋体"/>
          <w:b w:val="false"/>
        </w:rPr>
        <w:t>单位：份</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3077"/>
            <w:vAlign w:val="center"/>
          </w:tcPr>
          <w:p>
            <w:pPr>
              <w:spacing w:line="240" w:lineRule="auto"/>
              <w:jc w:val="center"/>
            </w:pPr>
          </w:p>
        </w:tc>
        <w:tc>
          <w:tcPr>
            <w:tcW w:type="pct" w:w="950"/>
            <w:vAlign w:val="center"/>
          </w:tcPr>
          <w:p>
            <w:pPr>
              <w:spacing w:line="240" w:lineRule="auto"/>
              <w:jc w:val="center"/>
            </w:pPr>
            <w:r>
              <w:rPr>
                <w:rFonts w:ascii="宋体" w:hAnsi="宋体" w:cs="宋体" w:eastAsia="宋体"/>
                <w:b w:val="false"/>
              </w:rPr>
              <w:t>东方阿尔法医疗健康混合发起A</w:t>
            </w:r>
          </w:p>
        </w:tc>
        <w:tc>
          <w:tcPr>
            <w:tcW w:type="pct" w:w="950"/>
            <w:vAlign w:val="center"/>
          </w:tcPr>
          <w:p>
            <w:pPr>
              <w:spacing w:line="240" w:lineRule="auto"/>
              <w:jc w:val="center"/>
            </w:pPr>
            <w:r>
              <w:rPr>
                <w:rFonts w:ascii="宋体" w:hAnsi="宋体" w:cs="宋体" w:eastAsia="宋体"/>
                <w:b w:val="false"/>
              </w:rPr>
              <w:t>东方阿尔法医疗健康混合发起C</w:t>
            </w:r>
          </w:p>
        </w:tc>
      </w:tr>
      <w:tr>
        <w:tc>
          <w:tcPr>
            <w:tcW w:type="pct" w:w="3077"/>
            <w:vAlign w:val="center"/>
          </w:tcPr>
          <w:p>
            <w:pPr>
              <w:spacing w:line="240" w:lineRule="auto"/>
              <w:jc w:val="left"/>
            </w:pPr>
            <w:r>
              <w:rPr>
                <w:rFonts w:ascii="宋体" w:hAnsi="宋体" w:cs="宋体" w:eastAsia="宋体"/>
                <w:b w:val="false"/>
              </w:rPr>
              <w:t>报告期期初管理人持有的本基金份额</w:t>
            </w:r>
          </w:p>
        </w:tc>
        <w:tc>
          <w:tcPr>
            <w:tcW w:type="pct" w:w="950"/>
            <w:vAlign w:val="center"/>
          </w:tcPr>
          <w:p>
            <w:pPr>
              <w:spacing w:line="240" w:lineRule="auto"/>
              <w:jc w:val="right"/>
            </w:pPr>
            <w:r>
              <w:rPr>
                <w:rFonts w:ascii="宋体" w:hAnsi="宋体" w:cs="宋体" w:eastAsia="宋体"/>
                <w:b w:val="false"/>
              </w:rPr>
              <w:t>7,440,152.12</w:t>
            </w:r>
          </w:p>
        </w:tc>
        <w:tc>
          <w:tcPr>
            <w:tcW w:type="pct" w:w="95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报告期期间买入/申购总份额</w:t>
            </w:r>
          </w:p>
        </w:tc>
        <w:tc>
          <w:tcPr>
            <w:tcW w:type="pct" w:w="950"/>
            <w:vAlign w:val="center"/>
          </w:tcPr>
          <w:p>
            <w:pPr>
              <w:spacing w:line="240" w:lineRule="auto"/>
              <w:jc w:val="right"/>
            </w:pPr>
            <w:r>
              <w:rPr>
                <w:rFonts w:ascii="宋体" w:hAnsi="宋体" w:cs="宋体" w:eastAsia="宋体"/>
                <w:b w:val="false"/>
              </w:rPr>
              <w:t>-</w:t>
            </w:r>
          </w:p>
        </w:tc>
        <w:tc>
          <w:tcPr>
            <w:tcW w:type="pct" w:w="95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报告期期间卖出/赎回总份额</w:t>
            </w:r>
          </w:p>
        </w:tc>
        <w:tc>
          <w:tcPr>
            <w:tcW w:type="pct" w:w="950"/>
            <w:vAlign w:val="center"/>
          </w:tcPr>
          <w:p>
            <w:pPr>
              <w:spacing w:line="240" w:lineRule="auto"/>
              <w:jc w:val="right"/>
            </w:pPr>
            <w:r>
              <w:rPr>
                <w:rFonts w:ascii="宋体" w:hAnsi="宋体" w:cs="宋体" w:eastAsia="宋体"/>
                <w:b w:val="false"/>
              </w:rPr>
              <w:t>7,052,856.78</w:t>
            </w:r>
          </w:p>
        </w:tc>
        <w:tc>
          <w:tcPr>
            <w:tcW w:type="pct" w:w="95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报告期期末管理人持有的本基金份额</w:t>
            </w:r>
          </w:p>
        </w:tc>
        <w:tc>
          <w:tcPr>
            <w:tcW w:type="pct" w:w="950"/>
            <w:vAlign w:val="center"/>
          </w:tcPr>
          <w:p>
            <w:pPr>
              <w:spacing w:line="240" w:lineRule="auto"/>
              <w:jc w:val="right"/>
            </w:pPr>
            <w:r>
              <w:rPr>
                <w:rFonts w:ascii="宋体" w:hAnsi="宋体" w:cs="宋体" w:eastAsia="宋体"/>
                <w:b w:val="false"/>
              </w:rPr>
              <w:t>387,295.34</w:t>
            </w:r>
          </w:p>
        </w:tc>
        <w:tc>
          <w:tcPr>
            <w:tcW w:type="pct" w:w="95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报告期期末持有的本基金份额占基金总份额比例（%）</w:t>
            </w:r>
          </w:p>
        </w:tc>
        <w:tc>
          <w:tcPr>
            <w:tcW w:type="pct" w:w="950"/>
            <w:vAlign w:val="center"/>
          </w:tcPr>
          <w:p>
            <w:pPr>
              <w:spacing w:line="240" w:lineRule="auto"/>
              <w:jc w:val="right"/>
            </w:pPr>
            <w:r>
              <w:rPr>
                <w:rFonts w:ascii="宋体" w:hAnsi="宋体" w:cs="宋体" w:eastAsia="宋体"/>
                <w:b w:val="false"/>
              </w:rPr>
              <w:t>0.29</w:t>
            </w:r>
          </w:p>
        </w:tc>
        <w:tc>
          <w:tcPr>
            <w:tcW w:type="pct" w:w="950"/>
            <w:vAlign w:val="center"/>
          </w:tcPr>
          <w:p>
            <w:pPr>
              <w:spacing w:line="240" w:lineRule="auto"/>
              <w:jc w:val="right"/>
            </w:pPr>
            <w:r>
              <w:rPr>
                <w:rFonts w:ascii="宋体" w:hAnsi="宋体" w:cs="宋体" w:eastAsia="宋体"/>
                <w:b w:val="false"/>
              </w:rPr>
              <w:t>-</w:t>
            </w:r>
          </w:p>
        </w:tc>
      </w:tr>
    </w:tbl>
    <w:p>
      <w:r>
        <w:rPr>
          <w:rFonts w:ascii="宋体" w:hAnsi="宋体" w:cs="宋体" w:eastAsia="宋体"/>
          <w:b w:val="false"/>
        </w:rPr>
        <w:t>注：报告期期末持有的本基金份额占基金总份额比例的分母采用期末基金份额总额，不区分下属不同类别基金。</w:t>
      </w:r>
    </w:p>
    <w:p/>
    <w:p>
      <w:pPr>
        <w:pStyle w:val="2"/>
        <w:jc w:val="left"/>
      </w:pPr>
      <w:r>
        <w:rPr>
          <w:rFonts w:ascii="宋体" w:hAnsi="宋体" w:cs="宋体" w:eastAsia="宋体"/>
        </w:rPr>
        <w:t>7.2 基金管理人运用固有资金投资本基金交易明细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交易方式</w:t>
            </w:r>
          </w:p>
        </w:tc>
        <w:tc>
          <w:tcPr>
            <w:tcW w:type="pct" w:w="769"/>
            <w:vAlign w:val="center"/>
          </w:tcPr>
          <w:tcPr>
            <w:shd w:fill="d9d9d9"/>
          </w:tcPr>
          <w:p>
            <w:pPr>
              <w:spacing w:line="240" w:lineRule="auto"/>
              <w:jc w:val="center"/>
            </w:pPr>
            <w:r>
              <w:rPr>
                <w:rFonts w:ascii="宋体" w:hAnsi="宋体" w:cs="宋体" w:eastAsia="宋体"/>
                <w:b w:val="false"/>
              </w:rPr>
              <w:t>交易日期</w:t>
            </w:r>
          </w:p>
        </w:tc>
        <w:tc>
          <w:tcPr>
            <w:tcW w:type="pct" w:w="923"/>
            <w:vAlign w:val="center"/>
          </w:tcPr>
          <w:tcPr>
            <w:shd w:fill="d9d9d9"/>
          </w:tcPr>
          <w:p>
            <w:pPr>
              <w:spacing w:line="240" w:lineRule="auto"/>
              <w:jc w:val="center"/>
            </w:pPr>
            <w:r>
              <w:rPr>
                <w:rFonts w:ascii="宋体" w:hAnsi="宋体" w:cs="宋体" w:eastAsia="宋体"/>
                <w:b w:val="false"/>
              </w:rPr>
              <w:t>交易份额（份）</w:t>
            </w:r>
          </w:p>
        </w:tc>
        <w:tc>
          <w:tcPr>
            <w:tcW w:type="pct" w:w="923"/>
            <w:vAlign w:val="center"/>
          </w:tcPr>
          <w:tcPr>
            <w:shd w:fill="d9d9d9"/>
          </w:tcPr>
          <w:p>
            <w:pPr>
              <w:spacing w:line="240" w:lineRule="auto"/>
              <w:jc w:val="center"/>
            </w:pPr>
            <w:r>
              <w:rPr>
                <w:rFonts w:ascii="宋体" w:hAnsi="宋体" w:cs="宋体" w:eastAsia="宋体"/>
                <w:b w:val="false"/>
              </w:rPr>
              <w:t>交易金额 （元）</w:t>
            </w:r>
          </w:p>
        </w:tc>
        <w:tc>
          <w:tcPr>
            <w:tcW w:type="pct" w:w="769"/>
            <w:vAlign w:val="center"/>
          </w:tcPr>
          <w:tcPr>
            <w:shd w:fill="d9d9d9"/>
          </w:tcPr>
          <w:p>
            <w:pPr>
              <w:spacing w:line="240" w:lineRule="auto"/>
              <w:jc w:val="center"/>
            </w:pPr>
            <w:r>
              <w:rPr>
                <w:rFonts w:ascii="宋体" w:hAnsi="宋体" w:cs="宋体" w:eastAsia="宋体"/>
                <w:b w:val="false"/>
              </w:rPr>
              <w:t>适用费率</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申赎</w:t>
            </w:r>
          </w:p>
        </w:tc>
        <w:tc>
          <w:tcPr>
            <w:tcW/>
            <w:vAlign w:val="center"/>
          </w:tcPr>
          <w:p>
            <w:pPr>
              <w:spacing w:line="240" w:lineRule="auto"/>
              <w:jc w:val="center"/>
            </w:pPr>
            <w:r>
              <w:rPr>
                <w:rFonts w:ascii="宋体" w:hAnsi="宋体" w:cs="宋体" w:eastAsia="宋体"/>
                <w:b w:val="false"/>
              </w:rPr>
              <w:t>2025-07-21</w:t>
            </w:r>
          </w:p>
        </w:tc>
        <w:tc>
          <w:tcPr>
            <w:tcW/>
            <w:vAlign w:val="center"/>
          </w:tcPr>
          <w:p>
            <w:pPr>
              <w:spacing w:line="240" w:lineRule="auto"/>
              <w:jc w:val="right"/>
            </w:pPr>
            <w:r>
              <w:rPr>
                <w:rFonts w:ascii="宋体" w:hAnsi="宋体" w:cs="宋体" w:eastAsia="宋体"/>
                <w:b w:val="false"/>
              </w:rPr>
              <w:t>-3,000,000.00</w:t>
            </w:r>
          </w:p>
        </w:tc>
        <w:tc>
          <w:tcPr>
            <w:tcW/>
            <w:vAlign w:val="center"/>
          </w:tcPr>
          <w:p>
            <w:pPr>
              <w:spacing w:line="240" w:lineRule="auto"/>
              <w:jc w:val="right"/>
            </w:pPr>
            <w:r>
              <w:rPr>
                <w:rFonts w:ascii="宋体" w:hAnsi="宋体" w:cs="宋体" w:eastAsia="宋体"/>
                <w:b w:val="false"/>
              </w:rPr>
              <w:t>-3,858,112.50</w:t>
            </w:r>
          </w:p>
        </w:tc>
        <w:tc>
          <w:tcPr>
            <w:tcW/>
            <w:vAlign w:val="center"/>
          </w:tcPr>
          <w:p>
            <w:pPr>
              <w:spacing w:line="240" w:lineRule="auto"/>
              <w:jc w:val="right"/>
            </w:pPr>
            <w:r>
              <w:rPr>
                <w:rFonts w:ascii="宋体" w:hAnsi="宋体" w:cs="宋体" w:eastAsia="宋体"/>
                <w:b w:val="false"/>
              </w:rPr>
              <w:t>0.50%</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申赎</w:t>
            </w:r>
          </w:p>
        </w:tc>
        <w:tc>
          <w:tcPr>
            <w:tcW/>
            <w:vAlign w:val="center"/>
          </w:tcPr>
          <w:p>
            <w:pPr>
              <w:spacing w:line="240" w:lineRule="auto"/>
              <w:jc w:val="center"/>
            </w:pPr>
            <w:r>
              <w:rPr>
                <w:rFonts w:ascii="宋体" w:hAnsi="宋体" w:cs="宋体" w:eastAsia="宋体"/>
                <w:b w:val="false"/>
              </w:rPr>
              <w:t>2025-08-11</w:t>
            </w:r>
          </w:p>
        </w:tc>
        <w:tc>
          <w:tcPr>
            <w:tcW/>
            <w:vAlign w:val="center"/>
          </w:tcPr>
          <w:p>
            <w:pPr>
              <w:spacing w:line="240" w:lineRule="auto"/>
              <w:jc w:val="right"/>
            </w:pPr>
            <w:r>
              <w:rPr>
                <w:rFonts w:ascii="宋体" w:hAnsi="宋体" w:cs="宋体" w:eastAsia="宋体"/>
                <w:b w:val="false"/>
              </w:rPr>
              <w:t>-2,000,000.00</w:t>
            </w:r>
          </w:p>
        </w:tc>
        <w:tc>
          <w:tcPr>
            <w:tcW/>
            <w:vAlign w:val="center"/>
          </w:tcPr>
          <w:p>
            <w:pPr>
              <w:spacing w:line="240" w:lineRule="auto"/>
              <w:jc w:val="right"/>
            </w:pPr>
            <w:r>
              <w:rPr>
                <w:rFonts w:ascii="宋体" w:hAnsi="宋体" w:cs="宋体" w:eastAsia="宋体"/>
                <w:b w:val="false"/>
              </w:rPr>
              <w:t>-2,586,005.00</w:t>
            </w:r>
          </w:p>
        </w:tc>
        <w:tc>
          <w:tcPr>
            <w:tcW/>
            <w:vAlign w:val="center"/>
          </w:tcPr>
          <w:p>
            <w:pPr>
              <w:spacing w:line="240" w:lineRule="auto"/>
              <w:jc w:val="right"/>
            </w:pPr>
            <w:r>
              <w:rPr>
                <w:rFonts w:ascii="宋体" w:hAnsi="宋体" w:cs="宋体" w:eastAsia="宋体"/>
                <w:b w:val="false"/>
              </w:rPr>
              <w:t>0.50%</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申赎</w:t>
            </w:r>
          </w:p>
        </w:tc>
        <w:tc>
          <w:tcPr>
            <w:tcW/>
            <w:vAlign w:val="center"/>
          </w:tcPr>
          <w:p>
            <w:pPr>
              <w:spacing w:line="240" w:lineRule="auto"/>
              <w:jc w:val="center"/>
            </w:pPr>
            <w:r>
              <w:rPr>
                <w:rFonts w:ascii="宋体" w:hAnsi="宋体" w:cs="宋体" w:eastAsia="宋体"/>
                <w:b w:val="false"/>
              </w:rPr>
              <w:t>2025-08-28</w:t>
            </w:r>
          </w:p>
        </w:tc>
        <w:tc>
          <w:tcPr>
            <w:tcW/>
            <w:vAlign w:val="center"/>
          </w:tcPr>
          <w:p>
            <w:pPr>
              <w:spacing w:line="240" w:lineRule="auto"/>
              <w:jc w:val="right"/>
            </w:pPr>
            <w:r>
              <w:rPr>
                <w:rFonts w:ascii="宋体" w:hAnsi="宋体" w:cs="宋体" w:eastAsia="宋体"/>
                <w:b w:val="false"/>
              </w:rPr>
              <w:t>-2,052,856.78</w:t>
            </w:r>
          </w:p>
        </w:tc>
        <w:tc>
          <w:tcPr>
            <w:tcW/>
            <w:vAlign w:val="center"/>
          </w:tcPr>
          <w:p>
            <w:pPr>
              <w:spacing w:line="240" w:lineRule="auto"/>
              <w:jc w:val="right"/>
            </w:pPr>
            <w:r>
              <w:rPr>
                <w:rFonts w:ascii="宋体" w:hAnsi="宋体" w:cs="宋体" w:eastAsia="宋体"/>
                <w:b w:val="false"/>
              </w:rPr>
              <w:t>-2,683,558.02</w:t>
            </w:r>
          </w:p>
        </w:tc>
        <w:tc>
          <w:tcPr>
            <w:tcW/>
            <w:vAlign w:val="center"/>
          </w:tcPr>
          <w:p>
            <w:pPr>
              <w:spacing w:line="240" w:lineRule="auto"/>
              <w:jc w:val="right"/>
            </w:pPr>
            <w:r>
              <w:rPr>
                <w:rFonts w:ascii="宋体" w:hAnsi="宋体" w:cs="宋体" w:eastAsia="宋体"/>
                <w:b w:val="false"/>
              </w:rPr>
              <w:t>0.50%</w:t>
            </w:r>
          </w:p>
        </w:tc>
      </w:tr>
      <w:tr>
        <w:tc>
          <w:tcPr>
            <w:tcW/>
            <w:vAlign w:val="center"/>
          </w:tcPr>
          <w:p>
            <w:pPr>
              <w:spacing w:line="240" w:lineRule="auto"/>
              <w:jc w:val="center"/>
            </w:pPr>
            <w:r>
              <w:rPr>
                <w:rFonts w:ascii="宋体" w:hAnsi="宋体" w:cs="宋体" w:eastAsia="宋体"/>
                <w:b w:val="false"/>
              </w:rPr>
              <w:t>合计</w:t>
            </w:r>
          </w:p>
        </w:tc>
        <w:tc>
          <w:tcPr>
            <w:tcW/>
            <w:vAlign w:val="center"/>
          </w:tcPr>
          <w:p>
            <w:pPr>
              <w:spacing w:line="240" w:lineRule="auto"/>
              <w:jc w:val="left"/>
            </w:pPr>
          </w:p>
        </w:tc>
        <w:tc>
          <w:tcPr>
            <w:tcW/>
            <w:vAlign w:val="center"/>
          </w:tcPr>
          <w:p>
            <w:pPr>
              <w:spacing w:line="240" w:lineRule="auto"/>
              <w:jc w:val="center"/>
            </w:pPr>
          </w:p>
        </w:tc>
        <w:tc>
          <w:tcPr>
            <w:tcW/>
            <w:vAlign w:val="center"/>
          </w:tcPr>
          <w:p>
            <w:pPr>
              <w:spacing w:line="240" w:lineRule="auto"/>
              <w:jc w:val="right"/>
            </w:pPr>
            <w:r>
              <w:rPr>
                <w:rFonts w:ascii="宋体" w:hAnsi="宋体" w:cs="宋体" w:eastAsia="宋体"/>
                <w:b w:val="false"/>
              </w:rPr>
              <w:t>-7,052,856.78</w:t>
            </w:r>
          </w:p>
        </w:tc>
        <w:tc>
          <w:tcPr>
            <w:tcW/>
            <w:vAlign w:val="center"/>
          </w:tcPr>
          <w:p>
            <w:pPr>
              <w:spacing w:line="240" w:lineRule="auto"/>
              <w:jc w:val="right"/>
            </w:pPr>
            <w:r>
              <w:rPr>
                <w:rFonts w:ascii="宋体" w:hAnsi="宋体" w:cs="宋体" w:eastAsia="宋体"/>
                <w:b w:val="false"/>
              </w:rPr>
              <w:t>-9,127,675.52</w:t>
            </w:r>
          </w:p>
        </w:tc>
        <w:tc>
          <w:tcPr>
            <w:tcW/>
            <w:vAlign w:val="center"/>
          </w:tcPr>
          <w:p>
            <w:pPr>
              <w:spacing w:line="240" w:lineRule="auto"/>
              <w:jc w:val="left"/>
            </w:pPr>
          </w:p>
        </w:tc>
      </w:tr>
    </w:tbl>
    <w:p>
      <w:r>
        <w:rPr>
          <w:rFonts w:ascii="宋体" w:hAnsi="宋体" w:cs="宋体" w:eastAsia="宋体"/>
          <w:b w:val="false"/>
        </w:rPr>
        <w:t>注：本基金管理人运用固有资金申赎（包含转换）本基金所适用费率符合基金招募说明书和相关公告的规定。</w:t>
      </w:r>
    </w:p>
    <w:p>
      <w:pPr>
        <w:pStyle w:val="1"/>
        <w:jc w:val="center"/>
      </w:pPr>
      <w:r>
        <w:rPr>
          <w:rFonts w:ascii="宋体" w:hAnsi="宋体" w:cs="宋体" w:eastAsia="宋体"/>
        </w:rPr>
        <w:t>§8 报告期末发起式基金发起资金持有份额情况</w:t>
      </w:r>
    </w:p>
    <w:p>
      <w:r>
        <w:rPr>
          <w:rFonts w:ascii="宋体" w:hAnsi="宋体" w:cs="宋体" w:eastAsia="宋体"/>
          <w:b w:val="false"/>
        </w:rPr>
        <w:t xml:space="preserve">    本基金基金合同于2022年03月30日生效。根据本基金基金合同的约定，发起资金认购本基金金额不少于1000万元，且发起资金认购的基金份额持有期限自基金合同生效日起不少于3年。自基金合同生效日起至本报告期末，发起资金认购的本基金基金份额持有期限已满3年。</w:t>
      </w:r>
    </w:p>
    <w:p>
      <w:pPr>
        <w:pStyle w:val="1"/>
        <w:jc w:val="center"/>
      </w:pPr>
      <w:r>
        <w:rPr>
          <w:rFonts w:ascii="宋体" w:hAnsi="宋体" w:cs="宋体" w:eastAsia="宋体"/>
        </w:rPr>
        <w:t>§9 影响投资者决策的其他重要信息</w:t>
      </w:r>
    </w:p>
    <w:p>
      <w:pPr>
        <w:pStyle w:val="2"/>
        <w:jc w:val="left"/>
      </w:pPr>
      <w:r>
        <w:rPr>
          <w:rFonts w:ascii="宋体" w:hAnsi="宋体" w:cs="宋体" w:eastAsia="宋体"/>
        </w:rPr>
        <w:t>9.1 报告期内单一投资者持有基金份额比例达到或超过20%的情况</w:t>
      </w:r>
    </w:p>
    <w:tbl>
      <w:tblPr>
        <w:tblW w:w="5000" w:type="pct"/>
        <w:tblBorders>
          <w:top w:val="single" w:sz="4"/>
          <w:left w:val="single" w:sz="4"/>
          <w:bottom w:val="single" w:sz="4"/>
          <w:right w:val="single" w:sz="4"/>
          <w:insideH w:val="single" w:sz="4"/>
          <w:insideV w:val="single" w:sz="4"/>
        </w:tblBorders>
      </w:tblPr>
      <w:tblGrid>
        <w:gridCol w:w="1133"/>
        <w:gridCol w:w="1133"/>
        <w:gridCol w:w="1133"/>
        <w:gridCol w:w="1133"/>
        <w:gridCol w:w="1133"/>
        <w:gridCol w:w="1133"/>
        <w:gridCol w:w="1133"/>
        <w:gridCol w:w="1133"/>
      </w:tblGrid>
      <w:tr>
        <w:tc>
          <w:tcPr>
            <w:tcW w:type="pct" w:w="269"/>
            <w:vMerge w:val="restart"/>
            <w:vAlign w:val="center"/>
          </w:tcPr>
          <w:tcPr>
            <w:shd w:fill="d9d9d9"/>
          </w:tcPr>
          <w:p>
            <w:pPr>
              <w:spacing w:line="240" w:lineRule="auto"/>
              <w:jc w:val="center"/>
            </w:pPr>
            <w:r>
              <w:rPr>
                <w:rFonts w:ascii="宋体" w:hAnsi="宋体" w:cs="宋体" w:eastAsia="宋体"/>
                <w:b w:val="false"/>
              </w:rPr>
              <w:t>投资者类别</w:t>
            </w:r>
          </w:p>
        </w:tc>
        <w:tc>
          <w:tcPr>
            <w:tcW w:type="pct" w:w="3192"/>
            <w:hMerge w:val="restart"/>
            <w:vAlign w:val="center"/>
          </w:tcPr>
          <w:tcPr>
            <w:shd w:fill="d9d9d9"/>
          </w:tcPr>
          <w:p>
            <w:pPr>
              <w:spacing w:line="240" w:lineRule="auto"/>
              <w:jc w:val="center"/>
            </w:pPr>
            <w:r>
              <w:rPr>
                <w:rFonts w:ascii="宋体" w:hAnsi="宋体" w:cs="宋体" w:eastAsia="宋体"/>
                <w:b w:val="false"/>
              </w:rPr>
              <w:t>报告期内持有基金份额变化情况</w:t>
            </w:r>
          </w:p>
        </w:tc>
        <w:tc>
          <w:tcPr>
            <w:hMerge w:val="continue"/>
          </w:tcPr>
          <w:p/>
        </w:tc>
        <w:tc>
          <w:tcPr>
            <w:hMerge w:val="continue"/>
          </w:tcPr>
          <w:p/>
        </w:tc>
        <w:tc>
          <w:tcPr>
            <w:hMerge w:val="continue"/>
          </w:tcPr>
          <w:p/>
        </w:tc>
        <w:tc>
          <w:tcPr>
            <w:hMerge w:val="continue"/>
          </w:tcPr>
          <w:p/>
        </w:tc>
        <w:tc>
          <w:tcPr>
            <w:tcW w:type="pct" w:w="1154"/>
            <w:hMerge w:val="restart"/>
            <w:vAlign w:val="center"/>
          </w:tcPr>
          <w:tcPr>
            <w:shd w:fill="d9d9d9"/>
          </w:tcPr>
          <w:p>
            <w:pPr>
              <w:spacing w:line="240" w:lineRule="auto"/>
              <w:jc w:val="center"/>
            </w:pPr>
            <w:r>
              <w:rPr>
                <w:rFonts w:ascii="宋体" w:hAnsi="宋体" w:cs="宋体" w:eastAsia="宋体"/>
                <w:b w:val="false"/>
              </w:rPr>
              <w:t>报告期末持有基金情况</w:t>
            </w:r>
          </w:p>
        </w:tc>
        <w:tc>
          <w:tcPr>
            <w:hMerge w:val="continue"/>
          </w:tcPr>
          <w:p/>
        </w:tc>
      </w:tr>
      <w:tr>
        <w:tc>
          <w:tcPr>
            <w:vMerge w:val="continue"/>
          </w:tcPr>
          <w:p/>
        </w:tc>
        <w:tc>
          <w:tcPr>
            <w:tcW w:type="pct" w:w="269"/>
            <w:vAlign w:val="center"/>
          </w:tcPr>
          <w:tcPr>
            <w:shd w:fill="d9d9d9"/>
          </w:tcPr>
          <w:p>
            <w:pPr>
              <w:spacing w:line="240" w:lineRule="auto"/>
              <w:jc w:val="center"/>
            </w:pPr>
            <w:r>
              <w:rPr>
                <w:rFonts w:ascii="宋体" w:hAnsi="宋体" w:cs="宋体" w:eastAsia="宋体"/>
                <w:b w:val="false"/>
              </w:rPr>
              <w:t>序号</w:t>
            </w:r>
          </w:p>
        </w:tc>
        <w:tc>
          <w:tcPr>
            <w:tcW w:type="pct" w:w="1346"/>
            <w:vAlign w:val="center"/>
          </w:tcPr>
          <w:tcPr>
            <w:shd w:fill="d9d9d9"/>
          </w:tcPr>
          <w:p>
            <w:pPr>
              <w:spacing w:line="240" w:lineRule="auto"/>
              <w:jc w:val="center"/>
            </w:pPr>
            <w:r>
              <w:rPr>
                <w:rFonts w:ascii="宋体" w:hAnsi="宋体" w:cs="宋体" w:eastAsia="宋体"/>
                <w:b w:val="false"/>
              </w:rPr>
              <w:t>持有基金份额比例达到或者超过20%的时间区间</w:t>
            </w:r>
          </w:p>
        </w:tc>
        <w:tc>
          <w:tcPr>
            <w:tcW w:type="pct" w:w="615"/>
            <w:vAlign w:val="center"/>
          </w:tcPr>
          <w:tcPr>
            <w:shd w:fill="d9d9d9"/>
          </w:tcPr>
          <w:p>
            <w:pPr>
              <w:spacing w:line="240" w:lineRule="auto"/>
              <w:jc w:val="center"/>
            </w:pPr>
            <w:r>
              <w:rPr>
                <w:rFonts w:ascii="宋体" w:hAnsi="宋体" w:cs="宋体" w:eastAsia="宋体"/>
                <w:b w:val="false"/>
              </w:rPr>
              <w:t>期初份额</w:t>
            </w:r>
          </w:p>
        </w:tc>
        <w:tc>
          <w:tcPr>
            <w:tcW w:type="pct" w:w="615"/>
            <w:vAlign w:val="center"/>
          </w:tcPr>
          <w:tcPr>
            <w:shd w:fill="d9d9d9"/>
          </w:tcPr>
          <w:p>
            <w:pPr>
              <w:spacing w:line="240" w:lineRule="auto"/>
              <w:jc w:val="center"/>
            </w:pPr>
            <w:r>
              <w:rPr>
                <w:rFonts w:ascii="宋体" w:hAnsi="宋体" w:cs="宋体" w:eastAsia="宋体"/>
                <w:b w:val="false"/>
              </w:rPr>
              <w:t>申购份额</w:t>
            </w:r>
          </w:p>
        </w:tc>
        <w:tc>
          <w:tcPr>
            <w:tcW w:type="pct" w:w="615"/>
            <w:vAlign w:val="center"/>
          </w:tcPr>
          <w:tcPr>
            <w:shd w:fill="d9d9d9"/>
          </w:tcPr>
          <w:p>
            <w:pPr>
              <w:spacing w:line="240" w:lineRule="auto"/>
              <w:jc w:val="center"/>
            </w:pPr>
            <w:r>
              <w:rPr>
                <w:rFonts w:ascii="宋体" w:hAnsi="宋体" w:cs="宋体" w:eastAsia="宋体"/>
                <w:b w:val="false"/>
              </w:rPr>
              <w:t>赎回份额</w:t>
            </w:r>
          </w:p>
        </w:tc>
        <w:tc>
          <w:tcPr>
            <w:tcW w:type="pct" w:w="615"/>
            <w:vAlign w:val="center"/>
          </w:tcPr>
          <w:tcPr>
            <w:shd w:fill="d9d9d9"/>
          </w:tcPr>
          <w:p>
            <w:pPr>
              <w:spacing w:line="240" w:lineRule="auto"/>
              <w:jc w:val="center"/>
            </w:pPr>
            <w:r>
              <w:rPr>
                <w:rFonts w:ascii="宋体" w:hAnsi="宋体" w:cs="宋体" w:eastAsia="宋体"/>
                <w:b w:val="false"/>
              </w:rPr>
              <w:t>持有份额</w:t>
            </w:r>
          </w:p>
        </w:tc>
        <w:tc>
          <w:tcPr>
            <w:tcW w:type="pct" w:w="538"/>
            <w:vAlign w:val="center"/>
          </w:tcPr>
          <w:tcPr>
            <w:shd w:fill="d9d9d9"/>
          </w:tcPr>
          <w:p>
            <w:pPr>
              <w:spacing w:line="240" w:lineRule="auto"/>
              <w:jc w:val="center"/>
            </w:pPr>
            <w:r>
              <w:rPr>
                <w:rFonts w:ascii="宋体" w:hAnsi="宋体" w:cs="宋体" w:eastAsia="宋体"/>
                <w:b w:val="false"/>
              </w:rPr>
              <w:t>份额占比</w:t>
            </w:r>
          </w:p>
        </w:tc>
      </w:tr>
      <w:tr>
        <w:tc>
          <w:tcPr>
            <w:tcW/>
            <w:vMerge w:val="restart"/>
            <w:vAlign w:val="center"/>
          </w:tcPr>
          <w:p>
            <w:pPr>
              <w:spacing w:line="240" w:lineRule="auto"/>
              <w:jc w:val="center"/>
            </w:pPr>
            <w:r>
              <w:rPr>
                <w:rFonts w:ascii="宋体" w:hAnsi="宋体" w:cs="宋体" w:eastAsia="宋体"/>
                <w:b w:val="false"/>
              </w:rPr>
              <w:t>机构</w:t>
            </w:r>
          </w:p>
        </w:tc>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center"/>
            </w:pPr>
            <w:r>
              <w:rPr>
                <w:rFonts w:ascii="宋体" w:hAnsi="宋体" w:cs="宋体" w:eastAsia="宋体"/>
                <w:b w:val="false"/>
              </w:rPr>
              <w:t>2025年08月28日-2025年09月01日、</w:t>
              <w:br/>
            </w:r>
            <w:r>
              <w:rPr>
                <w:rFonts w:ascii="宋体" w:hAnsi="宋体" w:cs="宋体" w:eastAsia="宋体"/>
                <w:b w:val="false"/>
              </w:rPr>
              <w:t>2025年09月05日-2025年09月11日</w:t>
            </w:r>
          </w:p>
        </w:tc>
        <w:tc>
          <w:tcPr>
            <w:tcW/>
            <w:vAlign w:val="center"/>
          </w:tcPr>
          <w:p>
            <w:pPr>
              <w:spacing w:line="240" w:lineRule="auto"/>
              <w:jc w:val="right"/>
            </w:pPr>
            <w:r>
              <w:rPr>
                <w:rFonts w:ascii="宋体" w:hAnsi="宋体" w:cs="宋体" w:eastAsia="宋体"/>
                <w:b w:val="false"/>
              </w:rPr>
              <w:t>29,105,817.36</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20,000,000.00</w:t>
            </w:r>
          </w:p>
        </w:tc>
        <w:tc>
          <w:tcPr>
            <w:tcW/>
            <w:vAlign w:val="center"/>
          </w:tcPr>
          <w:p>
            <w:pPr>
              <w:spacing w:line="240" w:lineRule="auto"/>
              <w:jc w:val="right"/>
            </w:pPr>
            <w:r>
              <w:rPr>
                <w:rFonts w:ascii="宋体" w:hAnsi="宋体" w:cs="宋体" w:eastAsia="宋体"/>
                <w:b w:val="false"/>
              </w:rPr>
              <w:t>9,105,817.36</w:t>
            </w:r>
          </w:p>
        </w:tc>
        <w:tc>
          <w:tcPr>
            <w:tcW/>
            <w:vAlign w:val="center"/>
          </w:tcPr>
          <w:p>
            <w:pPr>
              <w:spacing w:line="240" w:lineRule="auto"/>
              <w:jc w:val="right"/>
            </w:pPr>
            <w:r>
              <w:rPr>
                <w:rFonts w:ascii="宋体" w:hAnsi="宋体" w:cs="宋体" w:eastAsia="宋体"/>
                <w:b w:val="false"/>
              </w:rPr>
              <w:t>6.93%</w:t>
            </w:r>
          </w:p>
        </w:tc>
      </w:tr>
      <w:tr>
        <w:tc>
          <w:tcPr>
            <w:vMerge w:val="continue"/>
          </w:tcPr>
          <w:p/>
        </w:tc>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center"/>
            </w:pPr>
            <w:r>
              <w:rPr>
                <w:rFonts w:ascii="宋体" w:hAnsi="宋体" w:cs="宋体" w:eastAsia="宋体"/>
                <w:b w:val="false"/>
              </w:rPr>
              <w:t>2025年07月01日-2025年07月08日</w:t>
            </w:r>
          </w:p>
        </w:tc>
        <w:tc>
          <w:tcPr>
            <w:tcW/>
            <w:vAlign w:val="center"/>
          </w:tcPr>
          <w:p>
            <w:pPr>
              <w:spacing w:line="240" w:lineRule="auto"/>
              <w:jc w:val="right"/>
            </w:pPr>
            <w:r>
              <w:rPr>
                <w:rFonts w:ascii="宋体" w:hAnsi="宋体" w:cs="宋体" w:eastAsia="宋体"/>
                <w:b w:val="false"/>
              </w:rPr>
              <w:t>31,094,752.31</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8,907,309.20</w:t>
            </w:r>
          </w:p>
        </w:tc>
        <w:tc>
          <w:tcPr>
            <w:tcW/>
            <w:vAlign w:val="center"/>
          </w:tcPr>
          <w:p>
            <w:pPr>
              <w:spacing w:line="240" w:lineRule="auto"/>
              <w:jc w:val="right"/>
            </w:pPr>
            <w:r>
              <w:rPr>
                <w:rFonts w:ascii="宋体" w:hAnsi="宋体" w:cs="宋体" w:eastAsia="宋体"/>
                <w:b w:val="false"/>
              </w:rPr>
              <w:t>22,187,443.11</w:t>
            </w:r>
          </w:p>
        </w:tc>
        <w:tc>
          <w:tcPr>
            <w:tcW/>
            <w:vAlign w:val="center"/>
          </w:tcPr>
          <w:p>
            <w:pPr>
              <w:spacing w:line="240" w:lineRule="auto"/>
              <w:jc w:val="right"/>
            </w:pPr>
            <w:r>
              <w:rPr>
                <w:rFonts w:ascii="宋体" w:hAnsi="宋体" w:cs="宋体" w:eastAsia="宋体"/>
                <w:b w:val="false"/>
              </w:rPr>
              <w:t>16.89%</w:t>
            </w:r>
          </w:p>
        </w:tc>
      </w:tr>
      <w:tr>
        <w:tc>
          <w:tcPr>
            <w:tcW/>
            <w:hMerge w:val="restart"/>
            <w:vAlign w:val="center"/>
          </w:tcPr>
          <w:p>
            <w:pPr>
              <w:spacing w:line="240" w:lineRule="auto"/>
              <w:jc w:val="center"/>
            </w:pPr>
            <w:r>
              <w:rPr>
                <w:rFonts w:ascii="宋体" w:hAnsi="宋体" w:cs="宋体" w:eastAsia="宋体"/>
                <w:b w:val="false"/>
              </w:rPr>
              <w:t>产品特有风险</w:t>
            </w: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r>
      <w:tr>
        <w:tc>
          <w:tcPr>
            <w:tcW/>
            <w:hMerge w:val="restart"/>
            <w:vAlign w:val="center"/>
          </w:tcPr>
          <w:p>
            <w:pPr>
              <w:spacing w:line="240" w:lineRule="auto"/>
              <w:jc w:val="left"/>
            </w:pPr>
            <w:r>
              <w:rPr>
                <w:rFonts w:ascii="宋体" w:hAnsi="宋体" w:cs="宋体" w:eastAsia="宋体"/>
                <w:b w:val="false"/>
              </w:rPr>
              <w:t xml:space="preserve">    基金管理人秉承谨慎勤勉、独立决策、规范运作、充分披露原则，公平对待投资者，保障投资者合法权益。当单一投资者持有基金份额比例达到或超过20%时，由此可能导致的特有风险主要包括：</w:t>
              <w:br/>
            </w:r>
            <w:r>
              <w:rPr>
                <w:rFonts w:ascii="宋体" w:hAnsi="宋体" w:cs="宋体" w:eastAsia="宋体"/>
                <w:b w:val="false"/>
              </w:rPr>
              <w:t xml:space="preserve">    1、本基金单一投资者所持有的基金份额占比较大，单一投资者的巨额赎回，可能导致基金管理人被迫抛售证券以应付基金赎回的现金需要，对本基金的投资运作及净值表现产生较大影响。</w:t>
              <w:br/>
            </w:r>
            <w:r>
              <w:rPr>
                <w:rFonts w:ascii="宋体" w:hAnsi="宋体" w:cs="宋体" w:eastAsia="宋体"/>
                <w:b w:val="false"/>
              </w:rPr>
              <w:t xml:space="preserve">    2、持有基金份额占比较高的投资者大额赎回时容易造成本基金发生巨额赎回。在发生巨额赎回情形时，在符合基金合同约定情况下，如基金管理人认为有必要，可延期办理本基金的赎回申请，投资者可能面临赎回申请被延期办理的风险；如果连续2个开放日以上（含）发生巨额赎回，基金管理人可能根据《基金合同》的约定暂停接受基金的赎回申请，对剩余投资者的赎回办理造成影响。</w:t>
              <w:br/>
            </w:r>
            <w:r>
              <w:rPr>
                <w:rFonts w:ascii="宋体" w:hAnsi="宋体" w:cs="宋体" w:eastAsia="宋体"/>
                <w:b w:val="false"/>
              </w:rPr>
              <w:t xml:space="preserve">    3、单一投资者巨额赎回可能导致本基金在短时间内无法变现足够的资产予以应对，可能会导致基金仓位调整困难，发生流动性风险。</w:t>
              <w:br/>
            </w:r>
            <w:r>
              <w:rPr>
                <w:rFonts w:ascii="宋体" w:hAnsi="宋体" w:cs="宋体" w:eastAsia="宋体"/>
                <w:b w:val="false"/>
              </w:rPr>
              <w:t xml:space="preserve">    4、持有基金份额占比较高的投资者在召开基金份额持有人大会并对重大事项进行投票表决时，可能拥有较大话语权。</w:t>
              <w:br/>
            </w:r>
            <w:r>
              <w:rPr>
                <w:rFonts w:ascii="宋体" w:hAnsi="宋体" w:cs="宋体" w:eastAsia="宋体"/>
                <w:b w:val="false"/>
              </w:rPr>
              <w:t xml:space="preserve">    5、超出基金管理人允许的单一投资者持有基金份额比例的申购申请不被确认的风险。</w:t>
            </w: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r>
    </w:tbl>
    <w:p/>
    <w:p>
      <w:pPr>
        <w:pStyle w:val="2"/>
        <w:jc w:val="left"/>
      </w:pPr>
      <w:r>
        <w:rPr>
          <w:rFonts w:ascii="宋体" w:hAnsi="宋体" w:cs="宋体" w:eastAsia="宋体"/>
        </w:rPr>
        <w:t>9.2 影响投资者决策的其他重要信息</w:t>
      </w:r>
    </w:p>
    <w:p>
      <w:r>
        <w:rPr>
          <w:rFonts w:ascii="宋体" w:hAnsi="宋体" w:cs="宋体" w:eastAsia="宋体"/>
          <w:b w:val="false"/>
        </w:rPr>
        <w:t xml:space="preserve">    无。</w:t>
      </w:r>
    </w:p>
    <w:p>
      <w:pPr>
        <w:pStyle w:val="1"/>
        <w:jc w:val="center"/>
      </w:pPr>
      <w:r>
        <w:rPr>
          <w:rFonts w:ascii="宋体" w:hAnsi="宋体" w:cs="宋体" w:eastAsia="宋体"/>
        </w:rPr>
        <w:t>§10 备查文件目录</w:t>
      </w:r>
    </w:p>
    <w:p>
      <w:pPr>
        <w:pStyle w:val="2"/>
        <w:jc w:val="left"/>
      </w:pPr>
      <w:r>
        <w:rPr>
          <w:rFonts w:ascii="宋体" w:hAnsi="宋体" w:cs="宋体" w:eastAsia="宋体"/>
        </w:rPr>
        <w:t>10.1 备查文件目录</w:t>
      </w:r>
    </w:p>
    <w:p>
      <w:r>
        <w:rPr>
          <w:rFonts w:ascii="宋体" w:hAnsi="宋体" w:cs="宋体" w:eastAsia="宋体"/>
          <w:b w:val="false"/>
        </w:rPr>
        <w:t xml:space="preserve">    1、中国证券监督管理委员会批准的东方阿尔法医疗健康混合型发起式证券投资基金设立的文件；</w:t>
        <w:cr/>
      </w:r>
      <w:r>
        <w:rPr>
          <w:rFonts w:ascii="宋体" w:hAnsi="宋体" w:cs="宋体" w:eastAsia="宋体"/>
          <w:b w:val="false"/>
        </w:rPr>
        <w:t xml:space="preserve">    2、《东方阿尔法医疗健康混合型发起式证券投资基金基金合同》；</w:t>
        <w:cr/>
      </w:r>
      <w:r>
        <w:rPr>
          <w:rFonts w:ascii="宋体" w:hAnsi="宋体" w:cs="宋体" w:eastAsia="宋体"/>
          <w:b w:val="false"/>
        </w:rPr>
        <w:t xml:space="preserve">    3、《东方阿尔法医疗健康混合型发起式证券投资基金托管协议》；</w:t>
        <w:cr/>
      </w:r>
      <w:r>
        <w:rPr>
          <w:rFonts w:ascii="宋体" w:hAnsi="宋体" w:cs="宋体" w:eastAsia="宋体"/>
          <w:b w:val="false"/>
        </w:rPr>
        <w:t xml:space="preserve">    4、《东方阿尔法医疗健康混合型发起式证券投资基金招募说明书》（含更新）；</w:t>
        <w:cr/>
      </w:r>
      <w:r>
        <w:rPr>
          <w:rFonts w:ascii="宋体" w:hAnsi="宋体" w:cs="宋体" w:eastAsia="宋体"/>
          <w:b w:val="false"/>
        </w:rPr>
        <w:t xml:space="preserve">    5、基金管理人业务资格批件和营业执照。</w:t>
      </w:r>
    </w:p>
    <w:p/>
    <w:p>
      <w:pPr>
        <w:pStyle w:val="2"/>
        <w:jc w:val="left"/>
      </w:pPr>
      <w:r>
        <w:rPr>
          <w:rFonts w:ascii="宋体" w:hAnsi="宋体" w:cs="宋体" w:eastAsia="宋体"/>
        </w:rPr>
        <w:t>10.2 存放地点</w:t>
      </w:r>
    </w:p>
    <w:p>
      <w:r>
        <w:rPr>
          <w:rFonts w:ascii="宋体" w:hAnsi="宋体" w:cs="宋体" w:eastAsia="宋体"/>
          <w:b w:val="false"/>
        </w:rPr>
        <w:t xml:space="preserve">    基金管理人和基金托管人的住所。</w:t>
      </w:r>
    </w:p>
    <w:p/>
    <w:p>
      <w:pPr>
        <w:pStyle w:val="2"/>
        <w:jc w:val="left"/>
      </w:pPr>
      <w:r>
        <w:rPr>
          <w:rFonts w:ascii="宋体" w:hAnsi="宋体" w:cs="宋体" w:eastAsia="宋体"/>
        </w:rPr>
        <w:t>10.3 查阅方式</w:t>
      </w:r>
    </w:p>
    <w:p>
      <w:r>
        <w:rPr>
          <w:rFonts w:ascii="宋体" w:hAnsi="宋体" w:cs="宋体" w:eastAsia="宋体"/>
          <w:b w:val="false"/>
        </w:rPr>
        <w:t xml:space="preserve">    1、投资者可在营业时间免费查阅，也可按工本费购买复印件。</w:t>
        <w:cr/>
      </w:r>
      <w:r>
        <w:rPr>
          <w:rFonts w:ascii="宋体" w:hAnsi="宋体" w:cs="宋体" w:eastAsia="宋体"/>
          <w:b w:val="false"/>
        </w:rPr>
        <w:t xml:space="preserve">    2、投资者对本报告书如有疑问，可咨询本基金管理人东方阿尔法基金管理有限公司，客户服务电话：400-930-6677（免长途话费）。</w:t>
        <w:cr/>
      </w:r>
      <w:r>
        <w:rPr>
          <w:rFonts w:ascii="宋体" w:hAnsi="宋体" w:cs="宋体" w:eastAsia="宋体"/>
          <w:b w:val="false"/>
        </w:rPr>
        <w:t xml:space="preserve">    3、投资者可通过中国证监会基金电子披露网站（http://eid.csrc.gov.cn/fund/）和基金管理人网站（https://www.dfa66.com）查阅本报告书。</w:t>
      </w:r>
    </w:p>
    <w:p/>
    <w:p/>
    <w:p/>
    <w:p>
      <w:pPr>
        <w:jc w:val="right"/>
      </w:pPr>
      <w:r>
        <w:rPr>
          <w:rFonts w:ascii="宋体" w:hAnsi="宋体" w:cs="宋体" w:eastAsia="宋体"/>
          <w:b w:val="true"/>
        </w:rPr>
        <w:t>东方阿尔法基金管理有限公司</w:t>
      </w:r>
    </w:p>
    <w:p>
      <w:pPr>
        <w:jc w:val="right"/>
      </w:pPr>
      <w:r>
        <w:rPr>
          <w:rFonts w:ascii="宋体" w:hAnsi="宋体" w:cs="宋体" w:eastAsia="宋体"/>
          <w:b w:val="true"/>
        </w:rPr>
        <w:t>二〇二五年十月二十五日</w:t>
      </w:r>
    </w:p>
    <w:sectPr w:rsidR="00396EB6" w:rsidSect="000B0ABB">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1C5DF" w14:textId="77777777" w:rsidR="00CF2DE6" w:rsidRDefault="00CF2DE6">
      <w:r>
        <w:separator/>
      </w:r>
    </w:p>
  </w:endnote>
  <w:endnote w:type="continuationSeparator" w:id="0">
    <w:p w14:paraId="7F07E51B" w14:textId="77777777" w:rsidR="00CF2DE6" w:rsidRDefault="00CF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6F2E" w14:textId="77777777" w:rsidR="00210325" w:rsidRDefault="00210325">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10235" w14:textId="1E8BACBC" w:rsidR="00396EB6" w:rsidRPr="00BB3931" w:rsidRDefault="00315609">
    <w:pPr>
      <w:pBdr>
        <w:top w:val="single" w:sz="2" w:space="0" w:color="auto"/>
      </w:pBdr>
      <w:tabs>
        <w:tab w:val="right" w:pos="8640"/>
      </w:tabs>
      <w:jc w:val="center"/>
      <w:textAlignment w:val="center"/>
      <w:rPr>
        <w:rFonts w:ascii="宋体" w:eastAsia="宋体" w:hAnsi="宋体"/>
        <w:sz w:val="20"/>
        <w:szCs w:val="20"/>
      </w:rPr>
    </w:pPr>
    <w:r w:rsidRPr="00BB3931">
      <w:rPr>
        <w:rFonts w:ascii="宋体" w:eastAsia="宋体" w:hAnsi="宋体" w:cs="宋体" w:hint="eastAsia"/>
        <w:sz w:val="20"/>
        <w:szCs w:val="20"/>
        <w:lang w:bidi="ar"/>
      </w:rPr>
      <w:t>第</w:t>
    </w:r>
    <w:r w:rsidRPr="00BB3931">
      <w:rPr>
        <w:rFonts w:ascii="宋体" w:eastAsia="宋体" w:hAnsi="宋体" w:cs="Times New Roman" w:hint="eastAsia"/>
        <w:sz w:val="20"/>
        <w:szCs w:val="20"/>
        <w:lang w:bidi="ar"/>
      </w:rPr>
      <w:fldChar w:fldCharType="begin"/>
    </w:r>
    <w:r w:rsidRPr="00BB3931">
      <w:rPr>
        <w:rFonts w:ascii="宋体" w:eastAsia="宋体" w:hAnsi="宋体" w:cs="宋体" w:hint="eastAsia"/>
        <w:sz w:val="20"/>
        <w:szCs w:val="20"/>
        <w:lang w:bidi="ar"/>
      </w:rPr>
      <w:instrText>PAGE  \* MERGEFORMAT</w:instrText>
    </w:r>
    <w:r w:rsidRPr="00BB3931">
      <w:rPr>
        <w:rFonts w:ascii="宋体" w:eastAsia="宋体" w:hAnsi="宋体" w:cs="Times New Roman" w:hint="eastAsia"/>
        <w:sz w:val="20"/>
        <w:szCs w:val="20"/>
        <w:lang w:bidi="ar"/>
      </w:rPr>
      <w:fldChar w:fldCharType="separate"/>
    </w:r>
    <w:r w:rsidR="00421707" w:rsidRPr="00BB3931">
      <w:rPr>
        <w:rFonts w:ascii="宋体" w:eastAsia="宋体" w:hAnsi="宋体" w:cs="宋体"/>
        <w:noProof/>
        <w:sz w:val="20"/>
        <w:szCs w:val="20"/>
        <w:lang w:bidi="ar"/>
      </w:rPr>
      <w:t>2</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r w:rsidR="00FA6399" w:rsidRPr="00BB3931">
      <w:rPr>
        <w:rFonts w:ascii="宋体" w:eastAsia="宋体" w:hAnsi="宋体" w:cs="宋体" w:hint="eastAsia"/>
        <w:sz w:val="20"/>
        <w:szCs w:val="20"/>
        <w:lang w:bidi="ar"/>
      </w:rPr>
      <w:t>，</w:t>
    </w:r>
    <w:r w:rsidRPr="00BB3931">
      <w:rPr>
        <w:rFonts w:ascii="宋体" w:eastAsia="宋体" w:hAnsi="宋体" w:cs="宋体" w:hint="eastAsia"/>
        <w:sz w:val="20"/>
        <w:szCs w:val="20"/>
        <w:lang w:bidi="ar"/>
      </w:rPr>
      <w:t>共</w:t>
    </w:r>
    <w:r w:rsidRPr="00BB3931">
      <w:rPr>
        <w:rFonts w:ascii="宋体" w:eastAsia="宋体" w:hAnsi="宋体" w:cs="Times New Roman" w:hint="eastAsia"/>
        <w:sz w:val="20"/>
        <w:szCs w:val="20"/>
        <w:lang w:bidi="ar"/>
      </w:rPr>
      <w:fldChar w:fldCharType="begin"/>
    </w:r>
    <w:r w:rsidR="00210325" w:rsidRPr="00BB3931">
      <w:rPr>
        <w:rFonts w:ascii="宋体" w:eastAsia="宋体" w:hAnsi="宋体" w:cs="Times New Roman"/>
        <w:sz w:val="20"/>
        <w:szCs w:val="20"/>
        <w:lang w:bidi="ar"/>
      </w:rPr>
      <w:instrText>=</w:instrText>
    </w:r>
    <w:r w:rsidR="00210325" w:rsidRPr="00BB3931">
      <w:rPr>
        <w:rFonts w:ascii="宋体" w:eastAsia="宋体" w:hAnsi="宋体" w:cs="宋体"/>
        <w:sz w:val="20"/>
        <w:szCs w:val="20"/>
        <w:lang w:bidi="ar"/>
      </w:rPr>
      <w:fldChar w:fldCharType="begin"/>
    </w:r>
    <w:r w:rsidR="00210325" w:rsidRPr="00BB3931">
      <w:rPr>
        <w:rFonts w:ascii="宋体" w:eastAsia="宋体" w:hAnsi="宋体" w:cs="宋体"/>
        <w:sz w:val="20"/>
        <w:szCs w:val="20"/>
        <w:lang w:bidi="ar"/>
      </w:rPr>
      <w:instrText xml:space="preserve"> </w:instrText>
    </w:r>
    <w:r w:rsidRPr="00BB3931">
      <w:rPr>
        <w:rFonts w:ascii="宋体" w:eastAsia="宋体" w:hAnsi="宋体" w:cs="宋体" w:hint="eastAsia"/>
        <w:sz w:val="20"/>
        <w:szCs w:val="20"/>
        <w:lang w:bidi="ar"/>
      </w:rPr>
      <w:instrText>NUMPAGES</w:instrText>
    </w:r>
    <w:r w:rsidR="00210325" w:rsidRPr="00BB3931">
      <w:rPr>
        <w:rFonts w:ascii="宋体" w:eastAsia="宋体" w:hAnsi="宋体" w:cs="宋体"/>
        <w:sz w:val="20"/>
        <w:szCs w:val="20"/>
        <w:lang w:bidi="ar"/>
      </w:rPr>
      <w:instrText xml:space="preserve"> </w:instrText>
    </w:r>
    <w:r w:rsidR="00210325" w:rsidRPr="00BB3931">
      <w:rPr>
        <w:rFonts w:ascii="宋体" w:eastAsia="宋体" w:hAnsi="宋体" w:cs="宋体"/>
        <w:sz w:val="20"/>
        <w:szCs w:val="20"/>
        <w:lang w:bidi="ar"/>
      </w:rPr>
      <w:fldChar w:fldCharType="separate"/>
    </w:r>
    <w:r w:rsidR="00F07C93">
      <w:rPr>
        <w:rFonts w:ascii="宋体" w:eastAsia="宋体" w:hAnsi="宋体" w:cs="宋体"/>
        <w:noProof/>
        <w:sz w:val="20"/>
        <w:szCs w:val="20"/>
        <w:lang w:bidi="ar"/>
      </w:rPr>
      <w:instrText>2</w:instrText>
    </w:r>
    <w:r w:rsidR="00210325" w:rsidRPr="00BB3931">
      <w:rPr>
        <w:rFonts w:ascii="宋体" w:eastAsia="宋体" w:hAnsi="宋体" w:cs="宋体"/>
        <w:sz w:val="20"/>
        <w:szCs w:val="20"/>
        <w:lang w:bidi="ar"/>
      </w:rPr>
      <w:fldChar w:fldCharType="end"/>
    </w:r>
    <w:r w:rsidR="00210325" w:rsidRPr="00BB3931">
      <w:rPr>
        <w:rFonts w:ascii="宋体" w:eastAsia="宋体" w:hAnsi="宋体" w:cs="宋体"/>
        <w:sz w:val="20"/>
        <w:szCs w:val="20"/>
        <w:lang w:bidi="ar"/>
      </w:rPr>
      <w:instrText>-1</w:instrText>
    </w:r>
    <w:r w:rsidRPr="00BB3931">
      <w:rPr>
        <w:rFonts w:ascii="宋体" w:eastAsia="宋体" w:hAnsi="宋体" w:cs="Times New Roman" w:hint="eastAsia"/>
        <w:sz w:val="20"/>
        <w:szCs w:val="20"/>
        <w:lang w:bidi="ar"/>
      </w:rPr>
      <w:fldChar w:fldCharType="separate"/>
    </w:r>
    <w:r w:rsidR="00F07C93">
      <w:rPr>
        <w:rFonts w:ascii="宋体" w:eastAsia="宋体" w:hAnsi="宋体" w:cs="Times New Roman"/>
        <w:noProof/>
        <w:sz w:val="20"/>
        <w:szCs w:val="20"/>
        <w:lang w:bidi="ar"/>
      </w:rPr>
      <w:t>1</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4EC9" w14:textId="77777777" w:rsidR="00210325" w:rsidRDefault="0021032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A83EB" w14:textId="77777777" w:rsidR="00CF2DE6" w:rsidRDefault="00CF2DE6">
      <w:r>
        <w:separator/>
      </w:r>
    </w:p>
  </w:footnote>
  <w:footnote w:type="continuationSeparator" w:id="0">
    <w:p w14:paraId="6110B940" w14:textId="77777777" w:rsidR="00CF2DE6" w:rsidRDefault="00CF2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B55B" w14:textId="77777777" w:rsidR="00210325" w:rsidRDefault="00210325">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8A64" w14:textId="77777777" w:rsidR="00396EB6" w:rsidRPr="00A53CFE" w:rsidRDefault="00315609">
    <w:pPr>
      <w:pStyle w:val="af1"/>
      <w:pBdr>
        <w:bottom w:val="single" w:sz="4" w:space="1" w:color="auto"/>
      </w:pBdr>
      <w:jc w:val="right"/>
      <w:rPr>
        <w:rFonts w:ascii="宋体" w:eastAsia="宋体" w:hAnsi="宋体"/>
      </w:rPr>
    </w:pPr>
    <w:r w:rsidRPr="00A53CFE">
      <w:rPr>
        <w:rFonts w:ascii="宋体" w:eastAsia="宋体" w:hAnsi="宋体" w:hint="eastAsia"/>
        <w:sz w:val="18"/>
      </w:rPr>
      <w:t>东方阿尔法医疗健康混合型发起式证券投资基金2025年第3季度报告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E7EB" w14:textId="77777777" w:rsidR="00210325" w:rsidRDefault="00210325">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FFCBC"/>
  <w15:docId w15:val="{D89B03D2-9D7D-433E-9AEE-2EA6D7CF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0"/>
    <w:uiPriority w:val="9"/>
    <w:qFormat/>
    <w:rsid w:val="001B05B3"/>
    <w:pPr>
      <w:spacing w:before="340" w:after="330" w:line="576" w:lineRule="auto"/>
      <w:jc w:val="center"/>
      <w:outlineLvl w:val="0"/>
    </w:pPr>
    <w:rPr>
      <w:b/>
      <w:bCs/>
      <w:kern w:val="44"/>
      <w:sz w:val="24"/>
      <w:szCs w:val="44"/>
    </w:rPr>
  </w:style>
  <w:style w:type="paragraph" w:styleId="2">
    <w:name w:val="heading 2"/>
    <w:aliases w:val="2"/>
    <w:basedOn w:val="a"/>
    <w:next w:val="a"/>
    <w:link w:val="20"/>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0"/>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0"/>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0">
    <w:name w:val="标题 1 字符"/>
    <w:aliases w:val="1 字符"/>
    <w:basedOn w:val="a0"/>
    <w:link w:val="1"/>
    <w:uiPriority w:val="9"/>
    <w:qFormat/>
    <w:rsid w:val="001B05B3"/>
    <w:rPr>
      <w:rFonts w:eastAsia="宋体"/>
      <w:b/>
      <w:bCs/>
      <w:kern w:val="44"/>
      <w:sz w:val="24"/>
      <w:szCs w:val="44"/>
    </w:rPr>
  </w:style>
  <w:style w:type="character" w:customStyle="1" w:styleId="20">
    <w:name w:val="标题 2 字符"/>
    <w:aliases w:val="2 字符"/>
    <w:basedOn w:val="a0"/>
    <w:link w:val="2"/>
    <w:uiPriority w:val="9"/>
    <w:rsid w:val="00A5263B"/>
    <w:rPr>
      <w:rFonts w:asciiTheme="majorHAnsi" w:eastAsia="宋体" w:hAnsiTheme="majorHAnsi" w:cstheme="majorBidi"/>
      <w:b/>
      <w:bCs/>
      <w:sz w:val="24"/>
      <w:szCs w:val="32"/>
    </w:rPr>
  </w:style>
  <w:style w:type="character" w:customStyle="1" w:styleId="30">
    <w:name w:val="标题 3 字符"/>
    <w:aliases w:val="3 字符"/>
    <w:basedOn w:val="a0"/>
    <w:link w:val="3"/>
    <w:uiPriority w:val="9"/>
    <w:rsid w:val="00A5263B"/>
    <w:rPr>
      <w:rFonts w:eastAsia="宋体"/>
      <w:b/>
      <w:bCs/>
      <w:sz w:val="24"/>
      <w:szCs w:val="32"/>
    </w:rPr>
  </w:style>
  <w:style w:type="character" w:customStyle="1" w:styleId="40">
    <w:name w:val="标题 4 字符"/>
    <w:basedOn w:val="a0"/>
    <w:link w:val="4"/>
    <w:uiPriority w:val="9"/>
    <w:semiHidden/>
    <w:rsid w:val="004A5321"/>
    <w:rPr>
      <w:rFonts w:asciiTheme="majorHAnsi" w:eastAsiaTheme="majorEastAsia" w:hAnsiTheme="majorHAnsi" w:cstheme="majorBidi"/>
      <w:b/>
      <w:bCs/>
      <w:sz w:val="28"/>
      <w:szCs w:val="28"/>
    </w:rPr>
  </w:style>
  <w:style w:type="paragraph" w:styleId="11">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21">
    <w:name w:val="toc 2"/>
    <w:basedOn w:val="a"/>
    <w:next w:val="a"/>
    <w:autoRedefine/>
    <w:uiPriority w:val="39"/>
    <w:unhideWhenUsed/>
    <w:rsid w:val="002E045B"/>
    <w:pPr>
      <w:spacing w:line="240" w:lineRule="auto"/>
      <w:ind w:left="210"/>
      <w:jc w:val="left"/>
    </w:pPr>
    <w:rPr>
      <w:smallCaps/>
      <w:szCs w:val="20"/>
    </w:rPr>
  </w:style>
  <w:style w:type="paragraph" w:styleId="31">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a5"/>
    <w:uiPriority w:val="99"/>
    <w:semiHidden/>
    <w:unhideWhenUsed/>
    <w:rsid w:val="004A5321"/>
    <w:pPr>
      <w:ind w:firstLineChars="200" w:firstLine="420"/>
    </w:pPr>
  </w:style>
  <w:style w:type="character" w:customStyle="1" w:styleId="a5">
    <w:name w:val="正文缩进 字符"/>
    <w:link w:val="a4"/>
    <w:uiPriority w:val="99"/>
    <w:semiHidden/>
    <w:qFormat/>
    <w:rsid w:val="004A5321"/>
    <w:rPr>
      <w:rFonts w:asciiTheme="minorHAnsi" w:eastAsiaTheme="minorEastAsia" w:hAnsiTheme="minorHAnsi" w:cstheme="minorBidi"/>
      <w:sz w:val="21"/>
      <w:szCs w:val="22"/>
    </w:rPr>
  </w:style>
  <w:style w:type="paragraph" w:styleId="a6">
    <w:name w:val="annotation text"/>
    <w:basedOn w:val="a"/>
    <w:link w:val="a7"/>
    <w:uiPriority w:val="99"/>
    <w:semiHidden/>
    <w:unhideWhenUsed/>
    <w:rsid w:val="004A5321"/>
    <w:pPr>
      <w:jc w:val="left"/>
    </w:pPr>
  </w:style>
  <w:style w:type="character" w:customStyle="1" w:styleId="a7">
    <w:name w:val="批注文字 字符"/>
    <w:basedOn w:val="a0"/>
    <w:link w:val="a6"/>
    <w:uiPriority w:val="99"/>
    <w:semiHidden/>
    <w:rsid w:val="004A5321"/>
    <w:rPr>
      <w:rFonts w:asciiTheme="minorHAnsi" w:eastAsiaTheme="minorEastAsia" w:hAnsiTheme="minorHAnsi" w:cstheme="minorBidi"/>
      <w:sz w:val="21"/>
      <w:szCs w:val="22"/>
    </w:rPr>
  </w:style>
  <w:style w:type="paragraph" w:styleId="a8">
    <w:name w:val="header"/>
    <w:basedOn w:val="a"/>
    <w:link w:val="a9"/>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A5321"/>
    <w:rPr>
      <w:rFonts w:asciiTheme="minorHAnsi" w:eastAsiaTheme="minorEastAsia" w:hAnsiTheme="minorHAnsi" w:cstheme="minorBidi"/>
      <w:sz w:val="18"/>
      <w:szCs w:val="18"/>
    </w:rPr>
  </w:style>
  <w:style w:type="paragraph" w:styleId="aa">
    <w:name w:val="footer"/>
    <w:basedOn w:val="a"/>
    <w:link w:val="ab"/>
    <w:uiPriority w:val="99"/>
    <w:unhideWhenUsed/>
    <w:rsid w:val="004A5321"/>
    <w:pPr>
      <w:tabs>
        <w:tab w:val="center" w:pos="4153"/>
        <w:tab w:val="right" w:pos="8306"/>
      </w:tabs>
      <w:snapToGrid w:val="0"/>
      <w:jc w:val="left"/>
    </w:pPr>
    <w:rPr>
      <w:sz w:val="18"/>
      <w:szCs w:val="18"/>
    </w:rPr>
  </w:style>
  <w:style w:type="character" w:customStyle="1" w:styleId="ab">
    <w:name w:val="页脚 字符"/>
    <w:basedOn w:val="a0"/>
    <w:link w:val="aa"/>
    <w:uiPriority w:val="99"/>
    <w:rsid w:val="004A5321"/>
    <w:rPr>
      <w:rFonts w:asciiTheme="minorHAnsi" w:eastAsiaTheme="minorEastAsia" w:hAnsiTheme="minorHAnsi" w:cstheme="minorBidi"/>
      <w:sz w:val="18"/>
      <w:szCs w:val="18"/>
    </w:rPr>
  </w:style>
  <w:style w:type="character" w:styleId="ac">
    <w:name w:val="annotation reference"/>
    <w:basedOn w:val="a0"/>
    <w:uiPriority w:val="99"/>
    <w:semiHidden/>
    <w:unhideWhenUsed/>
    <w:rsid w:val="004A5321"/>
    <w:rPr>
      <w:sz w:val="21"/>
      <w:szCs w:val="21"/>
    </w:rPr>
  </w:style>
  <w:style w:type="paragraph" w:styleId="ad">
    <w:name w:val="Body Text"/>
    <w:basedOn w:val="a"/>
    <w:link w:val="ae"/>
    <w:uiPriority w:val="99"/>
    <w:semiHidden/>
    <w:unhideWhenUsed/>
    <w:rsid w:val="004A5321"/>
    <w:pPr>
      <w:spacing w:after="120"/>
    </w:pPr>
  </w:style>
  <w:style w:type="character" w:customStyle="1" w:styleId="ae">
    <w:name w:val="正文文本 字符"/>
    <w:basedOn w:val="a0"/>
    <w:link w:val="ad"/>
    <w:uiPriority w:val="99"/>
    <w:semiHidden/>
    <w:rsid w:val="004A5321"/>
    <w:rPr>
      <w:rFonts w:asciiTheme="minorHAnsi" w:eastAsiaTheme="minorEastAsia" w:hAnsiTheme="minorHAnsi" w:cstheme="minorBidi"/>
      <w:sz w:val="21"/>
      <w:szCs w:val="22"/>
    </w:rPr>
  </w:style>
  <w:style w:type="paragraph" w:styleId="af">
    <w:name w:val="Date"/>
    <w:basedOn w:val="a"/>
    <w:next w:val="a"/>
    <w:link w:val="af0"/>
    <w:uiPriority w:val="99"/>
    <w:semiHidden/>
    <w:unhideWhenUsed/>
    <w:rsid w:val="004A5321"/>
    <w:pPr>
      <w:ind w:leftChars="2500" w:left="100"/>
    </w:pPr>
  </w:style>
  <w:style w:type="character" w:customStyle="1" w:styleId="af0">
    <w:name w:val="日期 字符"/>
    <w:basedOn w:val="a0"/>
    <w:link w:val="af"/>
    <w:uiPriority w:val="99"/>
    <w:semiHidden/>
    <w:rsid w:val="004A5321"/>
    <w:rPr>
      <w:rFonts w:asciiTheme="minorHAnsi" w:eastAsiaTheme="minorEastAsia" w:hAnsiTheme="minorHAnsi" w:cstheme="minorBidi"/>
      <w:sz w:val="21"/>
      <w:szCs w:val="22"/>
    </w:rPr>
  </w:style>
  <w:style w:type="character" w:styleId="af1">
    <w:name w:val="Hyperlink"/>
    <w:basedOn w:val="a0"/>
    <w:uiPriority w:val="99"/>
    <w:unhideWhenUsed/>
    <w:rsid w:val="004A5321"/>
    <w:rPr>
      <w:color w:val="0000FF"/>
      <w:u w:val="single"/>
    </w:rPr>
  </w:style>
  <w:style w:type="character" w:styleId="af2">
    <w:name w:val="Strong"/>
    <w:basedOn w:val="a0"/>
    <w:uiPriority w:val="22"/>
    <w:qFormat/>
    <w:rsid w:val="004A5321"/>
    <w:rPr>
      <w:b/>
      <w:bCs/>
    </w:rPr>
  </w:style>
  <w:style w:type="paragraph" w:styleId="af3">
    <w:name w:val="Plain Text"/>
    <w:basedOn w:val="a"/>
    <w:link w:val="af4"/>
    <w:uiPriority w:val="99"/>
    <w:semiHidden/>
    <w:unhideWhenUsed/>
    <w:rsid w:val="004A5321"/>
    <w:rPr>
      <w:rFonts w:asciiTheme="minorEastAsia" w:hAnsi="Courier New" w:cs="Courier New"/>
    </w:rPr>
  </w:style>
  <w:style w:type="character" w:customStyle="1" w:styleId="af4">
    <w:name w:val="纯文本 字符"/>
    <w:basedOn w:val="a0"/>
    <w:link w:val="af3"/>
    <w:uiPriority w:val="99"/>
    <w:semiHidden/>
    <w:rsid w:val="004A5321"/>
    <w:rPr>
      <w:rFonts w:asciiTheme="minorEastAsia" w:eastAsiaTheme="minorEastAsia" w:hAnsi="Courier New" w:cs="Courier New"/>
      <w:sz w:val="21"/>
      <w:szCs w:val="22"/>
    </w:rPr>
  </w:style>
  <w:style w:type="paragraph" w:styleId="af5">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6">
    <w:name w:val="annotation subject"/>
    <w:basedOn w:val="a6"/>
    <w:next w:val="a6"/>
    <w:link w:val="af7"/>
    <w:uiPriority w:val="99"/>
    <w:semiHidden/>
    <w:unhideWhenUsed/>
    <w:rsid w:val="004A5321"/>
    <w:rPr>
      <w:b/>
      <w:bCs/>
    </w:rPr>
  </w:style>
  <w:style w:type="character" w:customStyle="1" w:styleId="af7">
    <w:name w:val="批注主题 字符"/>
    <w:basedOn w:val="a7"/>
    <w:link w:val="af6"/>
    <w:uiPriority w:val="99"/>
    <w:semiHidden/>
    <w:rsid w:val="004A5321"/>
    <w:rPr>
      <w:rFonts w:asciiTheme="minorHAnsi" w:eastAsiaTheme="minorEastAsia" w:hAnsiTheme="minorHAnsi" w:cstheme="minorBidi"/>
      <w:b/>
      <w:bCs/>
      <w:sz w:val="21"/>
      <w:szCs w:val="22"/>
    </w:rPr>
  </w:style>
  <w:style w:type="paragraph" w:styleId="af8">
    <w:name w:val="Balloon Text"/>
    <w:basedOn w:val="a"/>
    <w:link w:val="af9"/>
    <w:uiPriority w:val="99"/>
    <w:semiHidden/>
    <w:unhideWhenUsed/>
    <w:rsid w:val="004A5321"/>
    <w:rPr>
      <w:sz w:val="18"/>
      <w:szCs w:val="18"/>
    </w:rPr>
  </w:style>
  <w:style w:type="character" w:customStyle="1" w:styleId="af9">
    <w:name w:val="批注框文本 字符"/>
    <w:basedOn w:val="a0"/>
    <w:link w:val="af8"/>
    <w:uiPriority w:val="99"/>
    <w:semiHidden/>
    <w:rsid w:val="004A5321"/>
    <w:rPr>
      <w:rFonts w:asciiTheme="minorHAnsi" w:eastAsiaTheme="minorEastAsia" w:hAnsiTheme="minorHAnsi" w:cstheme="minorBidi"/>
      <w:sz w:val="18"/>
      <w:szCs w:val="18"/>
    </w:rPr>
  </w:style>
  <w:style w:type="table" w:styleId="afa">
    <w:name w:val="Table Grid"/>
    <w:basedOn w:val="a1"/>
    <w:uiPriority w:val="39"/>
    <w:rsid w:val="004A532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b">
    <w:name w:val="List Paragraph"/>
    <w:basedOn w:val="a"/>
    <w:uiPriority w:val="34"/>
    <w:qFormat/>
    <w:rsid w:val="004A5321"/>
    <w:pPr>
      <w:ind w:firstLineChars="200" w:firstLine="420"/>
    </w:pPr>
  </w:style>
  <w:style w:type="paragraph" w:styleId="afc">
    <w:name w:val="Title"/>
    <w:basedOn w:val="a"/>
    <w:next w:val="a"/>
    <w:link w:val="afd"/>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afd">
    <w:name w:val="标题 字符"/>
    <w:basedOn w:val="a0"/>
    <w:link w:val="afc"/>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41">
    <w:name w:val="toc 4"/>
    <w:basedOn w:val="a"/>
    <w:next w:val="a"/>
    <w:autoRedefine/>
    <w:uiPriority w:val="39"/>
    <w:unhideWhenUsed/>
    <w:rsid w:val="001A4FE5"/>
    <w:pPr>
      <w:ind w:left="630"/>
      <w:jc w:val="left"/>
    </w:pPr>
    <w:rPr>
      <w:sz w:val="18"/>
      <w:szCs w:val="18"/>
    </w:rPr>
  </w:style>
  <w:style w:type="paragraph" w:styleId="5">
    <w:name w:val="toc 5"/>
    <w:basedOn w:val="a"/>
    <w:next w:val="a"/>
    <w:autoRedefine/>
    <w:uiPriority w:val="39"/>
    <w:unhideWhenUsed/>
    <w:rsid w:val="001A4FE5"/>
    <w:pPr>
      <w:ind w:left="840"/>
      <w:jc w:val="left"/>
    </w:pPr>
    <w:rPr>
      <w:sz w:val="18"/>
      <w:szCs w:val="18"/>
    </w:rPr>
  </w:style>
  <w:style w:type="paragraph" w:styleId="6">
    <w:name w:val="toc 6"/>
    <w:basedOn w:val="a"/>
    <w:next w:val="a"/>
    <w:autoRedefine/>
    <w:uiPriority w:val="39"/>
    <w:unhideWhenUsed/>
    <w:rsid w:val="001A4FE5"/>
    <w:pPr>
      <w:ind w:left="1050"/>
      <w:jc w:val="left"/>
    </w:pPr>
    <w:rPr>
      <w:sz w:val="18"/>
      <w:szCs w:val="18"/>
    </w:rPr>
  </w:style>
  <w:style w:type="paragraph" w:styleId="7">
    <w:name w:val="toc 7"/>
    <w:basedOn w:val="a"/>
    <w:next w:val="a"/>
    <w:autoRedefine/>
    <w:uiPriority w:val="39"/>
    <w:unhideWhenUsed/>
    <w:rsid w:val="001A4FE5"/>
    <w:pPr>
      <w:ind w:left="1260"/>
      <w:jc w:val="left"/>
    </w:pPr>
    <w:rPr>
      <w:sz w:val="18"/>
      <w:szCs w:val="18"/>
    </w:rPr>
  </w:style>
  <w:style w:type="paragraph" w:styleId="8">
    <w:name w:val="toc 8"/>
    <w:basedOn w:val="a"/>
    <w:next w:val="a"/>
    <w:autoRedefine/>
    <w:uiPriority w:val="39"/>
    <w:unhideWhenUsed/>
    <w:rsid w:val="000160C2"/>
    <w:pPr>
      <w:ind w:left="1470"/>
      <w:jc w:val="left"/>
    </w:pPr>
    <w:rPr>
      <w:rFonts w:eastAsiaTheme="minorHAnsi"/>
      <w:sz w:val="18"/>
      <w:szCs w:val="18"/>
    </w:rPr>
  </w:style>
  <w:style w:type="paragraph" w:styleId="9">
    <w:name w:val="toc 9"/>
    <w:basedOn w:val="a"/>
    <w:next w:val="a"/>
    <w:autoRedefine/>
    <w:uiPriority w:val="39"/>
    <w:unhideWhenUsed/>
    <w:rsid w:val="000160C2"/>
    <w:pPr>
      <w:ind w:left="1680"/>
      <w:jc w:val="left"/>
    </w:pPr>
    <w:rPr>
      <w:rFonts w:eastAsiaTheme="minorHAnsi"/>
      <w:sz w:val="18"/>
      <w:szCs w:val="18"/>
    </w:rPr>
  </w:style>
  <w:style w:type="paragraph" w:styleId="afe">
    <w:name w:val="Document Map"/>
    <w:basedOn w:val="a"/>
    <w:link w:val="aff"/>
    <w:uiPriority w:val="99"/>
    <w:semiHidden/>
    <w:unhideWhenUsed/>
    <w:rsid w:val="001A4FE5"/>
    <w:rPr>
      <w:rFonts w:ascii="宋体"/>
      <w:sz w:val="18"/>
      <w:szCs w:val="18"/>
    </w:rPr>
  </w:style>
  <w:style w:type="character" w:customStyle="1" w:styleId="aff">
    <w:name w:val="文档结构图 字符"/>
    <w:basedOn w:val="a0"/>
    <w:link w:val="afe"/>
    <w:uiPriority w:val="99"/>
    <w:semiHidden/>
    <w:rsid w:val="001A4FE5"/>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media/image1.png" Type="http://schemas.openxmlformats.org/officeDocument/2006/relationships/image"/><Relationship Id="rId17" Target="media/image2.png" Type="http://schemas.openxmlformats.org/officeDocument/2006/relationships/imag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0AC41-F1FC-4D08-9FC0-94272FA53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2020-03-27T02:14:00Z</dcterms:created>
  <cp:lastModifiedBy>李煜</cp:lastModifiedBy>
  <dcterms:modified xsi:type="dcterms:W3CDTF">2024-12-03T03:02:00Z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