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6CD91" w14:textId="77777777" w:rsidR="00033BEA" w:rsidRDefault="00033BEA" w:rsidP="00A76644">
      <w:pPr>
        <w:pStyle w:val="TOC1"/>
        <w:tabs>
          <w:tab w:val="right" w:leader="dot" w:pos="9080"/>
        </w:tabs>
        <w:spacing w:before="72" w:after="120"/>
        <w:jc w:val="center"/>
        <w:rPr>
          <w:rFonts w:ascii="宋体" w:hAnsi="宋体"/>
          <w:b/>
          <w:bCs/>
          <w:sz w:val="24"/>
        </w:rPr>
      </w:pPr>
    </w:p>
    <w:p w14:paraId="52A90100" w14:textId="77777777" w:rsidR="00033BEA" w:rsidRDefault="00033BEA" w:rsidP="00A76644">
      <w:pPr>
        <w:pStyle w:val="TOC1"/>
        <w:tabs>
          <w:tab w:val="right" w:leader="dot" w:pos="9080"/>
        </w:tabs>
        <w:spacing w:before="72" w:after="120"/>
        <w:jc w:val="center"/>
        <w:rPr>
          <w:rFonts w:ascii="宋体" w:hAnsi="宋体"/>
          <w:b/>
          <w:bCs/>
          <w:sz w:val="24"/>
        </w:rPr>
      </w:pPr>
    </w:p>
    <w:p w14:paraId="38984839" w14:textId="77777777" w:rsidR="00396EB6" w:rsidRPr="00421707" w:rsidRDefault="00315609" w:rsidP="001663E4">
      <w:pPr>
        <w:pStyle w:val="TOC1"/>
        <w:tabs>
          <w:tab w:val="right" w:leader="dot" w:pos="9080"/>
        </w:tabs>
        <w:jc w:val="center"/>
        <w:rPr>
          <w:rFonts w:ascii="黑体" w:eastAsia="黑体" w:hAnsi="黑体"/>
          <w:b/>
          <w:bCs/>
          <w:sz w:val="36"/>
          <w:szCs w:val="36"/>
        </w:rPr>
      </w:pPr>
      <w:r w:rsidRPr="00421707">
        <w:rPr>
          <w:rFonts w:ascii="黑体" w:eastAsia="黑体" w:hAnsi="黑体" w:hint="eastAsia"/>
          <w:b/>
          <w:bCs/>
          <w:sz w:val="36"/>
          <w:szCs w:val="36"/>
        </w:rPr>
        <w:t>东方阿尔法优势产业混合型发起式证券投资基金</w:t>
      </w:r>
      <w:proofErr w:type="spellStart"/>
      <w:proofErr w:type="spellEnd"/>
    </w:p>
    <w:p w14:paraId="451789C6" w14:textId="77777777" w:rsidR="00396EB6" w:rsidRPr="00421707" w:rsidRDefault="00315609" w:rsidP="001663E4">
      <w:pPr>
        <w:pStyle w:val="TOC1"/>
        <w:tabs>
          <w:tab w:val="right" w:leader="dot" w:pos="9080"/>
        </w:tabs>
        <w:jc w:val="center"/>
        <w:rPr>
          <w:rFonts w:ascii="黑体" w:eastAsia="黑体" w:hAnsi="黑体"/>
          <w:b/>
          <w:bCs/>
          <w:sz w:val="36"/>
          <w:szCs w:val="36"/>
        </w:rPr>
      </w:pPr>
      <w:r w:rsidRPr="00421707">
        <w:rPr>
          <w:rFonts w:ascii="黑体" w:eastAsia="黑体" w:hAnsi="黑体" w:hint="eastAsia"/>
          <w:b/>
          <w:bCs/>
          <w:sz w:val="36"/>
          <w:szCs w:val="36"/>
        </w:rPr>
        <w:t>2025年第3季度报告</w:t>
      </w:r>
      <w:proofErr w:type="spellStart"/>
      <w:proofErr w:type="spellEnd"/>
    </w:p>
    <w:p w14:paraId="330D4D51" w14:textId="77777777" w:rsidR="00695511" w:rsidRPr="00A76644" w:rsidRDefault="00315609" w:rsidP="00421707">
      <w:pPr>
        <w:pStyle w:val="TOC1"/>
        <w:tabs>
          <w:tab w:val="right" w:leader="dot" w:pos="9080"/>
        </w:tabs>
        <w:spacing w:line="480" w:lineRule="auto"/>
        <w:jc w:val="center"/>
        <w:rPr>
          <w:rFonts w:ascii="宋体" w:eastAsia="宋体" w:hAnsi="宋体" w:cs="宋体"/>
          <w:b/>
          <w:bCs/>
          <w:sz w:val="24"/>
        </w:rPr>
      </w:pPr>
      <w:r>
        <w:rPr>
          <w:rFonts w:ascii="宋体" w:eastAsia="宋体" w:hAnsi="宋体" w:cs="宋体" w:hint="eastAsia"/>
          <w:b/>
          <w:bCs/>
          <w:sz w:val="24"/>
        </w:rPr>
        <w:t>2025年09月30日</w:t>
      </w:r>
      <w:proofErr w:type="spellStart"/>
      <w:proofErr w:type="spellEnd"/>
    </w:p>
    <w:p w14:paraId="205BF4D8"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2CCC2D6"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45B4059"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3BC03714"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580DD332"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256C0706"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3C562D33"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5110C3F6"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B3A8452"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5EF2E9FF"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2807BBEC"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4BC10FDF"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488AAE42"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B4C086D"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7EEBE708"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3B0B08E8" w14:textId="77777777" w:rsidR="00396EB6" w:rsidRDefault="00315609" w:rsidP="00421707">
      <w:pPr>
        <w:pStyle w:val="TOC1"/>
        <w:tabs>
          <w:tab w:val="right" w:leader="dot" w:pos="9080"/>
        </w:tabs>
        <w:spacing w:line="360" w:lineRule="auto"/>
        <w:jc w:val="center"/>
        <w:rPr>
          <w:rFonts w:ascii="宋体" w:eastAsia="宋体" w:hAnsi="宋体" w:cs="宋体"/>
          <w:b/>
          <w:bCs/>
          <w:sz w:val="24"/>
        </w:rPr>
      </w:pPr>
      <w:r>
        <w:rPr>
          <w:rFonts w:ascii="宋体" w:eastAsia="宋体" w:hAnsi="宋体" w:cs="宋体" w:hint="eastAsia"/>
          <w:b/>
          <w:bCs/>
          <w:sz w:val="24"/>
        </w:rPr>
        <w:t>基金管理人:</w:t>
      </w:r>
      <w:proofErr w:type="spellStart"/>
      <w:proofErr w:type="spellEnd"/>
      <w:r>
        <w:rPr>
          <w:rFonts w:ascii="宋体" w:hAnsi="宋体" w:cs="宋体" w:eastAsia="宋体"/>
          <w:b w:val="true"/>
          <w:color w:val=""/>
          <w:sz w:val="24"/>
          <w:u w:val="none"/>
        </w:rPr>
        <w:t>东方阿尔法基金管理有限公司</w:t>
      </w:r>
    </w:p>
    <w:p w14:paraId="31616E72" w14:textId="77777777" w:rsidR="00396EB6" w:rsidRDefault="00315609" w:rsidP="00421707">
      <w:pPr>
        <w:pStyle w:val="TOC1"/>
        <w:tabs>
          <w:tab w:val="right" w:leader="dot" w:pos="9080"/>
        </w:tabs>
        <w:spacing w:line="360" w:lineRule="auto"/>
        <w:jc w:val="center"/>
        <w:rPr>
          <w:rFonts w:ascii="宋体" w:eastAsia="宋体" w:hAnsi="宋体" w:cs="宋体"/>
          <w:b/>
          <w:bCs/>
          <w:sz w:val="24"/>
        </w:rPr>
      </w:pPr>
      <w:r>
        <w:rPr>
          <w:rFonts w:ascii="宋体" w:eastAsia="宋体" w:hAnsi="宋体" w:cs="宋体" w:hint="eastAsia"/>
          <w:b/>
          <w:bCs/>
          <w:sz w:val="24"/>
        </w:rPr>
        <w:t>基金托管人:</w:t>
      </w:r>
      <w:proofErr w:type="spellStart"/>
      <w:proofErr w:type="spellEnd"/>
      <w:r>
        <w:rPr>
          <w:rFonts w:ascii="宋体" w:hAnsi="宋体" w:cs="宋体" w:eastAsia="宋体"/>
          <w:b w:val="true"/>
          <w:color w:val=""/>
          <w:sz w:val="24"/>
          <w:u w:val="none"/>
        </w:rPr>
        <w:t>招商银行股份有限公司</w:t>
      </w:r>
    </w:p>
    <w:p w14:paraId="01D6CDCE" w14:textId="77777777" w:rsidR="00396EB6" w:rsidRDefault="00315609" w:rsidP="00421707">
      <w:pPr>
        <w:pStyle w:val="TOC1"/>
        <w:tabs>
          <w:tab w:val="right" w:leader="dot" w:pos="9080"/>
        </w:tabs>
        <w:spacing w:line="360" w:lineRule="auto"/>
        <w:jc w:val="center"/>
        <w:rPr>
          <w:rFonts w:ascii="宋体" w:eastAsia="宋体" w:hAnsi="宋体" w:cs="宋体"/>
          <w:b/>
          <w:bCs/>
          <w:sz w:val="24"/>
        </w:rPr>
      </w:pPr>
      <w:r>
        <w:rPr>
          <w:rFonts w:ascii="宋体" w:eastAsia="宋体" w:hAnsi="宋体" w:cs="宋体" w:hint="eastAsia"/>
          <w:b/>
          <w:bCs/>
          <w:sz w:val="24"/>
        </w:rPr>
        <w:t>报告送出日期:</w:t>
      </w:r>
      <w:proofErr w:type="spellStart"/>
      <w:proofErr w:type="spellEnd"/>
      <w:r>
        <w:rPr>
          <w:rFonts w:ascii="宋体" w:hAnsi="宋体" w:cs="宋体" w:eastAsia="宋体"/>
          <w:b w:val="true"/>
          <w:color w:val=""/>
          <w:sz w:val="24"/>
          <w:u w:val="none"/>
        </w:rPr>
        <w:t>2025年10月25日</w:t>
      </w:r>
    </w:p>
    <w:p w14:paraId="28A208C4" w14:textId="77777777" w:rsidR="00396EB6" w:rsidRDefault="00315609" w:rsidP="00A76644">
      <w:pPr>
        <w:jc w:val="center"/>
      </w:pPr>
      <w:r>
        <w:br w:type="page"/>
      </w:r>
    </w:p>
    <w:p w14:paraId="6B371222" w14:textId="77777777" w:rsidR="00C370BD" w:rsidRPr="00C370BD" w:rsidRDefault="00C370BD" w:rsidP="00801225">
      <w:pPr>
        <w:pStyle w:val="1"/>
        <w:spacing w:line="576" w:lineRule="auto"/>
        <w:jc w:val="center"/>
        <w:rPr>
          <w:rFonts w:ascii="宋体" w:eastAsia="宋体" w:hAnsi="宋体"/>
          <w:sz w:val="24"/>
          <w:szCs w:val="24"/>
        </w:rPr>
      </w:pPr>
      <w:bookmarkStart w:id="0" w:name="_Toc73379713"/>
      <w:r w:rsidRPr="00C370BD">
        <w:rPr>
          <w:rFonts w:ascii="宋体" w:eastAsia="宋体" w:hAnsi="宋体" w:hint="eastAsia"/>
          <w:bCs w:val="0"/>
          <w:sz w:val="24"/>
          <w:szCs w:val="24"/>
        </w:rPr>
        <w:lastRenderedPageBreak/>
        <w:t>§1 重要提示</w:t>
      </w:r>
      <w:bookmarkEnd w:id="0"/>
    </w:p>
    <w:p w14:paraId="7F352D6E" w14:textId="35951F40" w:rsidR="00F07C93" w:rsidRDefault="00F07C93" w:rsidP="00E67AEA">
      <w:pPr>
        <w:widowControl/>
        <w:rPr>
          <w:rFonts w:ascii="宋体" w:eastAsia="宋体" w:hAnsi="宋体"/>
        </w:rPr>
      </w:pPr>
      <w:r>
        <w:t xml:space="preserve">    基金管理人的董事会及董事保证本报告所载资料不存在虚假记载、误导性陈述或重大遗漏，并对其内容的真实性、准确性和完整性承担个别及连带责任。</w:t>
        <w:cr/>
        <w:t xml:space="preserve">    基金托管人招商银行股份有限公司根据本基金合同规定，于2025年10月24日复核了本报告中的财务指标、净值表现和投资组合报告等内容，保证复核内容不存在虚假记载、误导性陈述或者重大遗漏。</w:t>
        <w:cr/>
        <w:t xml:space="preserve">    基金管理人承诺以诚实信用、勤勉尽责的原则管理和运用基金资产，但不保证基金一定盈利。</w:t>
        <w:cr/>
        <w:t xml:space="preserve">    基金的过往业绩并不代表其未来表现。投资有风险，投资者在做出投资决策前应仔细阅读本基金的招募说明书。</w:t>
        <w:cr/>
        <w:t xml:space="preserve">    本报告中财务资料未经审计。</w:t>
        <w:cr/>
        <w:t xml:space="preserve">    本报告期自2025年07月01日起至2025年09月30日止。</w:t>
      </w:r>
      <w:proofErr w:type="spellStart"/>
      <w:proofErr w:type="spellEnd"/>
    </w:p>
    <w:p/>
    <w:p>
      <w:pPr>
        <w:pStyle w:val="1"/>
        <w:jc w:val="center"/>
      </w:pPr>
      <w:r>
        <w:rPr>
          <w:rFonts w:ascii="宋体" w:hAnsi="宋体" w:cs="宋体" w:eastAsia="宋体"/>
        </w:rPr>
        <w:t>§2 基金产品概况</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1923"/>
            <w:vAlign w:val="center"/>
          </w:tcPr>
          <w:p>
            <w:pPr>
              <w:spacing w:line="240" w:lineRule="auto"/>
              <w:jc w:val="left"/>
            </w:pPr>
            <w:r>
              <w:rPr>
                <w:rFonts w:ascii="宋体" w:hAnsi="宋体" w:cs="宋体" w:eastAsia="宋体"/>
                <w:b w:val="false"/>
              </w:rPr>
              <w:t>基金简称</w:t>
            </w:r>
          </w:p>
        </w:tc>
        <w:tc>
          <w:tcPr>
            <w:tcW w:type="pct" w:w="3077"/>
            <w:hMerge w:val="restart"/>
            <w:vAlign w:val="center"/>
          </w:tcPr>
          <w:p>
            <w:pPr>
              <w:spacing w:line="240" w:lineRule="auto"/>
              <w:jc w:val="left"/>
            </w:pPr>
            <w:r>
              <w:rPr>
                <w:rFonts w:ascii="宋体" w:hAnsi="宋体" w:cs="宋体" w:eastAsia="宋体"/>
                <w:b w:val="false"/>
              </w:rPr>
              <w:t>东方阿尔法优势产业混合</w:t>
            </w:r>
          </w:p>
        </w:tc>
        <w:tc>
          <w:tcPr>
            <w:hMerge w:val="continue"/>
          </w:tcPr>
          <w:p/>
        </w:tc>
      </w:tr>
      <w:tr>
        <w:tc>
          <w:tcPr>
            <w:tcW w:type="pct" w:w="1923"/>
            <w:vAlign w:val="center"/>
          </w:tcPr>
          <w:p>
            <w:pPr>
              <w:spacing w:line="240" w:lineRule="auto"/>
              <w:jc w:val="left"/>
            </w:pPr>
            <w:r>
              <w:rPr>
                <w:rFonts w:ascii="宋体" w:hAnsi="宋体" w:cs="宋体" w:eastAsia="宋体"/>
                <w:b w:val="false"/>
              </w:rPr>
              <w:t>基金主代码</w:t>
            </w:r>
          </w:p>
        </w:tc>
        <w:tc>
          <w:tcPr>
            <w:tcW/>
            <w:hMerge w:val="restart"/>
            <w:vAlign w:val="center"/>
          </w:tcPr>
          <w:p>
            <w:pPr>
              <w:spacing w:line="240" w:lineRule="auto"/>
              <w:jc w:val="left"/>
            </w:pPr>
            <w:r>
              <w:rPr>
                <w:rFonts w:ascii="宋体" w:hAnsi="宋体" w:cs="宋体" w:eastAsia="宋体"/>
                <w:b w:val="false"/>
              </w:rPr>
              <w:t>009644</w:t>
            </w:r>
          </w:p>
        </w:tc>
        <w:tc>
          <w:tcPr>
            <w:hMerge w:val="continue"/>
          </w:tcPr>
          <w:p/>
        </w:tc>
      </w:tr>
      <w:tr>
        <w:tc>
          <w:tcPr>
            <w:tcW w:type="pct" w:w="1923"/>
            <w:vAlign w:val="center"/>
          </w:tcPr>
          <w:p>
            <w:pPr>
              <w:spacing w:line="240" w:lineRule="auto"/>
              <w:jc w:val="left"/>
            </w:pPr>
            <w:r>
              <w:rPr>
                <w:rFonts w:ascii="宋体" w:hAnsi="宋体" w:cs="宋体" w:eastAsia="宋体"/>
                <w:b w:val="false"/>
              </w:rPr>
              <w:t>基金运作方式</w:t>
            </w:r>
          </w:p>
        </w:tc>
        <w:tc>
          <w:tcPr>
            <w:tcW/>
            <w:hMerge w:val="restart"/>
            <w:vAlign w:val="center"/>
          </w:tcPr>
          <w:p>
            <w:pPr>
              <w:spacing w:line="240" w:lineRule="auto"/>
              <w:jc w:val="left"/>
            </w:pPr>
            <w:r>
              <w:rPr>
                <w:rFonts w:ascii="宋体" w:hAnsi="宋体" w:cs="宋体" w:eastAsia="宋体"/>
                <w:b w:val="false"/>
              </w:rPr>
              <w:t>契约型开放式</w:t>
            </w:r>
          </w:p>
        </w:tc>
        <w:tc>
          <w:tcPr>
            <w:hMerge w:val="continue"/>
          </w:tcPr>
          <w:p/>
        </w:tc>
      </w:tr>
      <w:tr>
        <w:tc>
          <w:tcPr>
            <w:tcW w:type="pct" w:w="1923"/>
            <w:vAlign w:val="center"/>
          </w:tcPr>
          <w:p>
            <w:pPr>
              <w:spacing w:line="240" w:lineRule="auto"/>
              <w:jc w:val="left"/>
            </w:pPr>
            <w:r>
              <w:rPr>
                <w:rFonts w:ascii="宋体" w:hAnsi="宋体" w:cs="宋体" w:eastAsia="宋体"/>
                <w:b w:val="false"/>
              </w:rPr>
              <w:t>基金合同生效日</w:t>
            </w:r>
          </w:p>
        </w:tc>
        <w:tc>
          <w:tcPr>
            <w:tcW/>
            <w:hMerge w:val="restart"/>
            <w:vAlign w:val="center"/>
          </w:tcPr>
          <w:p>
            <w:pPr>
              <w:spacing w:line="240" w:lineRule="auto"/>
              <w:jc w:val="left"/>
            </w:pPr>
            <w:r>
              <w:rPr>
                <w:rFonts w:ascii="宋体" w:hAnsi="宋体" w:cs="宋体" w:eastAsia="宋体"/>
                <w:b w:val="false"/>
              </w:rPr>
              <w:t>2020年06月28日</w:t>
            </w:r>
          </w:p>
        </w:tc>
        <w:tc>
          <w:tcPr>
            <w:hMerge w:val="continue"/>
          </w:tcPr>
          <w:p/>
        </w:tc>
      </w:tr>
      <w:tr>
        <w:tc>
          <w:tcPr>
            <w:tcW w:type="pct" w:w="1923"/>
            <w:vAlign w:val="center"/>
          </w:tcPr>
          <w:p>
            <w:pPr>
              <w:spacing w:line="240" w:lineRule="auto"/>
              <w:jc w:val="left"/>
            </w:pPr>
            <w:r>
              <w:rPr>
                <w:rFonts w:ascii="宋体" w:hAnsi="宋体" w:cs="宋体" w:eastAsia="宋体"/>
                <w:b w:val="false"/>
              </w:rPr>
              <w:t>报告期末基金份额总额</w:t>
            </w:r>
          </w:p>
        </w:tc>
        <w:tc>
          <w:tcPr>
            <w:tcW/>
            <w:hMerge w:val="restart"/>
            <w:vAlign w:val="center"/>
          </w:tcPr>
          <w:p>
            <w:pPr>
              <w:spacing w:line="240" w:lineRule="auto"/>
              <w:jc w:val="left"/>
            </w:pPr>
            <w:r>
              <w:rPr>
                <w:rFonts w:ascii="宋体" w:hAnsi="宋体" w:cs="宋体" w:eastAsia="宋体"/>
                <w:b w:val="false"/>
              </w:rPr>
              <w:t>1,931,085,391.96份</w:t>
            </w:r>
          </w:p>
        </w:tc>
        <w:tc>
          <w:tcPr>
            <w:hMerge w:val="continue"/>
          </w:tcPr>
          <w:p/>
        </w:tc>
      </w:tr>
      <w:tr>
        <w:tc>
          <w:tcPr>
            <w:tcW w:type="pct" w:w="1923"/>
            <w:vAlign w:val="center"/>
          </w:tcPr>
          <w:p>
            <w:pPr>
              <w:spacing w:line="240" w:lineRule="auto"/>
              <w:jc w:val="left"/>
            </w:pPr>
            <w:r>
              <w:rPr>
                <w:rFonts w:ascii="宋体" w:hAnsi="宋体" w:cs="宋体" w:eastAsia="宋体"/>
                <w:b w:val="false"/>
              </w:rPr>
              <w:t>投资目标</w:t>
            </w:r>
          </w:p>
        </w:tc>
        <w:tc>
          <w:tcPr>
            <w:tcW w:type="pct" w:w="2592"/>
            <w:hMerge w:val="restart"/>
            <w:vAlign w:val="center"/>
          </w:tcPr>
          <w:p>
            <w:pPr>
              <w:spacing w:line="240" w:lineRule="auto"/>
              <w:jc w:val="left"/>
            </w:pPr>
            <w:r>
              <w:rPr>
                <w:rFonts w:ascii="宋体" w:hAnsi="宋体" w:cs="宋体" w:eastAsia="宋体"/>
                <w:b w:val="false"/>
              </w:rPr>
              <w:t>本基金通过全面深入地研究分析上市公司基本面，投资于可能从宏观经济结构、产业结构升级以及技术创新等变化趋势中获益的质地优良的优势产业和上市公司，在严格控制风险的前提下，追求超越基金业绩比较基准的长期稳定资本增值。</w:t>
            </w:r>
          </w:p>
        </w:tc>
        <w:tc>
          <w:tcPr>
            <w:hMerge w:val="continue"/>
          </w:tcPr>
          <w:p/>
        </w:tc>
      </w:tr>
      <w:tr>
        <w:tc>
          <w:tcPr>
            <w:tcW w:type="pct" w:w="1923"/>
            <w:vAlign w:val="center"/>
          </w:tcPr>
          <w:p>
            <w:pPr>
              <w:spacing w:line="240" w:lineRule="auto"/>
              <w:jc w:val="left"/>
            </w:pPr>
            <w:r>
              <w:rPr>
                <w:rFonts w:ascii="宋体" w:hAnsi="宋体" w:cs="宋体" w:eastAsia="宋体"/>
                <w:b w:val="false"/>
              </w:rPr>
              <w:t>投资策略</w:t>
            </w:r>
          </w:p>
        </w:tc>
        <w:tc>
          <w:tcPr>
            <w:tcW/>
            <w:hMerge w:val="restart"/>
            <w:vAlign w:val="center"/>
          </w:tcPr>
          <w:p>
            <w:pPr>
              <w:spacing w:line="240" w:lineRule="auto"/>
              <w:jc w:val="left"/>
            </w:pPr>
            <w:r>
              <w:rPr>
                <w:rFonts w:ascii="宋体" w:hAnsi="宋体" w:cs="宋体" w:eastAsia="宋体"/>
                <w:b w:val="false"/>
              </w:rPr>
              <w:t>本基金的投资策略主要有以下8个方面内容：</w:t>
              <w:br/>
            </w:r>
            <w:r>
              <w:rPr>
                <w:rFonts w:ascii="宋体" w:hAnsi="宋体" w:cs="宋体" w:eastAsia="宋体"/>
                <w:b w:val="false"/>
              </w:rPr>
              <w:t>1、大类资产配置策略</w:t>
              <w:br/>
            </w:r>
            <w:r>
              <w:rPr>
                <w:rFonts w:ascii="宋体" w:hAnsi="宋体" w:cs="宋体" w:eastAsia="宋体"/>
                <w:b w:val="false"/>
              </w:rPr>
              <w:t>本基金采用自上而下的方法进行大类资产配置，通过对宏观经济、政策环境、证券市场走势的跟踪和综合分析，进行前瞻性的战略判断，合理确定基金在股票、债券、现金等各类别资产中的投资比例，并适时进行动态调整。</w:t>
              <w:br/>
            </w:r>
            <w:r>
              <w:rPr>
                <w:rFonts w:ascii="宋体" w:hAnsi="宋体" w:cs="宋体" w:eastAsia="宋体"/>
                <w:b w:val="false"/>
              </w:rPr>
              <w:t>2、股票投资策略</w:t>
              <w:br/>
            </w:r>
            <w:r>
              <w:rPr>
                <w:rFonts w:ascii="宋体" w:hAnsi="宋体" w:cs="宋体" w:eastAsia="宋体"/>
                <w:b w:val="false"/>
              </w:rPr>
              <w:t>本基金采用自上而下行业配置和自下而上个股精选相结合的股票投资策略，精选行业和公司。并通过深入研究宏观经济转型、产业结构转型背景下的产业升级与变革，对受益于国家经济转型和政策环境改变的相关产业中的上市公司进行系统分析，从定性和定量结合的角度综合分析其成长性和投资价值。</w:t>
              <w:br/>
            </w:r>
            <w:r>
              <w:rPr>
                <w:rFonts w:ascii="宋体" w:hAnsi="宋体" w:cs="宋体" w:eastAsia="宋体"/>
                <w:b w:val="false"/>
              </w:rPr>
              <w:t>3、存托凭证投资策略</w:t>
              <w:br/>
            </w:r>
            <w:r>
              <w:rPr>
                <w:rFonts w:ascii="宋体" w:hAnsi="宋体" w:cs="宋体" w:eastAsia="宋体"/>
                <w:b w:val="false"/>
              </w:rPr>
              <w:t>本基金可投资存托凭证，本基金将在深入研究的基础上，通过定性分析和定量分析相结合的方式，选择投资价值高的存托凭证进行投资。</w:t>
              <w:br/>
            </w:r>
            <w:r>
              <w:rPr>
                <w:rFonts w:ascii="宋体" w:hAnsi="宋体" w:cs="宋体" w:eastAsia="宋体"/>
                <w:b w:val="false"/>
              </w:rPr>
              <w:t>4、债券类资产投资策略</w:t>
              <w:br/>
            </w:r>
            <w:r>
              <w:rPr>
                <w:rFonts w:ascii="宋体" w:hAnsi="宋体" w:cs="宋体" w:eastAsia="宋体"/>
                <w:b w:val="false"/>
              </w:rPr>
              <w:t>本基金的债券投资将采取较为积极的策略，通过利率预测分析、收益率曲线变动分析、债券信用分析、收益率利差分析等，研判各类属固定收益类资产的风险趋势与收益预期，精选个券进行投资。</w:t>
              <w:br/>
            </w:r>
            <w:r>
              <w:rPr>
                <w:rFonts w:ascii="宋体" w:hAnsi="宋体" w:cs="宋体" w:eastAsia="宋体"/>
                <w:b w:val="false"/>
              </w:rPr>
              <w:t>5、股指期货投资策略</w:t>
              <w:br/>
            </w:r>
            <w:r>
              <w:rPr>
                <w:rFonts w:ascii="宋体" w:hAnsi="宋体" w:cs="宋体" w:eastAsia="宋体"/>
                <w:b w:val="false"/>
              </w:rPr>
              <w:t>本基金投资股指期货将以投资组合避险和有效管理为目的，通过套期保值策略，对冲系统性风险，应对组合构建与调整中的流动性风险，力求风险收益的优化。</w:t>
              <w:br/>
            </w:r>
            <w:r>
              <w:rPr>
                <w:rFonts w:ascii="宋体" w:hAnsi="宋体" w:cs="宋体" w:eastAsia="宋体"/>
                <w:b w:val="false"/>
              </w:rPr>
              <w:t>6、融资业务的投资策略</w:t>
              <w:br/>
            </w:r>
            <w:r>
              <w:rPr>
                <w:rFonts w:ascii="宋体" w:hAnsi="宋体" w:cs="宋体" w:eastAsia="宋体"/>
                <w:b w:val="false"/>
              </w:rPr>
              <w:t>本基金将根据相关法律法规的规定参与融资业务。本基金参与融资业务，将综合考虑融资成本、保证金比例、冲抵保证金证券折算率、信用资质等条选择合适的交易对手方。同时，在保障基金投资组合充足流动性以及有效控制融资杠杆风险的前提下，确定融资比例。</w:t>
              <w:br/>
            </w:r>
            <w:r>
              <w:rPr>
                <w:rFonts w:ascii="宋体" w:hAnsi="宋体" w:cs="宋体" w:eastAsia="宋体"/>
                <w:b w:val="false"/>
              </w:rPr>
              <w:t>7、国债期货的投资策略</w:t>
              <w:br/>
            </w:r>
            <w:r>
              <w:rPr>
                <w:rFonts w:ascii="宋体" w:hAnsi="宋体" w:cs="宋体" w:eastAsia="宋体"/>
                <w:b w:val="false"/>
              </w:rPr>
              <w:t>基金管理人将结合对宏观经济形势和政策趋势的判断、对债券市场进行定性和定量分析，构建量化分析体系，在最大限度保证基金资产安全的基础上，力求实现所资产的长期稳定增值。</w:t>
              <w:br/>
            </w:r>
            <w:r>
              <w:rPr>
                <w:rFonts w:ascii="宋体" w:hAnsi="宋体" w:cs="宋体" w:eastAsia="宋体"/>
                <w:b w:val="false"/>
              </w:rPr>
              <w:t>8、资产支持证券投资策略</w:t>
              <w:br/>
            </w:r>
            <w:r>
              <w:rPr>
                <w:rFonts w:ascii="宋体" w:hAnsi="宋体" w:cs="宋体" w:eastAsia="宋体"/>
                <w:b w:val="false"/>
              </w:rPr>
              <w:t>本基金可以投资包括资产抵押贷款支持证券(ABS)、住房抵押贷款支持证券(MBS)等在内的资产支持证券。</w:t>
            </w:r>
          </w:p>
        </w:tc>
        <w:tc>
          <w:tcPr>
            <w:hMerge w:val="continue"/>
          </w:tcPr>
          <w:p/>
        </w:tc>
      </w:tr>
      <w:tr>
        <w:tc>
          <w:tcPr>
            <w:tcW w:type="pct" w:w="1923"/>
            <w:vAlign w:val="center"/>
          </w:tcPr>
          <w:p>
            <w:pPr>
              <w:spacing w:line="240" w:lineRule="auto"/>
              <w:jc w:val="left"/>
            </w:pPr>
            <w:r>
              <w:rPr>
                <w:rFonts w:ascii="宋体" w:hAnsi="宋体" w:cs="宋体" w:eastAsia="宋体"/>
                <w:b w:val="false"/>
              </w:rPr>
              <w:t>业绩比较基准</w:t>
            </w:r>
          </w:p>
        </w:tc>
        <w:tc>
          <w:tcPr>
            <w:tcW/>
            <w:hMerge w:val="restart"/>
            <w:vAlign w:val="center"/>
          </w:tcPr>
          <w:p>
            <w:pPr>
              <w:spacing w:line="240" w:lineRule="auto"/>
              <w:jc w:val="left"/>
            </w:pPr>
            <w:r>
              <w:rPr>
                <w:rFonts w:ascii="宋体" w:hAnsi="宋体" w:cs="宋体" w:eastAsia="宋体"/>
                <w:b w:val="false"/>
              </w:rPr>
              <w:t>中证800指数收益率×70%+中证综合债券指数收益率×30%</w:t>
            </w:r>
          </w:p>
        </w:tc>
        <w:tc>
          <w:tcPr>
            <w:hMerge w:val="continue"/>
          </w:tcPr>
          <w:p/>
        </w:tc>
      </w:tr>
      <w:tr>
        <w:tc>
          <w:tcPr>
            <w:tcW w:type="pct" w:w="1923"/>
            <w:vAlign w:val="center"/>
          </w:tcPr>
          <w:p>
            <w:pPr>
              <w:spacing w:line="240" w:lineRule="auto"/>
              <w:jc w:val="left"/>
            </w:pPr>
            <w:r>
              <w:rPr>
                <w:rFonts w:ascii="宋体" w:hAnsi="宋体" w:cs="宋体" w:eastAsia="宋体"/>
                <w:b w:val="false"/>
              </w:rPr>
              <w:t>风险收益特征</w:t>
            </w:r>
          </w:p>
        </w:tc>
        <w:tc>
          <w:tcPr>
            <w:tcW w:type="pct" w:w="2592"/>
            <w:hMerge w:val="restart"/>
            <w:vAlign w:val="center"/>
          </w:tcPr>
          <w:p>
            <w:pPr>
              <w:spacing w:line="240" w:lineRule="auto"/>
              <w:jc w:val="left"/>
            </w:pPr>
            <w:r>
              <w:rPr>
                <w:rFonts w:ascii="宋体" w:hAnsi="宋体" w:cs="宋体" w:eastAsia="宋体"/>
                <w:b w:val="false"/>
              </w:rPr>
              <w:t>本基金为混合型基金，其预期收益和风险高于货币型基金、债券型基金。</w:t>
            </w:r>
          </w:p>
        </w:tc>
        <w:tc>
          <w:tcPr>
            <w:hMerge w:val="continue"/>
          </w:tcPr>
          <w:p/>
        </w:tc>
      </w:tr>
      <w:tr>
        <w:tc>
          <w:tcPr>
            <w:tcW w:type="pct" w:w="1923"/>
            <w:vAlign w:val="center"/>
          </w:tcPr>
          <w:p>
            <w:pPr>
              <w:spacing w:line="240" w:lineRule="auto"/>
              <w:jc w:val="left"/>
            </w:pPr>
            <w:r>
              <w:rPr>
                <w:rFonts w:ascii="宋体" w:hAnsi="宋体" w:cs="宋体" w:eastAsia="宋体"/>
                <w:b w:val="false"/>
              </w:rPr>
              <w:t>基金管理人</w:t>
            </w:r>
          </w:p>
        </w:tc>
        <w:tc>
          <w:tcPr>
            <w:tcW/>
            <w:hMerge w:val="restart"/>
            <w:vAlign w:val="center"/>
          </w:tcPr>
          <w:p>
            <w:pPr>
              <w:spacing w:line="240" w:lineRule="auto"/>
              <w:jc w:val="left"/>
            </w:pPr>
            <w:r>
              <w:rPr>
                <w:rFonts w:ascii="宋体" w:hAnsi="宋体" w:cs="宋体" w:eastAsia="宋体"/>
                <w:b w:val="false"/>
              </w:rPr>
              <w:t>东方阿尔法基金管理有限公司</w:t>
            </w:r>
          </w:p>
        </w:tc>
        <w:tc>
          <w:tcPr>
            <w:hMerge w:val="continue"/>
          </w:tcPr>
          <w:p/>
        </w:tc>
      </w:tr>
      <w:tr>
        <w:tc>
          <w:tcPr>
            <w:tcW w:type="pct" w:w="1923"/>
            <w:vAlign w:val="center"/>
          </w:tcPr>
          <w:p>
            <w:pPr>
              <w:spacing w:line="240" w:lineRule="auto"/>
              <w:jc w:val="left"/>
            </w:pPr>
            <w:r>
              <w:rPr>
                <w:rFonts w:ascii="宋体" w:hAnsi="宋体" w:cs="宋体" w:eastAsia="宋体"/>
                <w:b w:val="false"/>
              </w:rPr>
              <w:t>基金托管人</w:t>
            </w:r>
          </w:p>
        </w:tc>
        <w:tc>
          <w:tcPr>
            <w:tcW/>
            <w:hMerge w:val="restart"/>
            <w:vAlign w:val="center"/>
          </w:tcPr>
          <w:p>
            <w:pPr>
              <w:spacing w:line="240" w:lineRule="auto"/>
              <w:jc w:val="left"/>
            </w:pPr>
            <w:r>
              <w:rPr>
                <w:rFonts w:ascii="宋体" w:hAnsi="宋体" w:cs="宋体" w:eastAsia="宋体"/>
                <w:b w:val="false"/>
              </w:rPr>
              <w:t>招商银行股份有限公司</w:t>
            </w:r>
          </w:p>
        </w:tc>
        <w:tc>
          <w:tcPr>
            <w:hMerge w:val="continue"/>
          </w:tcPr>
          <w:p/>
        </w:tc>
      </w:tr>
      <w:tr>
        <w:tc>
          <w:tcPr>
            <w:tcW/>
            <w:vAlign w:val="center"/>
          </w:tcPr>
          <w:p>
            <w:pPr>
              <w:spacing w:line="240" w:lineRule="auto"/>
              <w:jc w:val="left"/>
            </w:pPr>
            <w:r>
              <w:rPr>
                <w:rFonts w:ascii="宋体" w:hAnsi="宋体" w:cs="宋体" w:eastAsia="宋体"/>
                <w:b w:val="false"/>
              </w:rPr>
              <w:t>下属分级基金的基金简称</w:t>
            </w:r>
          </w:p>
        </w:tc>
        <w:tc>
          <w:tcPr>
            <w:tcW w:type="pct" w:w="1500"/>
            <w:vAlign w:val="center"/>
          </w:tcPr>
          <w:p>
            <w:pPr>
              <w:spacing w:line="240" w:lineRule="auto"/>
              <w:jc w:val="left"/>
            </w:pPr>
            <w:r>
              <w:rPr>
                <w:rFonts w:ascii="宋体" w:hAnsi="宋体" w:cs="宋体" w:eastAsia="宋体"/>
                <w:b w:val="false"/>
              </w:rPr>
              <w:t>东方阿尔法优势产业混合A</w:t>
            </w:r>
          </w:p>
        </w:tc>
        <w:tc>
          <w:tcPr>
            <w:tcW w:type="pct" w:w="1500"/>
            <w:vAlign w:val="center"/>
          </w:tcPr>
          <w:p>
            <w:pPr>
              <w:spacing w:line="240" w:lineRule="auto"/>
              <w:jc w:val="left"/>
            </w:pPr>
            <w:r>
              <w:rPr>
                <w:rFonts w:ascii="宋体" w:hAnsi="宋体" w:cs="宋体" w:eastAsia="宋体"/>
                <w:b w:val="false"/>
              </w:rPr>
              <w:t>东方阿尔法优势产业混合C</w:t>
            </w:r>
          </w:p>
        </w:tc>
      </w:tr>
      <w:tr>
        <w:tc>
          <w:tcPr>
            <w:tcW/>
            <w:vAlign w:val="center"/>
          </w:tcPr>
          <w:p>
            <w:pPr>
              <w:spacing w:line="240" w:lineRule="auto"/>
              <w:jc w:val="left"/>
            </w:pPr>
            <w:r>
              <w:rPr>
                <w:rFonts w:ascii="宋体" w:hAnsi="宋体" w:cs="宋体" w:eastAsia="宋体"/>
                <w:b w:val="false"/>
              </w:rPr>
              <w:t>下属分级基金的交易代码</w:t>
            </w:r>
          </w:p>
        </w:tc>
        <w:tc>
          <w:tcPr>
            <w:tcW w:type="pct" w:w="1500"/>
            <w:vAlign w:val="center"/>
          </w:tcPr>
          <w:p>
            <w:pPr>
              <w:spacing w:line="240" w:lineRule="auto"/>
              <w:jc w:val="left"/>
            </w:pPr>
            <w:r>
              <w:rPr>
                <w:rFonts w:ascii="宋体" w:hAnsi="宋体" w:cs="宋体" w:eastAsia="宋体"/>
                <w:b w:val="false"/>
              </w:rPr>
              <w:t>009644</w:t>
            </w:r>
          </w:p>
        </w:tc>
        <w:tc>
          <w:tcPr>
            <w:tcW w:type="pct" w:w="1500"/>
            <w:vAlign w:val="center"/>
          </w:tcPr>
          <w:p>
            <w:pPr>
              <w:spacing w:line="240" w:lineRule="auto"/>
              <w:jc w:val="left"/>
            </w:pPr>
            <w:r>
              <w:rPr>
                <w:rFonts w:ascii="宋体" w:hAnsi="宋体" w:cs="宋体" w:eastAsia="宋体"/>
                <w:b w:val="false"/>
              </w:rPr>
              <w:t>009645</w:t>
            </w:r>
          </w:p>
        </w:tc>
      </w:tr>
      <w:tr>
        <w:tc>
          <w:tcPr>
            <w:tcW/>
            <w:vAlign w:val="center"/>
          </w:tcPr>
          <w:p>
            <w:pPr>
              <w:spacing w:line="240" w:lineRule="auto"/>
              <w:jc w:val="left"/>
            </w:pPr>
            <w:r>
              <w:rPr>
                <w:rFonts w:ascii="宋体" w:hAnsi="宋体" w:cs="宋体" w:eastAsia="宋体"/>
                <w:b w:val="false"/>
              </w:rPr>
              <w:t>报告期末下属分级基金的份额总额</w:t>
            </w:r>
          </w:p>
        </w:tc>
        <w:tc>
          <w:tcPr>
            <w:tcW w:type="pct" w:w="1500"/>
            <w:vAlign w:val="center"/>
          </w:tcPr>
          <w:p>
            <w:pPr>
              <w:spacing w:line="240" w:lineRule="auto"/>
              <w:jc w:val="left"/>
            </w:pPr>
            <w:r>
              <w:rPr>
                <w:rFonts w:ascii="宋体" w:hAnsi="宋体" w:cs="宋体" w:eastAsia="宋体"/>
                <w:b w:val="false"/>
              </w:rPr>
              <w:t>923,338,416.42份</w:t>
            </w:r>
          </w:p>
        </w:tc>
        <w:tc>
          <w:tcPr>
            <w:tcW w:type="pct" w:w="1500"/>
            <w:vAlign w:val="center"/>
          </w:tcPr>
          <w:p>
            <w:pPr>
              <w:spacing w:line="240" w:lineRule="auto"/>
              <w:jc w:val="left"/>
            </w:pPr>
            <w:r>
              <w:rPr>
                <w:rFonts w:ascii="宋体" w:hAnsi="宋体" w:cs="宋体" w:eastAsia="宋体"/>
                <w:b w:val="false"/>
              </w:rPr>
              <w:t>1,007,746,975.54份</w:t>
            </w:r>
          </w:p>
        </w:tc>
      </w:tr>
    </w:tbl>
    <w:p>
      <w:pPr>
        <w:pStyle w:val="1"/>
        <w:jc w:val="center"/>
      </w:pPr>
      <w:r>
        <w:rPr>
          <w:rFonts w:ascii="宋体" w:hAnsi="宋体" w:cs="宋体" w:eastAsia="宋体"/>
        </w:rPr>
        <w:t>§3 主要财务指标和基金净值表现</w:t>
      </w:r>
    </w:p>
    <w:p>
      <w:pPr>
        <w:pStyle w:val="2"/>
        <w:jc w:val="left"/>
      </w:pPr>
      <w:r>
        <w:rPr>
          <w:rFonts w:ascii="宋体" w:hAnsi="宋体" w:cs="宋体" w:eastAsia="宋体"/>
        </w:rPr>
        <w:t>3.1 主要财务指标</w:t>
      </w:r>
    </w:p>
    <w:p>
      <w:pPr>
        <w:jc w:val="right"/>
      </w:pPr>
      <w:r>
        <w:rPr>
          <w:rFonts w:ascii="宋体" w:hAnsi="宋体" w:cs="宋体" w:eastAsia="宋体"/>
          <w:b w:val="false"/>
        </w:rPr>
        <w:t>单位：人民币元</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1923"/>
            <w:vMerge w:val="restart"/>
            <w:vAlign w:val="center"/>
          </w:tcPr>
          <w:tcPr>
            <w:shd w:fill="d9d9d9"/>
          </w:tcPr>
          <w:p>
            <w:pPr>
              <w:spacing w:line="240" w:lineRule="auto"/>
              <w:jc w:val="center"/>
            </w:pPr>
            <w:r>
              <w:rPr>
                <w:rFonts w:ascii="宋体" w:hAnsi="宋体" w:cs="宋体" w:eastAsia="宋体"/>
                <w:b w:val="true"/>
              </w:rPr>
              <w:t>主要财务指标</w:t>
            </w:r>
          </w:p>
        </w:tc>
        <w:tc>
          <w:tcPr>
            <w:tcW w:type="pct" w:w="3077"/>
            <w:hMerge w:val="restart"/>
            <w:vAlign w:val="center"/>
          </w:tcPr>
          <w:tcPr>
            <w:shd w:fill="d9d9d9"/>
          </w:tcPr>
          <w:p>
            <w:pPr>
              <w:spacing w:line="240" w:lineRule="auto"/>
              <w:jc w:val="center"/>
            </w:pPr>
            <w:r>
              <w:rPr>
                <w:rFonts w:ascii="宋体" w:hAnsi="宋体" w:cs="宋体" w:eastAsia="宋体"/>
                <w:b w:val="false"/>
              </w:rPr>
              <w:t>报告期（2025年07月01日-2025年09月30日）</w:t>
            </w:r>
          </w:p>
        </w:tc>
        <w:tc>
          <w:tcPr>
            <w:hMerge w:val="continue"/>
          </w:tcPr>
          <w:p/>
        </w:tc>
      </w:tr>
      <w:tr>
        <w:tc>
          <w:tcPr>
            <w:vMerge w:val="continue"/>
          </w:tcPr>
          <w:p/>
        </w:tc>
        <w:tc>
          <w:tcPr>
            <w:tcW w:type="pct" w:w="1500"/>
            <w:vAlign w:val="center"/>
          </w:tcPr>
          <w:tcPr>
            <w:shd w:fill="d9d9d9"/>
          </w:tcPr>
          <w:p>
            <w:pPr>
              <w:spacing w:line="240" w:lineRule="auto"/>
              <w:jc w:val="center"/>
            </w:pPr>
            <w:r>
              <w:rPr>
                <w:rFonts w:ascii="宋体" w:hAnsi="宋体" w:cs="宋体" w:eastAsia="宋体"/>
                <w:b w:val="false"/>
              </w:rPr>
              <w:t>东方阿尔法优势产业混合A</w:t>
            </w:r>
          </w:p>
        </w:tc>
        <w:tc>
          <w:tcPr>
            <w:tcW w:type="pct" w:w="1500"/>
            <w:vAlign w:val="center"/>
          </w:tcPr>
          <w:tcPr>
            <w:shd w:fill="d9d9d9"/>
          </w:tcPr>
          <w:p>
            <w:pPr>
              <w:spacing w:line="240" w:lineRule="auto"/>
              <w:jc w:val="center"/>
            </w:pPr>
            <w:r>
              <w:rPr>
                <w:rFonts w:ascii="宋体" w:hAnsi="宋体" w:cs="宋体" w:eastAsia="宋体"/>
                <w:b w:val="false"/>
              </w:rPr>
              <w:t>东方阿尔法优势产业混合C</w:t>
            </w:r>
          </w:p>
        </w:tc>
      </w:tr>
      <w:tr>
        <w:tc>
          <w:tcPr>
            <w:tcW/>
            <w:vAlign w:val="center"/>
          </w:tcPr>
          <w:p>
            <w:pPr>
              <w:spacing w:line="240" w:lineRule="auto"/>
              <w:jc w:val="left"/>
            </w:pPr>
            <w:r>
              <w:rPr>
                <w:rFonts w:ascii="宋体" w:hAnsi="宋体" w:cs="宋体" w:eastAsia="宋体"/>
                <w:b w:val="false"/>
              </w:rPr>
              <w:t>1.本期已实现收益</w:t>
            </w:r>
          </w:p>
        </w:tc>
        <w:tc>
          <w:tcPr>
            <w:tcW w:type="pct" w:w="1500"/>
            <w:vAlign w:val="center"/>
          </w:tcPr>
          <w:p>
            <w:pPr>
              <w:spacing w:line="240" w:lineRule="auto"/>
              <w:jc w:val="right"/>
            </w:pPr>
            <w:r>
              <w:rPr>
                <w:rFonts w:ascii="宋体" w:hAnsi="宋体" w:cs="宋体" w:eastAsia="宋体"/>
                <w:b w:val="false"/>
              </w:rPr>
              <w:t>154,252,704.61</w:t>
            </w:r>
          </w:p>
        </w:tc>
        <w:tc>
          <w:tcPr>
            <w:tcW w:type="pct" w:w="1500"/>
            <w:vAlign w:val="center"/>
          </w:tcPr>
          <w:p>
            <w:pPr>
              <w:spacing w:line="240" w:lineRule="auto"/>
              <w:jc w:val="right"/>
            </w:pPr>
            <w:r>
              <w:rPr>
                <w:rFonts w:ascii="宋体" w:hAnsi="宋体" w:cs="宋体" w:eastAsia="宋体"/>
                <w:b w:val="false"/>
              </w:rPr>
              <w:t>161,347,563.65</w:t>
            </w:r>
          </w:p>
        </w:tc>
      </w:tr>
      <w:tr>
        <w:tc>
          <w:tcPr>
            <w:tcW/>
            <w:vAlign w:val="center"/>
          </w:tcPr>
          <w:p>
            <w:pPr>
              <w:spacing w:line="240" w:lineRule="auto"/>
              <w:jc w:val="left"/>
            </w:pPr>
            <w:r>
              <w:rPr>
                <w:rFonts w:ascii="宋体" w:hAnsi="宋体" w:cs="宋体" w:eastAsia="宋体"/>
                <w:b w:val="false"/>
              </w:rPr>
              <w:t>2.本期利润</w:t>
            </w:r>
          </w:p>
        </w:tc>
        <w:tc>
          <w:tcPr>
            <w:tcW w:type="pct" w:w="1500"/>
            <w:vAlign w:val="center"/>
          </w:tcPr>
          <w:p>
            <w:pPr>
              <w:spacing w:line="240" w:lineRule="auto"/>
              <w:jc w:val="right"/>
            </w:pPr>
            <w:r>
              <w:rPr>
                <w:rFonts w:ascii="宋体" w:hAnsi="宋体" w:cs="宋体" w:eastAsia="宋体"/>
                <w:b w:val="false"/>
              </w:rPr>
              <w:t>834,685,143.34</w:t>
            </w:r>
          </w:p>
        </w:tc>
        <w:tc>
          <w:tcPr>
            <w:tcW w:type="pct" w:w="1500"/>
            <w:vAlign w:val="center"/>
          </w:tcPr>
          <w:p>
            <w:pPr>
              <w:spacing w:line="240" w:lineRule="auto"/>
              <w:jc w:val="right"/>
            </w:pPr>
            <w:r>
              <w:rPr>
                <w:rFonts w:ascii="宋体" w:hAnsi="宋体" w:cs="宋体" w:eastAsia="宋体"/>
                <w:b w:val="false"/>
              </w:rPr>
              <w:t>737,824,661.90</w:t>
            </w:r>
          </w:p>
        </w:tc>
      </w:tr>
      <w:tr>
        <w:tc>
          <w:tcPr>
            <w:tcW/>
            <w:vAlign w:val="center"/>
          </w:tcPr>
          <w:p>
            <w:pPr>
              <w:spacing w:line="240" w:lineRule="auto"/>
              <w:jc w:val="left"/>
            </w:pPr>
            <w:r>
              <w:rPr>
                <w:rFonts w:ascii="宋体" w:hAnsi="宋体" w:cs="宋体" w:eastAsia="宋体"/>
                <w:b w:val="false"/>
              </w:rPr>
              <w:t>3.加权平均基金份额本期利润</w:t>
            </w:r>
          </w:p>
        </w:tc>
        <w:tc>
          <w:tcPr>
            <w:tcW w:type="pct" w:w="1500"/>
            <w:vAlign w:val="center"/>
          </w:tcPr>
          <w:p>
            <w:pPr>
              <w:spacing w:line="240" w:lineRule="auto"/>
              <w:jc w:val="right"/>
            </w:pPr>
            <w:r>
              <w:rPr>
                <w:rFonts w:ascii="宋体" w:hAnsi="宋体" w:cs="宋体" w:eastAsia="宋体"/>
                <w:b w:val="false"/>
              </w:rPr>
              <w:t>0.7769</w:t>
            </w:r>
          </w:p>
        </w:tc>
        <w:tc>
          <w:tcPr>
            <w:tcW w:type="pct" w:w="1500"/>
            <w:vAlign w:val="center"/>
          </w:tcPr>
          <w:p>
            <w:pPr>
              <w:spacing w:line="240" w:lineRule="auto"/>
              <w:jc w:val="right"/>
            </w:pPr>
            <w:r>
              <w:rPr>
                <w:rFonts w:ascii="宋体" w:hAnsi="宋体" w:cs="宋体" w:eastAsia="宋体"/>
                <w:b w:val="false"/>
              </w:rPr>
              <w:t>0.7061</w:t>
            </w:r>
          </w:p>
        </w:tc>
      </w:tr>
      <w:tr>
        <w:tc>
          <w:tcPr>
            <w:tcW/>
            <w:vAlign w:val="center"/>
          </w:tcPr>
          <w:p>
            <w:pPr>
              <w:spacing w:line="240" w:lineRule="auto"/>
              <w:jc w:val="left"/>
            </w:pPr>
            <w:r>
              <w:rPr>
                <w:rFonts w:ascii="宋体" w:hAnsi="宋体" w:cs="宋体" w:eastAsia="宋体"/>
                <w:b w:val="false"/>
              </w:rPr>
              <w:t>4.期末基金资产净值</w:t>
            </w:r>
          </w:p>
        </w:tc>
        <w:tc>
          <w:tcPr>
            <w:tcW w:type="pct" w:w="1500"/>
            <w:vAlign w:val="center"/>
          </w:tcPr>
          <w:p>
            <w:pPr>
              <w:spacing w:line="240" w:lineRule="auto"/>
              <w:jc w:val="right"/>
            </w:pPr>
            <w:r>
              <w:rPr>
                <w:rFonts w:ascii="宋体" w:hAnsi="宋体" w:cs="宋体" w:eastAsia="宋体"/>
                <w:b w:val="false"/>
              </w:rPr>
              <w:t>1,915,288,300.94</w:t>
            </w:r>
          </w:p>
        </w:tc>
        <w:tc>
          <w:tcPr>
            <w:tcW w:type="pct" w:w="1500"/>
            <w:vAlign w:val="center"/>
          </w:tcPr>
          <w:p>
            <w:pPr>
              <w:spacing w:line="240" w:lineRule="auto"/>
              <w:jc w:val="right"/>
            </w:pPr>
            <w:r>
              <w:rPr>
                <w:rFonts w:ascii="宋体" w:hAnsi="宋体" w:cs="宋体" w:eastAsia="宋体"/>
                <w:b w:val="false"/>
              </w:rPr>
              <w:t>2,036,285,792.48</w:t>
            </w:r>
          </w:p>
        </w:tc>
      </w:tr>
      <w:tr>
        <w:tc>
          <w:tcPr>
            <w:tcW/>
            <w:vAlign w:val="center"/>
          </w:tcPr>
          <w:p>
            <w:pPr>
              <w:spacing w:line="240" w:lineRule="auto"/>
              <w:jc w:val="left"/>
            </w:pPr>
            <w:r>
              <w:rPr>
                <w:rFonts w:ascii="宋体" w:hAnsi="宋体" w:cs="宋体" w:eastAsia="宋体"/>
                <w:b w:val="false"/>
              </w:rPr>
              <w:t>5.期末基金份额净值</w:t>
            </w:r>
          </w:p>
        </w:tc>
        <w:tc>
          <w:tcPr>
            <w:tcW w:type="pct" w:w="1500"/>
            <w:vAlign w:val="center"/>
          </w:tcPr>
          <w:p>
            <w:pPr>
              <w:spacing w:line="240" w:lineRule="auto"/>
              <w:jc w:val="right"/>
            </w:pPr>
            <w:r>
              <w:rPr>
                <w:rFonts w:ascii="宋体" w:hAnsi="宋体" w:cs="宋体" w:eastAsia="宋体"/>
                <w:b w:val="false"/>
              </w:rPr>
              <w:t>2.0743</w:t>
            </w:r>
          </w:p>
        </w:tc>
        <w:tc>
          <w:tcPr>
            <w:tcW w:type="pct" w:w="1500"/>
            <w:vAlign w:val="center"/>
          </w:tcPr>
          <w:p>
            <w:pPr>
              <w:spacing w:line="240" w:lineRule="auto"/>
              <w:jc w:val="right"/>
            </w:pPr>
            <w:r>
              <w:rPr>
                <w:rFonts w:ascii="宋体" w:hAnsi="宋体" w:cs="宋体" w:eastAsia="宋体"/>
                <w:b w:val="false"/>
              </w:rPr>
              <w:t>2.0206</w:t>
            </w:r>
          </w:p>
        </w:tc>
      </w:tr>
    </w:tbl>
    <w:p>
      <w:r>
        <w:rPr>
          <w:rFonts w:ascii="宋体" w:hAnsi="宋体" w:cs="宋体" w:eastAsia="宋体"/>
          <w:b w:val="false"/>
        </w:rPr>
        <w:t>注：1、本期已实现收益指基金本期利息收入、投资收益、其他收入(不含公允价值变动收益)扣除相关费用后的余额，本期利润为本期已实现收益加上本期公允价值变动收益。</w:t>
        <w:cr/>
      </w:r>
      <w:r>
        <w:rPr>
          <w:rFonts w:ascii="宋体" w:hAnsi="宋体" w:cs="宋体" w:eastAsia="宋体"/>
          <w:b w:val="false"/>
        </w:rPr>
        <w:t>2、所述基金业绩指标不包括持有人认购或交易基金的各项费用，计入费用后实际收益水平要低于所列数字。</w:t>
      </w:r>
    </w:p>
    <w:p/>
    <w:p>
      <w:pPr>
        <w:pStyle w:val="2"/>
        <w:jc w:val="left"/>
      </w:pPr>
      <w:r>
        <w:rPr>
          <w:rFonts w:ascii="宋体" w:hAnsi="宋体" w:cs="宋体" w:eastAsia="宋体"/>
        </w:rPr>
        <w:t>3.2 基金净值表现</w:t>
      </w:r>
    </w:p>
    <w:p>
      <w:r>
        <w:rPr>
          <w:rStyle w:val="正文"/>
          <w:rFonts w:ascii="宋体" w:hAnsi="宋体" w:cs="宋体" w:eastAsia="宋体"/>
          <w:b w:val="true"/>
        </w:rPr>
        <w:t>3.2.1 基金份额净值增长率及其与同期业绩比较基准收益率的比较</w:t>
      </w:r>
    </w:p>
    <w:p>
      <w:pPr>
        <w:jc w:val="left"/>
      </w:pPr>
      <w:r>
        <w:rPr>
          <w:rFonts w:ascii="宋体" w:hAnsi="宋体" w:cs="宋体" w:eastAsia="宋体"/>
          <w:b w:val="true"/>
        </w:rPr>
        <w:t>东方阿尔法优势产业混合A净值表现</w:t>
      </w:r>
    </w:p>
    <w:tbl>
      <w:tblPr>
        <w:tblW w:w="5000" w:type="pct"/>
        <w:tblBorders>
          <w:top w:val="single" w:sz="4"/>
          <w:left w:val="single" w:sz="4"/>
          <w:bottom w:val="single" w:sz="4"/>
          <w:right w:val="single" w:sz="4"/>
          <w:insideH w:val="single" w:sz="4"/>
          <w:insideV w:val="single" w:sz="4"/>
        </w:tblBorders>
      </w:tblPr>
      <w:tblGrid>
        <w:gridCol w:w="1295"/>
        <w:gridCol w:w="1295"/>
        <w:gridCol w:w="1295"/>
        <w:gridCol w:w="1295"/>
        <w:gridCol w:w="1295"/>
        <w:gridCol w:w="1295"/>
        <w:gridCol w:w="1295"/>
      </w:tblGrid>
      <w:tr>
        <w:tc>
          <w:tcPr>
            <w:tcW w:type="pct" w:w="846"/>
            <w:vAlign w:val="center"/>
          </w:tcPr>
          <w:tcPr>
            <w:shd w:fill="d9d9d9"/>
          </w:tcPr>
          <w:p>
            <w:pPr>
              <w:spacing w:line="240" w:lineRule="auto"/>
              <w:jc w:val="center"/>
            </w:pPr>
            <w:r>
              <w:rPr>
                <w:rFonts w:ascii="宋体" w:hAnsi="宋体" w:cs="宋体" w:eastAsia="宋体"/>
                <w:b w:val="false"/>
              </w:rPr>
              <w:t>阶段</w:t>
            </w:r>
          </w:p>
        </w:tc>
        <w:tc>
          <w:tcPr>
            <w:tcW w:type="pct" w:w="692"/>
            <w:vAlign w:val="center"/>
          </w:tcPr>
          <w:tcPr>
            <w:shd w:fill="d9d9d9"/>
          </w:tcPr>
          <w:p>
            <w:pPr>
              <w:spacing w:line="240" w:lineRule="auto"/>
              <w:jc w:val="center"/>
            </w:pPr>
            <w:r>
              <w:rPr>
                <w:rFonts w:ascii="宋体" w:hAnsi="宋体" w:cs="宋体" w:eastAsia="宋体"/>
                <w:b w:val="false"/>
              </w:rPr>
              <w:t>净值增长率①</w:t>
            </w:r>
          </w:p>
        </w:tc>
        <w:tc>
          <w:tcPr>
            <w:tcW w:type="pct" w:w="692"/>
            <w:vAlign w:val="center"/>
          </w:tcPr>
          <w:tcPr>
            <w:shd w:fill="d9d9d9"/>
          </w:tcPr>
          <w:p>
            <w:pPr>
              <w:spacing w:line="240" w:lineRule="auto"/>
              <w:jc w:val="center"/>
            </w:pPr>
            <w:r>
              <w:rPr>
                <w:rFonts w:ascii="宋体" w:hAnsi="宋体" w:cs="宋体" w:eastAsia="宋体"/>
                <w:b w:val="false"/>
              </w:rPr>
              <w:t>净值增长率标准差②</w:t>
            </w:r>
          </w:p>
        </w:tc>
        <w:tc>
          <w:tcPr>
            <w:tcW w:type="pct" w:w="692"/>
            <w:vAlign w:val="center"/>
          </w:tcPr>
          <w:tcPr>
            <w:shd w:fill="d9d9d9"/>
          </w:tcPr>
          <w:p>
            <w:pPr>
              <w:spacing w:line="240" w:lineRule="auto"/>
              <w:jc w:val="center"/>
            </w:pPr>
            <w:r>
              <w:rPr>
                <w:rFonts w:ascii="宋体" w:hAnsi="宋体" w:cs="宋体" w:eastAsia="宋体"/>
                <w:b w:val="false"/>
              </w:rPr>
              <w:t>业绩比较基准收益率③</w:t>
            </w:r>
          </w:p>
        </w:tc>
        <w:tc>
          <w:tcPr>
            <w:tcW w:type="pct" w:w="692"/>
            <w:vAlign w:val="center"/>
          </w:tcPr>
          <w:tcPr>
            <w:shd w:fill="d9d9d9"/>
          </w:tcPr>
          <w:p>
            <w:pPr>
              <w:spacing w:line="240" w:lineRule="auto"/>
              <w:jc w:val="center"/>
            </w:pPr>
            <w:r>
              <w:rPr>
                <w:rFonts w:ascii="宋体" w:hAnsi="宋体" w:cs="宋体" w:eastAsia="宋体"/>
                <w:b w:val="false"/>
              </w:rPr>
              <w:t>业绩比较基准收益率标准差④</w:t>
            </w:r>
          </w:p>
        </w:tc>
        <w:tc>
          <w:tcPr>
            <w:tcW w:type="pct" w:w="692"/>
            <w:vAlign w:val="center"/>
          </w:tcPr>
          <w:tcPr>
            <w:shd w:fill="d9d9d9"/>
          </w:tcPr>
          <w:p>
            <w:pPr>
              <w:spacing w:line="240" w:lineRule="auto"/>
              <w:jc w:val="center"/>
            </w:pPr>
            <w:r>
              <w:rPr>
                <w:rFonts w:ascii="宋体" w:hAnsi="宋体" w:cs="宋体" w:eastAsia="宋体"/>
                <w:b w:val="false"/>
              </w:rPr>
              <w:t>①-③</w:t>
            </w:r>
          </w:p>
        </w:tc>
        <w:tc>
          <w:tcPr>
            <w:tcW w:type="pct" w:w="692"/>
            <w:vAlign w:val="center"/>
          </w:tcPr>
          <w:tcPr>
            <w:shd w:fill="d9d9d9"/>
          </w:tcPr>
          <w:p>
            <w:pPr>
              <w:spacing w:line="240" w:lineRule="auto"/>
              <w:jc w:val="center"/>
            </w:pPr>
            <w:r>
              <w:rPr>
                <w:rFonts w:ascii="宋体" w:hAnsi="宋体" w:cs="宋体" w:eastAsia="宋体"/>
                <w:b w:val="false"/>
              </w:rPr>
              <w:t>②-④</w:t>
            </w:r>
          </w:p>
        </w:tc>
      </w:tr>
      <w:tr>
        <w:tc>
          <w:tcPr>
            <w:tcW/>
            <w:vAlign w:val="center"/>
          </w:tcPr>
          <w:p>
            <w:pPr>
              <w:spacing w:line="240" w:lineRule="auto"/>
              <w:jc w:val="left"/>
            </w:pPr>
            <w:r>
              <w:rPr>
                <w:rFonts w:ascii="宋体" w:hAnsi="宋体" w:cs="宋体" w:eastAsia="宋体"/>
                <w:b w:val="false"/>
              </w:rPr>
              <w:t>过去三个月</w:t>
            </w:r>
          </w:p>
        </w:tc>
        <w:tc>
          <w:tcPr>
            <w:tcW/>
            <w:vAlign w:val="center"/>
          </w:tcPr>
          <w:p>
            <w:pPr>
              <w:spacing w:line="240" w:lineRule="auto"/>
              <w:jc w:val="right"/>
            </w:pPr>
            <w:r>
              <w:rPr>
                <w:rFonts w:ascii="宋体" w:hAnsi="宋体" w:cs="宋体" w:eastAsia="宋体"/>
                <w:b w:val="false"/>
              </w:rPr>
              <w:t>60.91%</w:t>
            </w:r>
          </w:p>
        </w:tc>
        <w:tc>
          <w:tcPr>
            <w:tcW/>
            <w:vAlign w:val="center"/>
          </w:tcPr>
          <w:p>
            <w:pPr>
              <w:spacing w:line="240" w:lineRule="auto"/>
              <w:jc w:val="right"/>
            </w:pPr>
            <w:r>
              <w:rPr>
                <w:rFonts w:ascii="宋体" w:hAnsi="宋体" w:cs="宋体" w:eastAsia="宋体"/>
                <w:b w:val="false"/>
              </w:rPr>
              <w:t>2.97%</w:t>
            </w:r>
          </w:p>
        </w:tc>
        <w:tc>
          <w:tcPr>
            <w:tcW/>
            <w:vAlign w:val="center"/>
          </w:tcPr>
          <w:p>
            <w:pPr>
              <w:spacing w:line="240" w:lineRule="auto"/>
              <w:jc w:val="right"/>
            </w:pPr>
            <w:r>
              <w:rPr>
                <w:rFonts w:ascii="宋体" w:hAnsi="宋体" w:cs="宋体" w:eastAsia="宋体"/>
                <w:b w:val="false"/>
              </w:rPr>
              <w:t>13.26%</w:t>
            </w:r>
          </w:p>
        </w:tc>
        <w:tc>
          <w:tcPr>
            <w:tcW/>
            <w:vAlign w:val="center"/>
          </w:tcPr>
          <w:p>
            <w:pPr>
              <w:spacing w:line="240" w:lineRule="auto"/>
              <w:jc w:val="right"/>
            </w:pPr>
            <w:r>
              <w:rPr>
                <w:rFonts w:ascii="宋体" w:hAnsi="宋体" w:cs="宋体" w:eastAsia="宋体"/>
                <w:b w:val="false"/>
              </w:rPr>
              <w:t>0.62%</w:t>
            </w:r>
          </w:p>
        </w:tc>
        <w:tc>
          <w:tcPr>
            <w:tcW/>
            <w:vAlign w:val="center"/>
          </w:tcPr>
          <w:p>
            <w:pPr>
              <w:spacing w:line="240" w:lineRule="auto"/>
              <w:jc w:val="right"/>
            </w:pPr>
            <w:r>
              <w:rPr>
                <w:rFonts w:ascii="宋体" w:hAnsi="宋体" w:cs="宋体" w:eastAsia="宋体"/>
                <w:b w:val="false"/>
              </w:rPr>
              <w:t>47.65%</w:t>
            </w:r>
          </w:p>
        </w:tc>
        <w:tc>
          <w:tcPr>
            <w:tcW/>
            <w:vAlign w:val="center"/>
          </w:tcPr>
          <w:p>
            <w:pPr>
              <w:spacing w:line="240" w:lineRule="auto"/>
              <w:jc w:val="right"/>
            </w:pPr>
            <w:r>
              <w:rPr>
                <w:rFonts w:ascii="宋体" w:hAnsi="宋体" w:cs="宋体" w:eastAsia="宋体"/>
                <w:b w:val="false"/>
              </w:rPr>
              <w:t>2.35%</w:t>
            </w:r>
          </w:p>
        </w:tc>
      </w:tr>
      <w:tr>
        <w:tc>
          <w:tcPr>
            <w:tcW/>
            <w:vAlign w:val="center"/>
          </w:tcPr>
          <w:p>
            <w:pPr>
              <w:spacing w:line="240" w:lineRule="auto"/>
              <w:jc w:val="left"/>
            </w:pPr>
            <w:r>
              <w:rPr>
                <w:rFonts w:ascii="宋体" w:hAnsi="宋体" w:cs="宋体" w:eastAsia="宋体"/>
                <w:b w:val="false"/>
              </w:rPr>
              <w:t>过去六个月</w:t>
            </w:r>
          </w:p>
        </w:tc>
        <w:tc>
          <w:tcPr>
            <w:tcW/>
            <w:vAlign w:val="center"/>
          </w:tcPr>
          <w:p>
            <w:pPr>
              <w:spacing w:line="240" w:lineRule="auto"/>
              <w:jc w:val="right"/>
            </w:pPr>
            <w:r>
              <w:rPr>
                <w:rFonts w:ascii="宋体" w:hAnsi="宋体" w:cs="宋体" w:eastAsia="宋体"/>
                <w:b w:val="false"/>
              </w:rPr>
              <w:t>63.36%</w:t>
            </w:r>
          </w:p>
        </w:tc>
        <w:tc>
          <w:tcPr>
            <w:tcW/>
            <w:vAlign w:val="center"/>
          </w:tcPr>
          <w:p>
            <w:pPr>
              <w:spacing w:line="240" w:lineRule="auto"/>
              <w:jc w:val="right"/>
            </w:pPr>
            <w:r>
              <w:rPr>
                <w:rFonts w:ascii="宋体" w:hAnsi="宋体" w:cs="宋体" w:eastAsia="宋体"/>
                <w:b w:val="false"/>
              </w:rPr>
              <w:t>2.63%</w:t>
            </w:r>
          </w:p>
        </w:tc>
        <w:tc>
          <w:tcPr>
            <w:tcW/>
            <w:vAlign w:val="center"/>
          </w:tcPr>
          <w:p>
            <w:pPr>
              <w:spacing w:line="240" w:lineRule="auto"/>
              <w:jc w:val="right"/>
            </w:pPr>
            <w:r>
              <w:rPr>
                <w:rFonts w:ascii="宋体" w:hAnsi="宋体" w:cs="宋体" w:eastAsia="宋体"/>
                <w:b w:val="false"/>
              </w:rPr>
              <w:t>14.91%</w:t>
            </w:r>
          </w:p>
        </w:tc>
        <w:tc>
          <w:tcPr>
            <w:tcW/>
            <w:vAlign w:val="center"/>
          </w:tcPr>
          <w:p>
            <w:pPr>
              <w:spacing w:line="240" w:lineRule="auto"/>
              <w:jc w:val="right"/>
            </w:pPr>
            <w:r>
              <w:rPr>
                <w:rFonts w:ascii="宋体" w:hAnsi="宋体" w:cs="宋体" w:eastAsia="宋体"/>
                <w:b w:val="false"/>
              </w:rPr>
              <w:t>0.72%</w:t>
            </w:r>
          </w:p>
        </w:tc>
        <w:tc>
          <w:tcPr>
            <w:tcW/>
            <w:vAlign w:val="center"/>
          </w:tcPr>
          <w:p>
            <w:pPr>
              <w:spacing w:line="240" w:lineRule="auto"/>
              <w:jc w:val="right"/>
            </w:pPr>
            <w:r>
              <w:rPr>
                <w:rFonts w:ascii="宋体" w:hAnsi="宋体" w:cs="宋体" w:eastAsia="宋体"/>
                <w:b w:val="false"/>
              </w:rPr>
              <w:t>48.45%</w:t>
            </w:r>
          </w:p>
        </w:tc>
        <w:tc>
          <w:tcPr>
            <w:tcW/>
            <w:vAlign w:val="center"/>
          </w:tcPr>
          <w:p>
            <w:pPr>
              <w:spacing w:line="240" w:lineRule="auto"/>
              <w:jc w:val="right"/>
            </w:pPr>
            <w:r>
              <w:rPr>
                <w:rFonts w:ascii="宋体" w:hAnsi="宋体" w:cs="宋体" w:eastAsia="宋体"/>
                <w:b w:val="false"/>
              </w:rPr>
              <w:t>1.91%</w:t>
            </w:r>
          </w:p>
        </w:tc>
      </w:tr>
      <w:tr>
        <w:tc>
          <w:tcPr>
            <w:tcW/>
            <w:vAlign w:val="center"/>
          </w:tcPr>
          <w:p>
            <w:pPr>
              <w:spacing w:line="240" w:lineRule="auto"/>
              <w:jc w:val="left"/>
            </w:pPr>
            <w:r>
              <w:rPr>
                <w:rFonts w:ascii="宋体" w:hAnsi="宋体" w:cs="宋体" w:eastAsia="宋体"/>
                <w:b w:val="false"/>
              </w:rPr>
              <w:t>过去一年</w:t>
            </w:r>
          </w:p>
        </w:tc>
        <w:tc>
          <w:tcPr>
            <w:tcW/>
            <w:vAlign w:val="center"/>
          </w:tcPr>
          <w:p>
            <w:pPr>
              <w:spacing w:line="240" w:lineRule="auto"/>
              <w:jc w:val="right"/>
            </w:pPr>
            <w:r>
              <w:rPr>
                <w:rFonts w:ascii="宋体" w:hAnsi="宋体" w:cs="宋体" w:eastAsia="宋体"/>
                <w:b w:val="false"/>
              </w:rPr>
              <w:t>68.52%</w:t>
            </w:r>
          </w:p>
        </w:tc>
        <w:tc>
          <w:tcPr>
            <w:tcW/>
            <w:vAlign w:val="center"/>
          </w:tcPr>
          <w:p>
            <w:pPr>
              <w:spacing w:line="240" w:lineRule="auto"/>
              <w:jc w:val="right"/>
            </w:pPr>
            <w:r>
              <w:rPr>
                <w:rFonts w:ascii="宋体" w:hAnsi="宋体" w:cs="宋体" w:eastAsia="宋体"/>
                <w:b w:val="false"/>
              </w:rPr>
              <w:t>2.64%</w:t>
            </w:r>
          </w:p>
        </w:tc>
        <w:tc>
          <w:tcPr>
            <w:tcW/>
            <w:vAlign w:val="center"/>
          </w:tcPr>
          <w:p>
            <w:pPr>
              <w:spacing w:line="240" w:lineRule="auto"/>
              <w:jc w:val="right"/>
            </w:pPr>
            <w:r>
              <w:rPr>
                <w:rFonts w:ascii="宋体" w:hAnsi="宋体" w:cs="宋体" w:eastAsia="宋体"/>
                <w:b w:val="false"/>
              </w:rPr>
              <w:t>14.34%</w:t>
            </w:r>
          </w:p>
        </w:tc>
        <w:tc>
          <w:tcPr>
            <w:tcW/>
            <w:vAlign w:val="center"/>
          </w:tcPr>
          <w:p>
            <w:pPr>
              <w:spacing w:line="240" w:lineRule="auto"/>
              <w:jc w:val="right"/>
            </w:pPr>
            <w:r>
              <w:rPr>
                <w:rFonts w:ascii="宋体" w:hAnsi="宋体" w:cs="宋体" w:eastAsia="宋体"/>
                <w:b w:val="false"/>
              </w:rPr>
              <w:t>0.87%</w:t>
            </w:r>
          </w:p>
        </w:tc>
        <w:tc>
          <w:tcPr>
            <w:tcW/>
            <w:vAlign w:val="center"/>
          </w:tcPr>
          <w:p>
            <w:pPr>
              <w:spacing w:line="240" w:lineRule="auto"/>
              <w:jc w:val="right"/>
            </w:pPr>
            <w:r>
              <w:rPr>
                <w:rFonts w:ascii="宋体" w:hAnsi="宋体" w:cs="宋体" w:eastAsia="宋体"/>
                <w:b w:val="false"/>
              </w:rPr>
              <w:t>54.18%</w:t>
            </w:r>
          </w:p>
        </w:tc>
        <w:tc>
          <w:tcPr>
            <w:tcW/>
            <w:vAlign w:val="center"/>
          </w:tcPr>
          <w:p>
            <w:pPr>
              <w:spacing w:line="240" w:lineRule="auto"/>
              <w:jc w:val="right"/>
            </w:pPr>
            <w:r>
              <w:rPr>
                <w:rFonts w:ascii="宋体" w:hAnsi="宋体" w:cs="宋体" w:eastAsia="宋体"/>
                <w:b w:val="false"/>
              </w:rPr>
              <w:t>1.77%</w:t>
            </w:r>
          </w:p>
        </w:tc>
      </w:tr>
      <w:tr>
        <w:tc>
          <w:tcPr>
            <w:tcW/>
            <w:vAlign w:val="center"/>
          </w:tcPr>
          <w:p>
            <w:pPr>
              <w:spacing w:line="240" w:lineRule="auto"/>
              <w:jc w:val="left"/>
            </w:pPr>
            <w:r>
              <w:rPr>
                <w:rFonts w:ascii="宋体" w:hAnsi="宋体" w:cs="宋体" w:eastAsia="宋体"/>
                <w:b w:val="false"/>
              </w:rPr>
              <w:t>过去三年</w:t>
            </w:r>
          </w:p>
        </w:tc>
        <w:tc>
          <w:tcPr>
            <w:tcW/>
            <w:vAlign w:val="center"/>
          </w:tcPr>
          <w:p>
            <w:pPr>
              <w:spacing w:line="240" w:lineRule="auto"/>
              <w:jc w:val="right"/>
            </w:pPr>
            <w:r>
              <w:rPr>
                <w:rFonts w:ascii="宋体" w:hAnsi="宋体" w:cs="宋体" w:eastAsia="宋体"/>
                <w:b w:val="false"/>
              </w:rPr>
              <w:t>20.35%</w:t>
            </w:r>
          </w:p>
        </w:tc>
        <w:tc>
          <w:tcPr>
            <w:tcW/>
            <w:vAlign w:val="center"/>
          </w:tcPr>
          <w:p>
            <w:pPr>
              <w:spacing w:line="240" w:lineRule="auto"/>
              <w:jc w:val="right"/>
            </w:pPr>
            <w:r>
              <w:rPr>
                <w:rFonts w:ascii="宋体" w:hAnsi="宋体" w:cs="宋体" w:eastAsia="宋体"/>
                <w:b w:val="false"/>
              </w:rPr>
              <w:t>2.33%</w:t>
            </w:r>
          </w:p>
        </w:tc>
        <w:tc>
          <w:tcPr>
            <w:tcW/>
            <w:vAlign w:val="center"/>
          </w:tcPr>
          <w:p>
            <w:pPr>
              <w:spacing w:line="240" w:lineRule="auto"/>
              <w:jc w:val="right"/>
            </w:pPr>
            <w:r>
              <w:rPr>
                <w:rFonts w:ascii="宋体" w:hAnsi="宋体" w:cs="宋体" w:eastAsia="宋体"/>
                <w:b w:val="false"/>
              </w:rPr>
              <w:t>21.86%</w:t>
            </w:r>
          </w:p>
        </w:tc>
        <w:tc>
          <w:tcPr>
            <w:tcW/>
            <w:vAlign w:val="center"/>
          </w:tcPr>
          <w:p>
            <w:pPr>
              <w:spacing w:line="240" w:lineRule="auto"/>
              <w:jc w:val="right"/>
            </w:pPr>
            <w:r>
              <w:rPr>
                <w:rFonts w:ascii="宋体" w:hAnsi="宋体" w:cs="宋体" w:eastAsia="宋体"/>
                <w:b w:val="false"/>
              </w:rPr>
              <w:t>0.78%</w:t>
            </w:r>
          </w:p>
        </w:tc>
        <w:tc>
          <w:tcPr>
            <w:tcW/>
            <w:vAlign w:val="center"/>
          </w:tcPr>
          <w:p>
            <w:pPr>
              <w:spacing w:line="240" w:lineRule="auto"/>
              <w:jc w:val="right"/>
            </w:pPr>
            <w:r>
              <w:rPr>
                <w:rFonts w:ascii="宋体" w:hAnsi="宋体" w:cs="宋体" w:eastAsia="宋体"/>
                <w:b w:val="false"/>
              </w:rPr>
              <w:t>-1.51%</w:t>
            </w:r>
          </w:p>
        </w:tc>
        <w:tc>
          <w:tcPr>
            <w:tcW/>
            <w:vAlign w:val="center"/>
          </w:tcPr>
          <w:p>
            <w:pPr>
              <w:spacing w:line="240" w:lineRule="auto"/>
              <w:jc w:val="right"/>
            </w:pPr>
            <w:r>
              <w:rPr>
                <w:rFonts w:ascii="宋体" w:hAnsi="宋体" w:cs="宋体" w:eastAsia="宋体"/>
                <w:b w:val="false"/>
              </w:rPr>
              <w:t>1.55%</w:t>
            </w:r>
          </w:p>
        </w:tc>
      </w:tr>
      <w:tr>
        <w:tc>
          <w:tcPr>
            <w:tcW/>
            <w:vAlign w:val="center"/>
          </w:tcPr>
          <w:p>
            <w:pPr>
              <w:spacing w:line="240" w:lineRule="auto"/>
              <w:jc w:val="left"/>
            </w:pPr>
            <w:r>
              <w:rPr>
                <w:rFonts w:ascii="宋体" w:hAnsi="宋体" w:cs="宋体" w:eastAsia="宋体"/>
                <w:b w:val="false"/>
              </w:rPr>
              <w:t>过去五年</w:t>
            </w:r>
          </w:p>
        </w:tc>
        <w:tc>
          <w:tcPr>
            <w:tcW/>
            <w:vAlign w:val="center"/>
          </w:tcPr>
          <w:p>
            <w:pPr>
              <w:spacing w:line="240" w:lineRule="auto"/>
              <w:jc w:val="right"/>
            </w:pPr>
            <w:r>
              <w:rPr>
                <w:rFonts w:ascii="宋体" w:hAnsi="宋体" w:cs="宋体" w:eastAsia="宋体"/>
                <w:b w:val="false"/>
              </w:rPr>
              <w:t>119.39%</w:t>
            </w:r>
          </w:p>
        </w:tc>
        <w:tc>
          <w:tcPr>
            <w:tcW/>
            <w:vAlign w:val="center"/>
          </w:tcPr>
          <w:p>
            <w:pPr>
              <w:spacing w:line="240" w:lineRule="auto"/>
              <w:jc w:val="right"/>
            </w:pPr>
            <w:r>
              <w:rPr>
                <w:rFonts w:ascii="宋体" w:hAnsi="宋体" w:cs="宋体" w:eastAsia="宋体"/>
                <w:b w:val="false"/>
              </w:rPr>
              <w:t>2.47%</w:t>
            </w:r>
          </w:p>
        </w:tc>
        <w:tc>
          <w:tcPr>
            <w:tcW/>
            <w:vAlign w:val="center"/>
          </w:tcPr>
          <w:p>
            <w:pPr>
              <w:spacing w:line="240" w:lineRule="auto"/>
              <w:jc w:val="right"/>
            </w:pPr>
            <w:r>
              <w:rPr>
                <w:rFonts w:ascii="宋体" w:hAnsi="宋体" w:cs="宋体" w:eastAsia="宋体"/>
                <w:b w:val="false"/>
              </w:rPr>
              <w:t>12.72%</w:t>
            </w:r>
          </w:p>
        </w:tc>
        <w:tc>
          <w:tcPr>
            <w:tcW/>
            <w:vAlign w:val="center"/>
          </w:tcPr>
          <w:p>
            <w:pPr>
              <w:spacing w:line="240" w:lineRule="auto"/>
              <w:jc w:val="right"/>
            </w:pPr>
            <w:r>
              <w:rPr>
                <w:rFonts w:ascii="宋体" w:hAnsi="宋体" w:cs="宋体" w:eastAsia="宋体"/>
                <w:b w:val="false"/>
              </w:rPr>
              <w:t>0.79%</w:t>
            </w:r>
          </w:p>
        </w:tc>
        <w:tc>
          <w:tcPr>
            <w:tcW/>
            <w:vAlign w:val="center"/>
          </w:tcPr>
          <w:p>
            <w:pPr>
              <w:spacing w:line="240" w:lineRule="auto"/>
              <w:jc w:val="right"/>
            </w:pPr>
            <w:r>
              <w:rPr>
                <w:rFonts w:ascii="宋体" w:hAnsi="宋体" w:cs="宋体" w:eastAsia="宋体"/>
                <w:b w:val="false"/>
              </w:rPr>
              <w:t>106.67%</w:t>
            </w:r>
          </w:p>
        </w:tc>
        <w:tc>
          <w:tcPr>
            <w:tcW/>
            <w:vAlign w:val="center"/>
          </w:tcPr>
          <w:p>
            <w:pPr>
              <w:spacing w:line="240" w:lineRule="auto"/>
              <w:jc w:val="right"/>
            </w:pPr>
            <w:r>
              <w:rPr>
                <w:rFonts w:ascii="宋体" w:hAnsi="宋体" w:cs="宋体" w:eastAsia="宋体"/>
                <w:b w:val="false"/>
              </w:rPr>
              <w:t>1.68%</w:t>
            </w:r>
          </w:p>
        </w:tc>
      </w:tr>
      <w:tr>
        <w:tc>
          <w:tcPr>
            <w:tcW/>
            <w:vAlign w:val="center"/>
          </w:tcPr>
          <w:p>
            <w:pPr>
              <w:spacing w:line="240" w:lineRule="auto"/>
              <w:jc w:val="left"/>
            </w:pPr>
            <w:r>
              <w:rPr>
                <w:rFonts w:ascii="宋体" w:hAnsi="宋体" w:cs="宋体" w:eastAsia="宋体"/>
                <w:b w:val="false"/>
              </w:rPr>
              <w:t>自基金合同生效起至今</w:t>
            </w:r>
          </w:p>
        </w:tc>
        <w:tc>
          <w:tcPr>
            <w:tcW/>
            <w:vAlign w:val="center"/>
          </w:tcPr>
          <w:p>
            <w:pPr>
              <w:spacing w:line="240" w:lineRule="auto"/>
              <w:jc w:val="right"/>
            </w:pPr>
            <w:r>
              <w:rPr>
                <w:rFonts w:ascii="宋体" w:hAnsi="宋体" w:cs="宋体" w:eastAsia="宋体"/>
                <w:b w:val="false"/>
              </w:rPr>
              <w:t>107.43%</w:t>
            </w:r>
          </w:p>
        </w:tc>
        <w:tc>
          <w:tcPr>
            <w:tcW/>
            <w:vAlign w:val="center"/>
          </w:tcPr>
          <w:p>
            <w:pPr>
              <w:spacing w:line="240" w:lineRule="auto"/>
              <w:jc w:val="right"/>
            </w:pPr>
            <w:r>
              <w:rPr>
                <w:rFonts w:ascii="宋体" w:hAnsi="宋体" w:cs="宋体" w:eastAsia="宋体"/>
                <w:b w:val="false"/>
              </w:rPr>
              <w:t>2.43%</w:t>
            </w:r>
          </w:p>
        </w:tc>
        <w:tc>
          <w:tcPr>
            <w:tcW/>
            <w:vAlign w:val="center"/>
          </w:tcPr>
          <w:p>
            <w:pPr>
              <w:spacing w:line="240" w:lineRule="auto"/>
              <w:jc w:val="right"/>
            </w:pPr>
            <w:r>
              <w:rPr>
                <w:rFonts w:ascii="宋体" w:hAnsi="宋体" w:cs="宋体" w:eastAsia="宋体"/>
                <w:b w:val="false"/>
              </w:rPr>
              <w:t>20.48%</w:t>
            </w:r>
          </w:p>
        </w:tc>
        <w:tc>
          <w:tcPr>
            <w:tcW/>
            <w:vAlign w:val="center"/>
          </w:tcPr>
          <w:p>
            <w:pPr>
              <w:spacing w:line="240" w:lineRule="auto"/>
              <w:jc w:val="right"/>
            </w:pPr>
            <w:r>
              <w:rPr>
                <w:rFonts w:ascii="宋体" w:hAnsi="宋体" w:cs="宋体" w:eastAsia="宋体"/>
                <w:b w:val="false"/>
              </w:rPr>
              <w:t>0.81%</w:t>
            </w:r>
          </w:p>
        </w:tc>
        <w:tc>
          <w:tcPr>
            <w:tcW/>
            <w:vAlign w:val="center"/>
          </w:tcPr>
          <w:p>
            <w:pPr>
              <w:spacing w:line="240" w:lineRule="auto"/>
              <w:jc w:val="right"/>
            </w:pPr>
            <w:r>
              <w:rPr>
                <w:rFonts w:ascii="宋体" w:hAnsi="宋体" w:cs="宋体" w:eastAsia="宋体"/>
                <w:b w:val="false"/>
              </w:rPr>
              <w:t>86.95%</w:t>
            </w:r>
          </w:p>
        </w:tc>
        <w:tc>
          <w:tcPr>
            <w:tcW/>
            <w:vAlign w:val="center"/>
          </w:tcPr>
          <w:p>
            <w:pPr>
              <w:spacing w:line="240" w:lineRule="auto"/>
              <w:jc w:val="right"/>
            </w:pPr>
            <w:r>
              <w:rPr>
                <w:rFonts w:ascii="宋体" w:hAnsi="宋体" w:cs="宋体" w:eastAsia="宋体"/>
                <w:b w:val="false"/>
              </w:rPr>
              <w:t>1.62%</w:t>
            </w:r>
          </w:p>
        </w:tc>
      </w:tr>
    </w:tbl>
    <w:p>
      <w:pPr>
        <w:jc w:val="left"/>
      </w:pPr>
      <w:r>
        <w:rPr>
          <w:rFonts w:ascii="宋体" w:hAnsi="宋体" w:cs="宋体" w:eastAsia="宋体"/>
          <w:b w:val="true"/>
        </w:rPr>
        <w:t>东方阿尔法优势产业混合C净值表现</w:t>
      </w:r>
    </w:p>
    <w:tbl>
      <w:tblPr>
        <w:tblW w:w="5000" w:type="pct"/>
        <w:tblBorders>
          <w:top w:val="single" w:sz="4"/>
          <w:left w:val="single" w:sz="4"/>
          <w:bottom w:val="single" w:sz="4"/>
          <w:right w:val="single" w:sz="4"/>
          <w:insideH w:val="single" w:sz="4"/>
          <w:insideV w:val="single" w:sz="4"/>
        </w:tblBorders>
      </w:tblPr>
      <w:tblGrid>
        <w:gridCol w:w="1295"/>
        <w:gridCol w:w="1295"/>
        <w:gridCol w:w="1295"/>
        <w:gridCol w:w="1295"/>
        <w:gridCol w:w="1295"/>
        <w:gridCol w:w="1295"/>
        <w:gridCol w:w="1295"/>
      </w:tblGrid>
      <w:tr>
        <w:tc>
          <w:tcPr>
            <w:tcW w:type="pct" w:w="846"/>
            <w:vAlign w:val="center"/>
          </w:tcPr>
          <w:tcPr>
            <w:shd w:fill="d9d9d9"/>
          </w:tcPr>
          <w:p>
            <w:pPr>
              <w:spacing w:line="240" w:lineRule="auto"/>
              <w:jc w:val="center"/>
            </w:pPr>
            <w:r>
              <w:rPr>
                <w:rFonts w:ascii="宋体" w:hAnsi="宋体" w:cs="宋体" w:eastAsia="宋体"/>
                <w:b w:val="false"/>
              </w:rPr>
              <w:t>阶段</w:t>
            </w:r>
          </w:p>
        </w:tc>
        <w:tc>
          <w:tcPr>
            <w:tcW w:type="pct" w:w="692"/>
            <w:vAlign w:val="center"/>
          </w:tcPr>
          <w:tcPr>
            <w:shd w:fill="d9d9d9"/>
          </w:tcPr>
          <w:p>
            <w:pPr>
              <w:spacing w:line="240" w:lineRule="auto"/>
              <w:jc w:val="center"/>
            </w:pPr>
            <w:r>
              <w:rPr>
                <w:rFonts w:ascii="宋体" w:hAnsi="宋体" w:cs="宋体" w:eastAsia="宋体"/>
                <w:b w:val="false"/>
              </w:rPr>
              <w:t>净值增长率①</w:t>
            </w:r>
          </w:p>
        </w:tc>
        <w:tc>
          <w:tcPr>
            <w:tcW w:type="pct" w:w="692"/>
            <w:vAlign w:val="center"/>
          </w:tcPr>
          <w:tcPr>
            <w:shd w:fill="d9d9d9"/>
          </w:tcPr>
          <w:p>
            <w:pPr>
              <w:spacing w:line="240" w:lineRule="auto"/>
              <w:jc w:val="center"/>
            </w:pPr>
            <w:r>
              <w:rPr>
                <w:rFonts w:ascii="宋体" w:hAnsi="宋体" w:cs="宋体" w:eastAsia="宋体"/>
                <w:b w:val="false"/>
              </w:rPr>
              <w:t>净值增长率标准差②</w:t>
            </w:r>
          </w:p>
        </w:tc>
        <w:tc>
          <w:tcPr>
            <w:tcW w:type="pct" w:w="692"/>
            <w:vAlign w:val="center"/>
          </w:tcPr>
          <w:tcPr>
            <w:shd w:fill="d9d9d9"/>
          </w:tcPr>
          <w:p>
            <w:pPr>
              <w:spacing w:line="240" w:lineRule="auto"/>
              <w:jc w:val="center"/>
            </w:pPr>
            <w:r>
              <w:rPr>
                <w:rFonts w:ascii="宋体" w:hAnsi="宋体" w:cs="宋体" w:eastAsia="宋体"/>
                <w:b w:val="false"/>
              </w:rPr>
              <w:t>业绩比较基准收益率③</w:t>
            </w:r>
          </w:p>
        </w:tc>
        <w:tc>
          <w:tcPr>
            <w:tcW w:type="pct" w:w="692"/>
            <w:vAlign w:val="center"/>
          </w:tcPr>
          <w:tcPr>
            <w:shd w:fill="d9d9d9"/>
          </w:tcPr>
          <w:p>
            <w:pPr>
              <w:spacing w:line="240" w:lineRule="auto"/>
              <w:jc w:val="center"/>
            </w:pPr>
            <w:r>
              <w:rPr>
                <w:rFonts w:ascii="宋体" w:hAnsi="宋体" w:cs="宋体" w:eastAsia="宋体"/>
                <w:b w:val="false"/>
              </w:rPr>
              <w:t>业绩比较基准收益率标准差④</w:t>
            </w:r>
          </w:p>
        </w:tc>
        <w:tc>
          <w:tcPr>
            <w:tcW w:type="pct" w:w="692"/>
            <w:vAlign w:val="center"/>
          </w:tcPr>
          <w:tcPr>
            <w:shd w:fill="d9d9d9"/>
          </w:tcPr>
          <w:p>
            <w:pPr>
              <w:spacing w:line="240" w:lineRule="auto"/>
              <w:jc w:val="center"/>
            </w:pPr>
            <w:r>
              <w:rPr>
                <w:rFonts w:ascii="宋体" w:hAnsi="宋体" w:cs="宋体" w:eastAsia="宋体"/>
                <w:b w:val="false"/>
              </w:rPr>
              <w:t>①-③</w:t>
            </w:r>
          </w:p>
        </w:tc>
        <w:tc>
          <w:tcPr>
            <w:tcW w:type="pct" w:w="692"/>
            <w:vAlign w:val="center"/>
          </w:tcPr>
          <w:tcPr>
            <w:shd w:fill="d9d9d9"/>
          </w:tcPr>
          <w:p>
            <w:pPr>
              <w:spacing w:line="240" w:lineRule="auto"/>
              <w:jc w:val="center"/>
            </w:pPr>
            <w:r>
              <w:rPr>
                <w:rFonts w:ascii="宋体" w:hAnsi="宋体" w:cs="宋体" w:eastAsia="宋体"/>
                <w:b w:val="false"/>
              </w:rPr>
              <w:t>②-④</w:t>
            </w:r>
          </w:p>
        </w:tc>
      </w:tr>
      <w:tr>
        <w:tc>
          <w:tcPr>
            <w:tcW/>
            <w:vAlign w:val="center"/>
          </w:tcPr>
          <w:p>
            <w:pPr>
              <w:spacing w:line="240" w:lineRule="auto"/>
              <w:jc w:val="left"/>
            </w:pPr>
            <w:r>
              <w:rPr>
                <w:rFonts w:ascii="宋体" w:hAnsi="宋体" w:cs="宋体" w:eastAsia="宋体"/>
                <w:b w:val="false"/>
              </w:rPr>
              <w:t>过去三个月</w:t>
            </w:r>
          </w:p>
        </w:tc>
        <w:tc>
          <w:tcPr>
            <w:tcW/>
            <w:vAlign w:val="center"/>
          </w:tcPr>
          <w:p>
            <w:pPr>
              <w:spacing w:line="240" w:lineRule="auto"/>
              <w:jc w:val="right"/>
            </w:pPr>
            <w:r>
              <w:rPr>
                <w:rFonts w:ascii="宋体" w:hAnsi="宋体" w:cs="宋体" w:eastAsia="宋体"/>
                <w:b w:val="false"/>
              </w:rPr>
              <w:t>60.71%</w:t>
            </w:r>
          </w:p>
        </w:tc>
        <w:tc>
          <w:tcPr>
            <w:tcW/>
            <w:vAlign w:val="center"/>
          </w:tcPr>
          <w:p>
            <w:pPr>
              <w:spacing w:line="240" w:lineRule="auto"/>
              <w:jc w:val="right"/>
            </w:pPr>
            <w:r>
              <w:rPr>
                <w:rFonts w:ascii="宋体" w:hAnsi="宋体" w:cs="宋体" w:eastAsia="宋体"/>
                <w:b w:val="false"/>
              </w:rPr>
              <w:t>2.97%</w:t>
            </w:r>
          </w:p>
        </w:tc>
        <w:tc>
          <w:tcPr>
            <w:tcW/>
            <w:vAlign w:val="center"/>
          </w:tcPr>
          <w:p>
            <w:pPr>
              <w:spacing w:line="240" w:lineRule="auto"/>
              <w:jc w:val="right"/>
            </w:pPr>
            <w:r>
              <w:rPr>
                <w:rFonts w:ascii="宋体" w:hAnsi="宋体" w:cs="宋体" w:eastAsia="宋体"/>
                <w:b w:val="false"/>
              </w:rPr>
              <w:t>13.26%</w:t>
            </w:r>
          </w:p>
        </w:tc>
        <w:tc>
          <w:tcPr>
            <w:tcW/>
            <w:vAlign w:val="center"/>
          </w:tcPr>
          <w:p>
            <w:pPr>
              <w:spacing w:line="240" w:lineRule="auto"/>
              <w:jc w:val="right"/>
            </w:pPr>
            <w:r>
              <w:rPr>
                <w:rFonts w:ascii="宋体" w:hAnsi="宋体" w:cs="宋体" w:eastAsia="宋体"/>
                <w:b w:val="false"/>
              </w:rPr>
              <w:t>0.62%</w:t>
            </w:r>
          </w:p>
        </w:tc>
        <w:tc>
          <w:tcPr>
            <w:tcW/>
            <w:vAlign w:val="center"/>
          </w:tcPr>
          <w:p>
            <w:pPr>
              <w:spacing w:line="240" w:lineRule="auto"/>
              <w:jc w:val="right"/>
            </w:pPr>
            <w:r>
              <w:rPr>
                <w:rFonts w:ascii="宋体" w:hAnsi="宋体" w:cs="宋体" w:eastAsia="宋体"/>
                <w:b w:val="false"/>
              </w:rPr>
              <w:t>47.45%</w:t>
            </w:r>
          </w:p>
        </w:tc>
        <w:tc>
          <w:tcPr>
            <w:tcW/>
            <w:vAlign w:val="center"/>
          </w:tcPr>
          <w:p>
            <w:pPr>
              <w:spacing w:line="240" w:lineRule="auto"/>
              <w:jc w:val="right"/>
            </w:pPr>
            <w:r>
              <w:rPr>
                <w:rFonts w:ascii="宋体" w:hAnsi="宋体" w:cs="宋体" w:eastAsia="宋体"/>
                <w:b w:val="false"/>
              </w:rPr>
              <w:t>2.35%</w:t>
            </w:r>
          </w:p>
        </w:tc>
      </w:tr>
      <w:tr>
        <w:tc>
          <w:tcPr>
            <w:tcW/>
            <w:vAlign w:val="center"/>
          </w:tcPr>
          <w:p>
            <w:pPr>
              <w:spacing w:line="240" w:lineRule="auto"/>
              <w:jc w:val="left"/>
            </w:pPr>
            <w:r>
              <w:rPr>
                <w:rFonts w:ascii="宋体" w:hAnsi="宋体" w:cs="宋体" w:eastAsia="宋体"/>
                <w:b w:val="false"/>
              </w:rPr>
              <w:t>过去六个月</w:t>
            </w:r>
          </w:p>
        </w:tc>
        <w:tc>
          <w:tcPr>
            <w:tcW/>
            <w:vAlign w:val="center"/>
          </w:tcPr>
          <w:p>
            <w:pPr>
              <w:spacing w:line="240" w:lineRule="auto"/>
              <w:jc w:val="right"/>
            </w:pPr>
            <w:r>
              <w:rPr>
                <w:rFonts w:ascii="宋体" w:hAnsi="宋体" w:cs="宋体" w:eastAsia="宋体"/>
                <w:b w:val="false"/>
              </w:rPr>
              <w:t>62.94%</w:t>
            </w:r>
          </w:p>
        </w:tc>
        <w:tc>
          <w:tcPr>
            <w:tcW/>
            <w:vAlign w:val="center"/>
          </w:tcPr>
          <w:p>
            <w:pPr>
              <w:spacing w:line="240" w:lineRule="auto"/>
              <w:jc w:val="right"/>
            </w:pPr>
            <w:r>
              <w:rPr>
                <w:rFonts w:ascii="宋体" w:hAnsi="宋体" w:cs="宋体" w:eastAsia="宋体"/>
                <w:b w:val="false"/>
              </w:rPr>
              <w:t>2.63%</w:t>
            </w:r>
          </w:p>
        </w:tc>
        <w:tc>
          <w:tcPr>
            <w:tcW/>
            <w:vAlign w:val="center"/>
          </w:tcPr>
          <w:p>
            <w:pPr>
              <w:spacing w:line="240" w:lineRule="auto"/>
              <w:jc w:val="right"/>
            </w:pPr>
            <w:r>
              <w:rPr>
                <w:rFonts w:ascii="宋体" w:hAnsi="宋体" w:cs="宋体" w:eastAsia="宋体"/>
                <w:b w:val="false"/>
              </w:rPr>
              <w:t>14.91%</w:t>
            </w:r>
          </w:p>
        </w:tc>
        <w:tc>
          <w:tcPr>
            <w:tcW/>
            <w:vAlign w:val="center"/>
          </w:tcPr>
          <w:p>
            <w:pPr>
              <w:spacing w:line="240" w:lineRule="auto"/>
              <w:jc w:val="right"/>
            </w:pPr>
            <w:r>
              <w:rPr>
                <w:rFonts w:ascii="宋体" w:hAnsi="宋体" w:cs="宋体" w:eastAsia="宋体"/>
                <w:b w:val="false"/>
              </w:rPr>
              <w:t>0.72%</w:t>
            </w:r>
          </w:p>
        </w:tc>
        <w:tc>
          <w:tcPr>
            <w:tcW/>
            <w:vAlign w:val="center"/>
          </w:tcPr>
          <w:p>
            <w:pPr>
              <w:spacing w:line="240" w:lineRule="auto"/>
              <w:jc w:val="right"/>
            </w:pPr>
            <w:r>
              <w:rPr>
                <w:rFonts w:ascii="宋体" w:hAnsi="宋体" w:cs="宋体" w:eastAsia="宋体"/>
                <w:b w:val="false"/>
              </w:rPr>
              <w:t>48.03%</w:t>
            </w:r>
          </w:p>
        </w:tc>
        <w:tc>
          <w:tcPr>
            <w:tcW/>
            <w:vAlign w:val="center"/>
          </w:tcPr>
          <w:p>
            <w:pPr>
              <w:spacing w:line="240" w:lineRule="auto"/>
              <w:jc w:val="right"/>
            </w:pPr>
            <w:r>
              <w:rPr>
                <w:rFonts w:ascii="宋体" w:hAnsi="宋体" w:cs="宋体" w:eastAsia="宋体"/>
                <w:b w:val="false"/>
              </w:rPr>
              <w:t>1.91%</w:t>
            </w:r>
          </w:p>
        </w:tc>
      </w:tr>
      <w:tr>
        <w:tc>
          <w:tcPr>
            <w:tcW/>
            <w:vAlign w:val="center"/>
          </w:tcPr>
          <w:p>
            <w:pPr>
              <w:spacing w:line="240" w:lineRule="auto"/>
              <w:jc w:val="left"/>
            </w:pPr>
            <w:r>
              <w:rPr>
                <w:rFonts w:ascii="宋体" w:hAnsi="宋体" w:cs="宋体" w:eastAsia="宋体"/>
                <w:b w:val="false"/>
              </w:rPr>
              <w:t>过去一年</w:t>
            </w:r>
          </w:p>
        </w:tc>
        <w:tc>
          <w:tcPr>
            <w:tcW/>
            <w:vAlign w:val="center"/>
          </w:tcPr>
          <w:p>
            <w:pPr>
              <w:spacing w:line="240" w:lineRule="auto"/>
              <w:jc w:val="right"/>
            </w:pPr>
            <w:r>
              <w:rPr>
                <w:rFonts w:ascii="宋体" w:hAnsi="宋体" w:cs="宋体" w:eastAsia="宋体"/>
                <w:b w:val="false"/>
              </w:rPr>
              <w:t>67.67%</w:t>
            </w:r>
          </w:p>
        </w:tc>
        <w:tc>
          <w:tcPr>
            <w:tcW/>
            <w:vAlign w:val="center"/>
          </w:tcPr>
          <w:p>
            <w:pPr>
              <w:spacing w:line="240" w:lineRule="auto"/>
              <w:jc w:val="right"/>
            </w:pPr>
            <w:r>
              <w:rPr>
                <w:rFonts w:ascii="宋体" w:hAnsi="宋体" w:cs="宋体" w:eastAsia="宋体"/>
                <w:b w:val="false"/>
              </w:rPr>
              <w:t>2.64%</w:t>
            </w:r>
          </w:p>
        </w:tc>
        <w:tc>
          <w:tcPr>
            <w:tcW/>
            <w:vAlign w:val="center"/>
          </w:tcPr>
          <w:p>
            <w:pPr>
              <w:spacing w:line="240" w:lineRule="auto"/>
              <w:jc w:val="right"/>
            </w:pPr>
            <w:r>
              <w:rPr>
                <w:rFonts w:ascii="宋体" w:hAnsi="宋体" w:cs="宋体" w:eastAsia="宋体"/>
                <w:b w:val="false"/>
              </w:rPr>
              <w:t>14.34%</w:t>
            </w:r>
          </w:p>
        </w:tc>
        <w:tc>
          <w:tcPr>
            <w:tcW/>
            <w:vAlign w:val="center"/>
          </w:tcPr>
          <w:p>
            <w:pPr>
              <w:spacing w:line="240" w:lineRule="auto"/>
              <w:jc w:val="right"/>
            </w:pPr>
            <w:r>
              <w:rPr>
                <w:rFonts w:ascii="宋体" w:hAnsi="宋体" w:cs="宋体" w:eastAsia="宋体"/>
                <w:b w:val="false"/>
              </w:rPr>
              <w:t>0.87%</w:t>
            </w:r>
          </w:p>
        </w:tc>
        <w:tc>
          <w:tcPr>
            <w:tcW/>
            <w:vAlign w:val="center"/>
          </w:tcPr>
          <w:p>
            <w:pPr>
              <w:spacing w:line="240" w:lineRule="auto"/>
              <w:jc w:val="right"/>
            </w:pPr>
            <w:r>
              <w:rPr>
                <w:rFonts w:ascii="宋体" w:hAnsi="宋体" w:cs="宋体" w:eastAsia="宋体"/>
                <w:b w:val="false"/>
              </w:rPr>
              <w:t>53.33%</w:t>
            </w:r>
          </w:p>
        </w:tc>
        <w:tc>
          <w:tcPr>
            <w:tcW/>
            <w:vAlign w:val="center"/>
          </w:tcPr>
          <w:p>
            <w:pPr>
              <w:spacing w:line="240" w:lineRule="auto"/>
              <w:jc w:val="right"/>
            </w:pPr>
            <w:r>
              <w:rPr>
                <w:rFonts w:ascii="宋体" w:hAnsi="宋体" w:cs="宋体" w:eastAsia="宋体"/>
                <w:b w:val="false"/>
              </w:rPr>
              <w:t>1.77%</w:t>
            </w:r>
          </w:p>
        </w:tc>
      </w:tr>
      <w:tr>
        <w:tc>
          <w:tcPr>
            <w:tcW/>
            <w:vAlign w:val="center"/>
          </w:tcPr>
          <w:p>
            <w:pPr>
              <w:spacing w:line="240" w:lineRule="auto"/>
              <w:jc w:val="left"/>
            </w:pPr>
            <w:r>
              <w:rPr>
                <w:rFonts w:ascii="宋体" w:hAnsi="宋体" w:cs="宋体" w:eastAsia="宋体"/>
                <w:b w:val="false"/>
              </w:rPr>
              <w:t>过去三年</w:t>
            </w:r>
          </w:p>
        </w:tc>
        <w:tc>
          <w:tcPr>
            <w:tcW/>
            <w:vAlign w:val="center"/>
          </w:tcPr>
          <w:p>
            <w:pPr>
              <w:spacing w:line="240" w:lineRule="auto"/>
              <w:jc w:val="right"/>
            </w:pPr>
            <w:r>
              <w:rPr>
                <w:rFonts w:ascii="宋体" w:hAnsi="宋体" w:cs="宋体" w:eastAsia="宋体"/>
                <w:b w:val="false"/>
              </w:rPr>
              <w:t>18.56%</w:t>
            </w:r>
          </w:p>
        </w:tc>
        <w:tc>
          <w:tcPr>
            <w:tcW/>
            <w:vAlign w:val="center"/>
          </w:tcPr>
          <w:p>
            <w:pPr>
              <w:spacing w:line="240" w:lineRule="auto"/>
              <w:jc w:val="right"/>
            </w:pPr>
            <w:r>
              <w:rPr>
                <w:rFonts w:ascii="宋体" w:hAnsi="宋体" w:cs="宋体" w:eastAsia="宋体"/>
                <w:b w:val="false"/>
              </w:rPr>
              <w:t>2.33%</w:t>
            </w:r>
          </w:p>
        </w:tc>
        <w:tc>
          <w:tcPr>
            <w:tcW/>
            <w:vAlign w:val="center"/>
          </w:tcPr>
          <w:p>
            <w:pPr>
              <w:spacing w:line="240" w:lineRule="auto"/>
              <w:jc w:val="right"/>
            </w:pPr>
            <w:r>
              <w:rPr>
                <w:rFonts w:ascii="宋体" w:hAnsi="宋体" w:cs="宋体" w:eastAsia="宋体"/>
                <w:b w:val="false"/>
              </w:rPr>
              <w:t>21.86%</w:t>
            </w:r>
          </w:p>
        </w:tc>
        <w:tc>
          <w:tcPr>
            <w:tcW/>
            <w:vAlign w:val="center"/>
          </w:tcPr>
          <w:p>
            <w:pPr>
              <w:spacing w:line="240" w:lineRule="auto"/>
              <w:jc w:val="right"/>
            </w:pPr>
            <w:r>
              <w:rPr>
                <w:rFonts w:ascii="宋体" w:hAnsi="宋体" w:cs="宋体" w:eastAsia="宋体"/>
                <w:b w:val="false"/>
              </w:rPr>
              <w:t>0.78%</w:t>
            </w:r>
          </w:p>
        </w:tc>
        <w:tc>
          <w:tcPr>
            <w:tcW/>
            <w:vAlign w:val="center"/>
          </w:tcPr>
          <w:p>
            <w:pPr>
              <w:spacing w:line="240" w:lineRule="auto"/>
              <w:jc w:val="right"/>
            </w:pPr>
            <w:r>
              <w:rPr>
                <w:rFonts w:ascii="宋体" w:hAnsi="宋体" w:cs="宋体" w:eastAsia="宋体"/>
                <w:b w:val="false"/>
              </w:rPr>
              <w:t>-3.30%</w:t>
            </w:r>
          </w:p>
        </w:tc>
        <w:tc>
          <w:tcPr>
            <w:tcW/>
            <w:vAlign w:val="center"/>
          </w:tcPr>
          <w:p>
            <w:pPr>
              <w:spacing w:line="240" w:lineRule="auto"/>
              <w:jc w:val="right"/>
            </w:pPr>
            <w:r>
              <w:rPr>
                <w:rFonts w:ascii="宋体" w:hAnsi="宋体" w:cs="宋体" w:eastAsia="宋体"/>
                <w:b w:val="false"/>
              </w:rPr>
              <w:t>1.55%</w:t>
            </w:r>
          </w:p>
        </w:tc>
      </w:tr>
      <w:tr>
        <w:tc>
          <w:tcPr>
            <w:tcW/>
            <w:vAlign w:val="center"/>
          </w:tcPr>
          <w:p>
            <w:pPr>
              <w:spacing w:line="240" w:lineRule="auto"/>
              <w:jc w:val="left"/>
            </w:pPr>
            <w:r>
              <w:rPr>
                <w:rFonts w:ascii="宋体" w:hAnsi="宋体" w:cs="宋体" w:eastAsia="宋体"/>
                <w:b w:val="false"/>
              </w:rPr>
              <w:t>过去五年</w:t>
            </w:r>
          </w:p>
        </w:tc>
        <w:tc>
          <w:tcPr>
            <w:tcW/>
            <w:vAlign w:val="center"/>
          </w:tcPr>
          <w:p>
            <w:pPr>
              <w:spacing w:line="240" w:lineRule="auto"/>
              <w:jc w:val="right"/>
            </w:pPr>
            <w:r>
              <w:rPr>
                <w:rFonts w:ascii="宋体" w:hAnsi="宋体" w:cs="宋体" w:eastAsia="宋体"/>
                <w:b w:val="false"/>
              </w:rPr>
              <w:t>113.98%</w:t>
            </w:r>
          </w:p>
        </w:tc>
        <w:tc>
          <w:tcPr>
            <w:tcW/>
            <w:vAlign w:val="center"/>
          </w:tcPr>
          <w:p>
            <w:pPr>
              <w:spacing w:line="240" w:lineRule="auto"/>
              <w:jc w:val="right"/>
            </w:pPr>
            <w:r>
              <w:rPr>
                <w:rFonts w:ascii="宋体" w:hAnsi="宋体" w:cs="宋体" w:eastAsia="宋体"/>
                <w:b w:val="false"/>
              </w:rPr>
              <w:t>2.47%</w:t>
            </w:r>
          </w:p>
        </w:tc>
        <w:tc>
          <w:tcPr>
            <w:tcW/>
            <w:vAlign w:val="center"/>
          </w:tcPr>
          <w:p>
            <w:pPr>
              <w:spacing w:line="240" w:lineRule="auto"/>
              <w:jc w:val="right"/>
            </w:pPr>
            <w:r>
              <w:rPr>
                <w:rFonts w:ascii="宋体" w:hAnsi="宋体" w:cs="宋体" w:eastAsia="宋体"/>
                <w:b w:val="false"/>
              </w:rPr>
              <w:t>12.72%</w:t>
            </w:r>
          </w:p>
        </w:tc>
        <w:tc>
          <w:tcPr>
            <w:tcW/>
            <w:vAlign w:val="center"/>
          </w:tcPr>
          <w:p>
            <w:pPr>
              <w:spacing w:line="240" w:lineRule="auto"/>
              <w:jc w:val="right"/>
            </w:pPr>
            <w:r>
              <w:rPr>
                <w:rFonts w:ascii="宋体" w:hAnsi="宋体" w:cs="宋体" w:eastAsia="宋体"/>
                <w:b w:val="false"/>
              </w:rPr>
              <w:t>0.79%</w:t>
            </w:r>
          </w:p>
        </w:tc>
        <w:tc>
          <w:tcPr>
            <w:tcW/>
            <w:vAlign w:val="center"/>
          </w:tcPr>
          <w:p>
            <w:pPr>
              <w:spacing w:line="240" w:lineRule="auto"/>
              <w:jc w:val="right"/>
            </w:pPr>
            <w:r>
              <w:rPr>
                <w:rFonts w:ascii="宋体" w:hAnsi="宋体" w:cs="宋体" w:eastAsia="宋体"/>
                <w:b w:val="false"/>
              </w:rPr>
              <w:t>101.26%</w:t>
            </w:r>
          </w:p>
        </w:tc>
        <w:tc>
          <w:tcPr>
            <w:tcW/>
            <w:vAlign w:val="center"/>
          </w:tcPr>
          <w:p>
            <w:pPr>
              <w:spacing w:line="240" w:lineRule="auto"/>
              <w:jc w:val="right"/>
            </w:pPr>
            <w:r>
              <w:rPr>
                <w:rFonts w:ascii="宋体" w:hAnsi="宋体" w:cs="宋体" w:eastAsia="宋体"/>
                <w:b w:val="false"/>
              </w:rPr>
              <w:t>1.68%</w:t>
            </w:r>
          </w:p>
        </w:tc>
      </w:tr>
      <w:tr>
        <w:tc>
          <w:tcPr>
            <w:tcW/>
            <w:vAlign w:val="center"/>
          </w:tcPr>
          <w:p>
            <w:pPr>
              <w:spacing w:line="240" w:lineRule="auto"/>
              <w:jc w:val="left"/>
            </w:pPr>
            <w:r>
              <w:rPr>
                <w:rFonts w:ascii="宋体" w:hAnsi="宋体" w:cs="宋体" w:eastAsia="宋体"/>
                <w:b w:val="false"/>
              </w:rPr>
              <w:t>自基金合同生效起至今</w:t>
            </w:r>
          </w:p>
        </w:tc>
        <w:tc>
          <w:tcPr>
            <w:tcW/>
            <w:vAlign w:val="center"/>
          </w:tcPr>
          <w:p>
            <w:pPr>
              <w:spacing w:line="240" w:lineRule="auto"/>
              <w:jc w:val="right"/>
            </w:pPr>
            <w:r>
              <w:rPr>
                <w:rFonts w:ascii="宋体" w:hAnsi="宋体" w:cs="宋体" w:eastAsia="宋体"/>
                <w:b w:val="false"/>
              </w:rPr>
              <w:t>102.06%</w:t>
            </w:r>
          </w:p>
        </w:tc>
        <w:tc>
          <w:tcPr>
            <w:tcW/>
            <w:vAlign w:val="center"/>
          </w:tcPr>
          <w:p>
            <w:pPr>
              <w:spacing w:line="240" w:lineRule="auto"/>
              <w:jc w:val="right"/>
            </w:pPr>
            <w:r>
              <w:rPr>
                <w:rFonts w:ascii="宋体" w:hAnsi="宋体" w:cs="宋体" w:eastAsia="宋体"/>
                <w:b w:val="false"/>
              </w:rPr>
              <w:t>2.43%</w:t>
            </w:r>
          </w:p>
        </w:tc>
        <w:tc>
          <w:tcPr>
            <w:tcW/>
            <w:vAlign w:val="center"/>
          </w:tcPr>
          <w:p>
            <w:pPr>
              <w:spacing w:line="240" w:lineRule="auto"/>
              <w:jc w:val="right"/>
            </w:pPr>
            <w:r>
              <w:rPr>
                <w:rFonts w:ascii="宋体" w:hAnsi="宋体" w:cs="宋体" w:eastAsia="宋体"/>
                <w:b w:val="false"/>
              </w:rPr>
              <w:t>20.48%</w:t>
            </w:r>
          </w:p>
        </w:tc>
        <w:tc>
          <w:tcPr>
            <w:tcW/>
            <w:vAlign w:val="center"/>
          </w:tcPr>
          <w:p>
            <w:pPr>
              <w:spacing w:line="240" w:lineRule="auto"/>
              <w:jc w:val="right"/>
            </w:pPr>
            <w:r>
              <w:rPr>
                <w:rFonts w:ascii="宋体" w:hAnsi="宋体" w:cs="宋体" w:eastAsia="宋体"/>
                <w:b w:val="false"/>
              </w:rPr>
              <w:t>0.81%</w:t>
            </w:r>
          </w:p>
        </w:tc>
        <w:tc>
          <w:tcPr>
            <w:tcW/>
            <w:vAlign w:val="center"/>
          </w:tcPr>
          <w:p>
            <w:pPr>
              <w:spacing w:line="240" w:lineRule="auto"/>
              <w:jc w:val="right"/>
            </w:pPr>
            <w:r>
              <w:rPr>
                <w:rFonts w:ascii="宋体" w:hAnsi="宋体" w:cs="宋体" w:eastAsia="宋体"/>
                <w:b w:val="false"/>
              </w:rPr>
              <w:t>81.58%</w:t>
            </w:r>
          </w:p>
        </w:tc>
        <w:tc>
          <w:tcPr>
            <w:tcW/>
            <w:vAlign w:val="center"/>
          </w:tcPr>
          <w:p>
            <w:pPr>
              <w:spacing w:line="240" w:lineRule="auto"/>
              <w:jc w:val="right"/>
            </w:pPr>
            <w:r>
              <w:rPr>
                <w:rFonts w:ascii="宋体" w:hAnsi="宋体" w:cs="宋体" w:eastAsia="宋体"/>
                <w:b w:val="false"/>
              </w:rPr>
              <w:t>1.62%</w:t>
            </w:r>
          </w:p>
        </w:tc>
      </w:tr>
    </w:tbl>
    <w:p>
      <w:r>
        <w:rPr>
          <w:rFonts w:ascii="宋体" w:hAnsi="宋体" w:cs="宋体" w:eastAsia="宋体"/>
          <w:b w:val="false"/>
        </w:rPr>
        <w:t>注：本基金业绩比较基准为：中证800指数收益率×70%+中证综合债券指数收益率×30%</w:t>
      </w:r>
    </w:p>
    <w:p/>
    <w:p>
      <w:r>
        <w:rPr>
          <w:rStyle w:val="正文"/>
          <w:rFonts w:ascii="宋体" w:hAnsi="宋体" w:cs="宋体" w:eastAsia="宋体"/>
          <w:b w:val="true"/>
        </w:rPr>
        <w:t>3.2.2 自基金合同生效以来基金累计净值增长率变动及其与同期业绩比较基准收益率变动的比较</w:t>
      </w:r>
    </w:p>
    <w:p>
      <w:r>
        <w:drawing>
          <wp:inline distT="0" distR="0" distB="0" distL="0">
            <wp:extent cx="5715000" cy="3048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16"/>
                    <a:stretch>
                      <a:fillRect/>
                    </a:stretch>
                  </pic:blipFill>
                  <pic:spPr>
                    <a:xfrm>
                      <a:off x="0" y="0"/>
                      <a:ext cx="5715000" cy="3048000"/>
                    </a:xfrm>
                    <a:prstGeom prst="rect">
                      <a:avLst/>
                    </a:prstGeom>
                  </pic:spPr>
                </pic:pic>
              </a:graphicData>
            </a:graphic>
          </wp:inline>
        </w:drawing>
      </w:r>
    </w:p>
    <w:p>
      <w:r>
        <w:drawing>
          <wp:inline distT="0" distR="0" distB="0" distL="0">
            <wp:extent cx="5715000" cy="3048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17"/>
                    <a:stretch>
                      <a:fillRect/>
                    </a:stretch>
                  </pic:blipFill>
                  <pic:spPr>
                    <a:xfrm>
                      <a:off x="0" y="0"/>
                      <a:ext cx="5715000" cy="3048000"/>
                    </a:xfrm>
                    <a:prstGeom prst="rect">
                      <a:avLst/>
                    </a:prstGeom>
                  </pic:spPr>
                </pic:pic>
              </a:graphicData>
            </a:graphic>
          </wp:inline>
        </w:drawing>
      </w:r>
    </w:p>
    <w:p>
      <w:pPr>
        <w:pStyle w:val="1"/>
        <w:jc w:val="center"/>
      </w:pPr>
      <w:r>
        <w:rPr>
          <w:rFonts w:ascii="宋体" w:hAnsi="宋体" w:cs="宋体" w:eastAsia="宋体"/>
        </w:rPr>
        <w:t>§4 管理人报告</w:t>
      </w:r>
    </w:p>
    <w:p>
      <w:pPr>
        <w:pStyle w:val="2"/>
        <w:jc w:val="left"/>
      </w:pPr>
      <w:r>
        <w:rPr>
          <w:rFonts w:ascii="宋体" w:hAnsi="宋体" w:cs="宋体" w:eastAsia="宋体"/>
        </w:rPr>
        <w:t>4.1 基金经理（或基金经理小组）简介</w:t>
      </w:r>
    </w:p>
    <w:tbl>
      <w:tblPr>
        <w:tblW w:w="5000" w:type="pct"/>
        <w:tblBorders>
          <w:top w:val="single" w:sz="4"/>
          <w:left w:val="single" w:sz="4"/>
          <w:bottom w:val="single" w:sz="4"/>
          <w:right w:val="single" w:sz="4"/>
          <w:insideH w:val="single" w:sz="4"/>
          <w:insideV w:val="single" w:sz="4"/>
        </w:tblBorders>
      </w:tblPr>
      <w:tblGrid>
        <w:gridCol w:w="1510"/>
        <w:gridCol w:w="1510"/>
        <w:gridCol w:w="1510"/>
        <w:gridCol w:w="1510"/>
        <w:gridCol w:w="1510"/>
        <w:gridCol w:w="1510"/>
      </w:tblGrid>
      <w:tr>
        <w:tc>
          <w:tcPr>
            <w:tcW w:type="pct" w:w="538"/>
            <w:vMerge w:val="restart"/>
            <w:vAlign w:val="center"/>
          </w:tcPr>
          <w:tcPr>
            <w:shd w:fill="d9d9d9"/>
          </w:tcPr>
          <w:p>
            <w:pPr>
              <w:spacing w:line="240" w:lineRule="auto"/>
              <w:jc w:val="center"/>
            </w:pPr>
            <w:r>
              <w:rPr>
                <w:rFonts w:ascii="宋体" w:hAnsi="宋体" w:cs="宋体" w:eastAsia="宋体"/>
                <w:b w:val="false"/>
              </w:rPr>
              <w:t>姓名</w:t>
            </w:r>
          </w:p>
        </w:tc>
        <w:tc>
          <w:tcPr>
            <w:tcW w:type="pct" w:w="1231"/>
            <w:vMerge w:val="restart"/>
            <w:vAlign w:val="center"/>
          </w:tcPr>
          <w:tcPr>
            <w:shd w:fill="d9d9d9"/>
          </w:tcPr>
          <w:p>
            <w:pPr>
              <w:spacing w:line="240" w:lineRule="auto"/>
              <w:jc w:val="center"/>
            </w:pPr>
            <w:r>
              <w:rPr>
                <w:rFonts w:ascii="宋体" w:hAnsi="宋体" w:cs="宋体" w:eastAsia="宋体"/>
                <w:b w:val="false"/>
              </w:rPr>
              <w:t>职务</w:t>
            </w:r>
          </w:p>
        </w:tc>
        <w:tc>
          <w:tcPr>
            <w:tcW w:type="pct" w:w="808"/>
            <w:hMerge w:val="restart"/>
            <w:vAlign w:val="center"/>
          </w:tcPr>
          <w:tcPr>
            <w:shd w:fill="d9d9d9"/>
          </w:tcPr>
          <w:p>
            <w:pPr>
              <w:spacing w:line="240" w:lineRule="auto"/>
              <w:jc w:val="center"/>
            </w:pPr>
            <w:r>
              <w:rPr>
                <w:rFonts w:ascii="宋体" w:hAnsi="宋体" w:cs="宋体" w:eastAsia="宋体"/>
                <w:b w:val="false"/>
              </w:rPr>
              <w:t>任本基金的基金经理期限</w:t>
            </w:r>
          </w:p>
        </w:tc>
        <w:tc>
          <w:tcPr>
            <w:hMerge w:val="continue"/>
          </w:tcPr>
          <w:p/>
        </w:tc>
        <w:tc>
          <w:tcPr>
            <w:tcW w:type="pct" w:w="308"/>
            <w:vMerge w:val="restart"/>
            <w:vAlign w:val="center"/>
          </w:tcPr>
          <w:tcPr>
            <w:shd w:fill="d9d9d9"/>
          </w:tcPr>
          <w:p>
            <w:pPr>
              <w:spacing w:line="240" w:lineRule="auto"/>
              <w:jc w:val="center"/>
            </w:pPr>
            <w:r>
              <w:rPr>
                <w:rFonts w:ascii="宋体" w:hAnsi="宋体" w:cs="宋体" w:eastAsia="宋体"/>
                <w:b w:val="false"/>
              </w:rPr>
              <w:t>证券从业年限</w:t>
            </w:r>
          </w:p>
        </w:tc>
        <w:tc>
          <w:tcPr>
            <w:tcW w:type="pct" w:w="1462"/>
            <w:vMerge w:val="restart"/>
            <w:vAlign w:val="center"/>
          </w:tcPr>
          <w:tcPr>
            <w:shd w:fill="d9d9d9"/>
          </w:tcPr>
          <w:p>
            <w:pPr>
              <w:spacing w:line="240" w:lineRule="auto"/>
              <w:jc w:val="center"/>
            </w:pPr>
            <w:r>
              <w:rPr>
                <w:rFonts w:ascii="宋体" w:hAnsi="宋体" w:cs="宋体" w:eastAsia="宋体"/>
                <w:b w:val="false"/>
              </w:rPr>
              <w:t>说明</w:t>
            </w:r>
          </w:p>
        </w:tc>
      </w:tr>
      <w:tr>
        <w:tc>
          <w:tcPr>
            <w:vMerge w:val="continue"/>
          </w:tcPr>
          <w:p/>
        </w:tc>
        <w:tc>
          <w:tcPr>
            <w:vMerge w:val="continue"/>
          </w:tcPr>
          <w:p/>
        </w:tc>
        <w:tc>
          <w:tcPr>
            <w:tcW w:type="pct" w:w="400"/>
            <w:vAlign w:val="center"/>
          </w:tcPr>
          <w:tcPr>
            <w:shd w:fill="d9d9d9"/>
          </w:tcPr>
          <w:p>
            <w:pPr>
              <w:spacing w:line="240" w:lineRule="auto"/>
              <w:jc w:val="center"/>
            </w:pPr>
            <w:r>
              <w:rPr>
                <w:rFonts w:ascii="宋体" w:hAnsi="宋体" w:cs="宋体" w:eastAsia="宋体"/>
                <w:b w:val="false"/>
              </w:rPr>
              <w:t>任职日期</w:t>
            </w:r>
          </w:p>
        </w:tc>
        <w:tc>
          <w:tcPr>
            <w:tcW w:type="pct" w:w="392"/>
            <w:vAlign w:val="center"/>
          </w:tcPr>
          <w:tcPr>
            <w:shd w:fill="d9d9d9"/>
          </w:tcPr>
          <w:p>
            <w:pPr>
              <w:spacing w:line="240" w:lineRule="auto"/>
              <w:jc w:val="center"/>
            </w:pPr>
            <w:r>
              <w:rPr>
                <w:rFonts w:ascii="宋体" w:hAnsi="宋体" w:cs="宋体" w:eastAsia="宋体"/>
                <w:b w:val="false"/>
              </w:rPr>
              <w:t>离任日期</w:t>
            </w:r>
          </w:p>
        </w:tc>
        <w:tc>
          <w:tcPr>
            <w:vMerge w:val="continue"/>
          </w:tcPr>
          <w:p/>
        </w:tc>
        <w:tc>
          <w:tcPr>
            <w:vMerge w:val="continue"/>
          </w:tcPr>
          <w:p/>
        </w:tc>
      </w:tr>
      <w:tr>
        <w:tc>
          <w:tcPr>
            <w:tcW/>
            <w:vAlign w:val="center"/>
          </w:tcPr>
          <w:p>
            <w:pPr>
              <w:spacing w:line="240" w:lineRule="auto"/>
              <w:jc w:val="left"/>
            </w:pPr>
            <w:r>
              <w:rPr>
                <w:rFonts w:ascii="宋体" w:hAnsi="宋体" w:cs="宋体" w:eastAsia="宋体"/>
                <w:b w:val="false"/>
              </w:rPr>
              <w:t>唐雷</w:t>
            </w:r>
          </w:p>
        </w:tc>
        <w:tc>
          <w:tcPr>
            <w:tcW/>
            <w:vAlign w:val="center"/>
          </w:tcPr>
          <w:p>
            <w:pPr>
              <w:spacing w:line="240" w:lineRule="auto"/>
              <w:jc w:val="left"/>
            </w:pPr>
            <w:r>
              <w:rPr>
                <w:rFonts w:ascii="宋体" w:hAnsi="宋体" w:cs="宋体" w:eastAsia="宋体"/>
                <w:b w:val="false"/>
              </w:rPr>
              <w:t>助理总经理、基金经理</w:t>
            </w:r>
          </w:p>
        </w:tc>
        <w:tc>
          <w:tcPr>
            <w:tcW/>
            <w:vAlign w:val="center"/>
          </w:tcPr>
          <w:p>
            <w:pPr>
              <w:spacing w:line="240" w:lineRule="auto"/>
              <w:jc w:val="center"/>
            </w:pPr>
            <w:r>
              <w:rPr>
                <w:rFonts w:ascii="宋体" w:hAnsi="宋体" w:cs="宋体" w:eastAsia="宋体"/>
                <w:b w:val="false"/>
              </w:rPr>
              <w:t>2020-06-28</w:t>
            </w:r>
          </w:p>
        </w:tc>
        <w:tc>
          <w:tcPr>
            <w:tcW/>
            <w:vAlign w:val="center"/>
          </w:tcPr>
          <w:p>
            <w:pPr>
              <w:spacing w:line="240" w:lineRule="auto"/>
              <w:jc w:val="center"/>
            </w:pPr>
            <w:r>
              <w:rPr>
                <w:rFonts w:ascii="宋体" w:hAnsi="宋体" w:cs="宋体" w:eastAsia="宋体"/>
                <w:b w:val="false"/>
              </w:rPr>
              <w:t>-</w:t>
            </w:r>
          </w:p>
        </w:tc>
        <w:tc>
          <w:tcPr>
            <w:tcW/>
            <w:vAlign w:val="center"/>
          </w:tcPr>
          <w:p>
            <w:pPr>
              <w:spacing w:line="240" w:lineRule="auto"/>
              <w:jc w:val="center"/>
            </w:pPr>
            <w:r>
              <w:rPr>
                <w:rFonts w:ascii="宋体" w:hAnsi="宋体" w:cs="宋体" w:eastAsia="宋体"/>
                <w:b w:val="false"/>
              </w:rPr>
              <w:t>15年</w:t>
            </w:r>
          </w:p>
        </w:tc>
        <w:tc>
          <w:tcPr>
            <w:tcW/>
            <w:vAlign w:val="center"/>
          </w:tcPr>
          <w:p>
            <w:pPr>
              <w:spacing w:line="240" w:lineRule="auto"/>
              <w:jc w:val="left"/>
            </w:pPr>
            <w:r>
              <w:rPr>
                <w:rFonts w:ascii="宋体" w:hAnsi="宋体" w:cs="宋体" w:eastAsia="宋体"/>
                <w:b w:val="false"/>
              </w:rPr>
              <w:t>唐雷先生，武汉大学物理学理学学士，北京大学光华管理学院工商管理硕士。曾先后任职于民生加银基金、安信证券资产管理部、金信基金。现任东方阿尔法基金助理总经理、基金经理。</w:t>
            </w:r>
          </w:p>
        </w:tc>
      </w:tr>
    </w:tbl>
    <w:p>
      <w:r>
        <w:rPr>
          <w:rFonts w:ascii="宋体" w:hAnsi="宋体" w:cs="宋体" w:eastAsia="宋体"/>
          <w:b w:val="false"/>
        </w:rPr>
        <w:t>注：1.对基金的首任基金经理，其"任职日期"为基金合同生效日，"离任日期"为根据公告确定的解聘日期；对此后的非首任基金经理，"任职日期"和"离任日期"分别指公告确定的任职日期和离任日期。</w:t>
        <w:cr/>
      </w:r>
      <w:r>
        <w:rPr>
          <w:rFonts w:ascii="宋体" w:hAnsi="宋体" w:cs="宋体" w:eastAsia="宋体"/>
          <w:b w:val="false"/>
        </w:rPr>
        <w:t>2.证券从业的含义遵从《证券基金经营机构董事、监事、高级管理人员及从业人员监督管理办法》的相关规定。</w:t>
      </w:r>
    </w:p>
    <w:p/>
    <w:p>
      <w:r>
        <w:rPr>
          <w:rStyle w:val="正文"/>
          <w:rFonts w:ascii="宋体" w:hAnsi="宋体" w:cs="宋体" w:eastAsia="宋体"/>
          <w:b w:val="true"/>
        </w:rPr>
        <w:t>4.1.1 期末兼任私募资产管理计划投资经理的基金经理同时管理的产品情况</w:t>
      </w:r>
    </w:p>
    <w:p>
      <w:r>
        <w:rPr>
          <w:rFonts w:ascii="宋体" w:hAnsi="宋体" w:cs="宋体" w:eastAsia="宋体"/>
          <w:b w:val="false"/>
        </w:rPr>
        <w:t xml:space="preserve">    无。</w:t>
      </w:r>
    </w:p>
    <w:p/>
    <w:p>
      <w:pPr>
        <w:pStyle w:val="2"/>
        <w:jc w:val="left"/>
      </w:pPr>
      <w:r>
        <w:rPr>
          <w:rFonts w:ascii="宋体" w:hAnsi="宋体" w:cs="宋体" w:eastAsia="宋体"/>
        </w:rPr>
        <w:t>4.2 管理人对报告期内本基金运作遵规守信情况的说明</w:t>
      </w:r>
    </w:p>
    <w:p>
      <w:r>
        <w:rPr>
          <w:rFonts w:ascii="宋体" w:hAnsi="宋体" w:cs="宋体" w:eastAsia="宋体"/>
          <w:b w:val="false"/>
        </w:rPr>
        <w:t xml:space="preserve">    本报告期内，本基金管理人严格遵守《中华人民共和国证券投资基金法》及其各项实施细则等有关法律法规、本基金《基金合同》和其他有关法律法规的规定，本着诚实信用、勤勉尽责的原则管理和运用基金资产，在严格控制风险的基础上，为基金份额持有人谋求最大利益。本报告期内，基金运作整体合法合规，无损害基金份额持有人利益的行为。</w:t>
      </w:r>
    </w:p>
    <w:p/>
    <w:p>
      <w:pPr>
        <w:pStyle w:val="2"/>
        <w:jc w:val="left"/>
      </w:pPr>
      <w:r>
        <w:rPr>
          <w:rFonts w:ascii="宋体" w:hAnsi="宋体" w:cs="宋体" w:eastAsia="宋体"/>
        </w:rPr>
        <w:t>4.3 公平交易专项说明</w:t>
      </w:r>
    </w:p>
    <w:p>
      <w:r>
        <w:rPr>
          <w:rStyle w:val="正文"/>
          <w:rFonts w:ascii="宋体" w:hAnsi="宋体" w:cs="宋体" w:eastAsia="宋体"/>
          <w:b w:val="true"/>
        </w:rPr>
        <w:t>4.3.1 公平交易制度的执行情况</w:t>
      </w:r>
    </w:p>
    <w:p>
      <w:r>
        <w:rPr>
          <w:rFonts w:ascii="宋体" w:hAnsi="宋体" w:cs="宋体" w:eastAsia="宋体"/>
          <w:b w:val="false"/>
        </w:rPr>
        <w:t xml:space="preserve">    本报告期内，本基金管理人严格执行《证券投资基金管理公司公平交易制度指导意见》，完善相应制度及流程，通过系统和人工等各种方式在各业务环节严格控制交易公平执行，公平对待旗下管理的所有基金和投资组合。</w:t>
        <w:cr/>
      </w:r>
      <w:r>
        <w:rPr>
          <w:rFonts w:ascii="宋体" w:hAnsi="宋体" w:cs="宋体" w:eastAsia="宋体"/>
          <w:b w:val="false"/>
        </w:rPr>
        <w:t xml:space="preserve">    本报告期内，本基金管理人利用统计分析的方法和工具，按照不同的时间窗（包括当日内、3日内、5日内）对基金管理人管理的不同投资组合反向交易和同向交易的交易价差监控进行分析，未发现违反公平交易制度的异常行为。</w:t>
      </w:r>
    </w:p>
    <w:p/>
    <w:p>
      <w:r>
        <w:rPr>
          <w:rStyle w:val="正文"/>
          <w:rFonts w:ascii="宋体" w:hAnsi="宋体" w:cs="宋体" w:eastAsia="宋体"/>
          <w:b w:val="true"/>
        </w:rPr>
        <w:t>4.3.2 异常交易行为的专项说明</w:t>
      </w:r>
    </w:p>
    <w:p>
      <w:r>
        <w:rPr>
          <w:rFonts w:ascii="宋体" w:hAnsi="宋体" w:cs="宋体" w:eastAsia="宋体"/>
          <w:b w:val="false"/>
        </w:rPr>
        <w:t xml:space="preserve">    报告期内，本基金不存在参与交易所公开竞价同日反向交易成交较少的单边交易量超过该证券当日成交量的5%的情况，且不存在其他可能导致非公平交易和利益输送的异常交易行为。</w:t>
      </w:r>
    </w:p>
    <w:p/>
    <w:p>
      <w:pPr>
        <w:pStyle w:val="2"/>
        <w:jc w:val="left"/>
      </w:pPr>
      <w:r>
        <w:rPr>
          <w:rFonts w:ascii="宋体" w:hAnsi="宋体" w:cs="宋体" w:eastAsia="宋体"/>
        </w:rPr>
        <w:t>4.4 报告期内基金的投资策略和运作分析</w:t>
      </w:r>
    </w:p>
    <w:p>
      <w:r>
        <w:rPr>
          <w:rFonts w:ascii="宋体" w:hAnsi="宋体" w:cs="宋体" w:eastAsia="宋体"/>
          <w:b w:val="false"/>
        </w:rPr>
        <w:t xml:space="preserve">    正如我们在二季报中的判断，在科技板块的引领下，A股市场在三季度迎来一轮加速上涨。这一轮中美对抗和贸易战中，中国在贸易、科技、军事等等领域显示出了跟2018年完全不一样的态势，体现在资本市场上就是经过二季度的波折之后，市场进入主升浪，突破2021年上证指数的高点，逼近4000点。</w:t>
        <w:cr/>
      </w:r>
      <w:r>
        <w:rPr>
          <w:rFonts w:ascii="宋体" w:hAnsi="宋体" w:cs="宋体" w:eastAsia="宋体"/>
          <w:b w:val="false"/>
        </w:rPr>
        <w:t xml:space="preserve">    三季度以来，美国对华关税及科技制裁政策进一步收紧，包括扩大半导体设备、AI芯片等领域的禁售范围，短期对国内先进制程产线建设及算力供给造成一定扰动。然而，与二季度相比，市场对地缘风险的定价已趋于理性，恐慌情绪明显缓解。国内政策应对更为精准，通过财政与产业政策协同对冲外需压力，同时加速推动非美市场贸易合作与产业链出海，部分抵消对美出口下滑的冲击。</w:t>
        <w:cr/>
      </w:r>
      <w:r>
        <w:rPr>
          <w:rFonts w:ascii="宋体" w:hAnsi="宋体" w:cs="宋体" w:eastAsia="宋体"/>
          <w:b w:val="false"/>
        </w:rPr>
        <w:t xml:space="preserve">    AI领域，尽管算力受限问题尚未完全解决，但模型开源与成本优化推动应用端遍地开花：Deepseek-R1及后续迭代模型在医疗、金融、教育等垂直场景快速渗透，阿里、字节等企业亦通过轻量化模型实现B端商业化落地。我们认为，AI技术已从“模型竞争”进入“场景赋能”阶段，未来增长动能将更多来自与传统行业的深度融合。半导体领域，国产替代逻辑进一步强化，成熟制程产能持续扩张，先进封装技术突破部分缓解了设备禁售的影响。此外，智能驾驶、端侧AI硬件等细分领域需求爆发，拉动相关芯片设计、制造环节景气度上行。</w:t>
        <w:cr/>
      </w:r>
      <w:r>
        <w:rPr>
          <w:rFonts w:ascii="宋体" w:hAnsi="宋体" w:cs="宋体" w:eastAsia="宋体"/>
          <w:b w:val="false"/>
        </w:rPr>
        <w:t xml:space="preserve">    经历一轮大涨之后，虽然市场处于相对较高的位置，我们依旧判断中国资产重估趋势未改，继续看好未来一年A股市场的表现。</w:t>
        <w:cr/>
      </w:r>
      <w:r>
        <w:rPr>
          <w:rFonts w:ascii="宋体" w:hAnsi="宋体" w:cs="宋体" w:eastAsia="宋体"/>
          <w:b w:val="false"/>
        </w:rPr>
        <w:t xml:space="preserve">    随着国产AI大模型能力的持续迭代，国内AI应用场景的落地和拓展，AI计算需求量非线性增长。同时，在政策强力推动下，国产先进制程产能和良率的稳步提升，为国产算力产业链的大发展提供了良好的供给条件。本基金将持续关注国产算力产业链的投资机会，与国家的发展战略同频共振，实现共同成长。</w:t>
      </w:r>
    </w:p>
    <w:p/>
    <w:p>
      <w:pPr>
        <w:pStyle w:val="2"/>
        <w:jc w:val="left"/>
      </w:pPr>
      <w:r>
        <w:rPr>
          <w:rFonts w:ascii="宋体" w:hAnsi="宋体" w:cs="宋体" w:eastAsia="宋体"/>
        </w:rPr>
        <w:t>4.5 报告期内基金的业绩表现</w:t>
      </w:r>
    </w:p>
    <w:p>
      <w:r>
        <w:rPr>
          <w:rFonts w:ascii="宋体" w:hAnsi="宋体" w:cs="宋体" w:eastAsia="宋体"/>
          <w:b w:val="false"/>
        </w:rPr>
        <w:t xml:space="preserve">    截至报告期末东方阿尔法优势产业混合A基金份额净值为2.0743元，本报告期内，该类基金份额净值增长率为60.91%，同期业绩比较基准收益率为13.26%；截至报告期末东方阿尔法优势产业混合C基金份额净值为2.0206元，本报告期内，该类基金份额净值增长率为60.71%，同期业绩比较基准收益率为13.26%。</w:t>
      </w:r>
    </w:p>
    <w:p/>
    <w:p>
      <w:pPr>
        <w:pStyle w:val="2"/>
        <w:jc w:val="left"/>
      </w:pPr>
      <w:r>
        <w:rPr>
          <w:rFonts w:ascii="宋体" w:hAnsi="宋体" w:cs="宋体" w:eastAsia="宋体"/>
        </w:rPr>
        <w:t>4.6 报告期内基金持有人数或基金资产净值预警说明</w:t>
      </w:r>
    </w:p>
    <w:p>
      <w:r>
        <w:rPr>
          <w:rFonts w:ascii="宋体" w:hAnsi="宋体" w:cs="宋体" w:eastAsia="宋体"/>
          <w:b w:val="false"/>
        </w:rPr>
        <w:t xml:space="preserve">    本报告期内，本基金未出现连续20个工作日基金份额持有人数量不满200人或者基金资产净值低于5000万的情形。</w:t>
      </w:r>
    </w:p>
    <w:p>
      <w:pPr>
        <w:pStyle w:val="1"/>
        <w:jc w:val="center"/>
      </w:pPr>
      <w:r>
        <w:rPr>
          <w:rFonts w:ascii="宋体" w:hAnsi="宋体" w:cs="宋体" w:eastAsia="宋体"/>
        </w:rPr>
        <w:t>§5 投资组合报告</w:t>
      </w:r>
    </w:p>
    <w:p>
      <w:pPr>
        <w:pStyle w:val="2"/>
        <w:jc w:val="left"/>
      </w:pPr>
      <w:r>
        <w:rPr>
          <w:rFonts w:ascii="宋体" w:hAnsi="宋体" w:cs="宋体" w:eastAsia="宋体"/>
        </w:rPr>
        <w:t>5.1 报告期末基金资产组合情况</w:t>
      </w:r>
    </w:p>
    <w:tbl>
      <w:tblPr>
        <w:tblW w:w="5000" w:type="pct"/>
        <w:tblBorders>
          <w:top w:val="single" w:sz="4"/>
          <w:left w:val="single" w:sz="4"/>
          <w:bottom w:val="single" w:sz="4"/>
          <w:right w:val="single" w:sz="4"/>
          <w:insideH w:val="single" w:sz="4"/>
          <w:insideV w:val="single" w:sz="4"/>
        </w:tblBorders>
      </w:tblPr>
      <w:tblGrid>
        <w:gridCol w:w="2266"/>
        <w:gridCol w:w="2266"/>
        <w:gridCol w:w="2266"/>
        <w:gridCol w:w="2266"/>
      </w:tblGrid>
      <w:tr>
        <w:tc>
          <w:tcPr>
            <w:tcW w:type="pct" w:w="462"/>
            <w:vAlign w:val="center"/>
          </w:tcPr>
          <w:tcPr>
            <w:shd w:fill="d9d9d9"/>
          </w:tcPr>
          <w:p>
            <w:pPr>
              <w:spacing w:line="240" w:lineRule="auto"/>
              <w:jc w:val="center"/>
            </w:pPr>
            <w:r>
              <w:rPr>
                <w:rFonts w:ascii="宋体" w:hAnsi="宋体" w:cs="宋体" w:eastAsia="宋体"/>
                <w:b w:val="false"/>
              </w:rPr>
              <w:t>序号</w:t>
            </w:r>
          </w:p>
        </w:tc>
        <w:tc>
          <w:tcPr>
            <w:tcW w:type="pct" w:w="1538"/>
            <w:vAlign w:val="center"/>
          </w:tcPr>
          <w:tcPr>
            <w:shd w:fill="d9d9d9"/>
          </w:tcPr>
          <w:p>
            <w:pPr>
              <w:spacing w:line="240" w:lineRule="auto"/>
              <w:jc w:val="center"/>
            </w:pPr>
            <w:r>
              <w:rPr>
                <w:rFonts w:ascii="宋体" w:hAnsi="宋体" w:cs="宋体" w:eastAsia="宋体"/>
                <w:b w:val="false"/>
              </w:rPr>
              <w:t>项目</w:t>
            </w:r>
          </w:p>
        </w:tc>
        <w:tc>
          <w:tcPr>
            <w:tcW w:type="pct" w:w="1538"/>
            <w:vAlign w:val="center"/>
          </w:tcPr>
          <w:tcPr>
            <w:shd w:fill="d9d9d9"/>
          </w:tcPr>
          <w:p>
            <w:pPr>
              <w:spacing w:line="240" w:lineRule="auto"/>
              <w:jc w:val="center"/>
            </w:pPr>
            <w:r>
              <w:rPr>
                <w:rFonts w:ascii="宋体" w:hAnsi="宋体" w:cs="宋体" w:eastAsia="宋体"/>
                <w:b w:val="false"/>
              </w:rPr>
              <w:t>金额(元)</w:t>
            </w:r>
          </w:p>
        </w:tc>
        <w:tc>
          <w:tcPr>
            <w:tcW w:type="pct" w:w="1538"/>
            <w:vAlign w:val="center"/>
          </w:tcPr>
          <w:tcPr>
            <w:shd w:fill="d9d9d9"/>
          </w:tcPr>
          <w:p>
            <w:pPr>
              <w:spacing w:line="240" w:lineRule="auto"/>
              <w:jc w:val="center"/>
            </w:pPr>
            <w:r>
              <w:rPr>
                <w:rFonts w:ascii="宋体" w:hAnsi="宋体" w:cs="宋体" w:eastAsia="宋体"/>
                <w:b w:val="false"/>
              </w:rPr>
              <w:t>占基金总资产的比例（%）</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权益投资</w:t>
            </w:r>
          </w:p>
        </w:tc>
        <w:tc>
          <w:tcPr>
            <w:tcW/>
            <w:vAlign w:val="center"/>
          </w:tcPr>
          <w:p>
            <w:pPr>
              <w:spacing w:line="240" w:lineRule="auto"/>
              <w:jc w:val="right"/>
            </w:pPr>
            <w:r>
              <w:rPr>
                <w:rFonts w:ascii="宋体" w:hAnsi="宋体" w:cs="宋体" w:eastAsia="宋体"/>
                <w:b w:val="false"/>
              </w:rPr>
              <w:t>3,743,532,472.48</w:t>
            </w:r>
          </w:p>
        </w:tc>
        <w:tc>
          <w:tcPr>
            <w:tcW/>
            <w:vAlign w:val="center"/>
          </w:tcPr>
          <w:p>
            <w:pPr>
              <w:spacing w:line="240" w:lineRule="auto"/>
              <w:jc w:val="right"/>
            </w:pPr>
            <w:r>
              <w:rPr>
                <w:rFonts w:ascii="宋体" w:hAnsi="宋体" w:cs="宋体" w:eastAsia="宋体"/>
                <w:b w:val="false"/>
              </w:rPr>
              <w:t>89.44</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其中：股票</w:t>
            </w:r>
          </w:p>
        </w:tc>
        <w:tc>
          <w:tcPr>
            <w:tcW/>
            <w:vAlign w:val="center"/>
          </w:tcPr>
          <w:p>
            <w:pPr>
              <w:spacing w:line="240" w:lineRule="auto"/>
              <w:jc w:val="right"/>
            </w:pPr>
            <w:r>
              <w:rPr>
                <w:rFonts w:ascii="宋体" w:hAnsi="宋体" w:cs="宋体" w:eastAsia="宋体"/>
                <w:b w:val="false"/>
              </w:rPr>
              <w:t>3,743,532,472.48</w:t>
            </w:r>
          </w:p>
        </w:tc>
        <w:tc>
          <w:tcPr>
            <w:tcW/>
            <w:vAlign w:val="center"/>
          </w:tcPr>
          <w:p>
            <w:pPr>
              <w:spacing w:line="240" w:lineRule="auto"/>
              <w:jc w:val="right"/>
            </w:pPr>
            <w:r>
              <w:rPr>
                <w:rFonts w:ascii="宋体" w:hAnsi="宋体" w:cs="宋体" w:eastAsia="宋体"/>
                <w:b w:val="false"/>
              </w:rPr>
              <w:t>89.44</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基金投资</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3</w:t>
            </w:r>
          </w:p>
        </w:tc>
        <w:tc>
          <w:tcPr>
            <w:tcW/>
            <w:vAlign w:val="center"/>
          </w:tcPr>
          <w:p>
            <w:pPr>
              <w:spacing w:line="240" w:lineRule="auto"/>
              <w:jc w:val="left"/>
            </w:pPr>
            <w:r>
              <w:rPr>
                <w:rFonts w:ascii="宋体" w:hAnsi="宋体" w:cs="宋体" w:eastAsia="宋体"/>
                <w:b w:val="false"/>
              </w:rPr>
              <w:t>固定收益投资</w:t>
            </w:r>
          </w:p>
        </w:tc>
        <w:tc>
          <w:tcPr>
            <w:tcW/>
            <w:vAlign w:val="center"/>
          </w:tcPr>
          <w:p>
            <w:pPr>
              <w:spacing w:line="240" w:lineRule="auto"/>
              <w:jc w:val="right"/>
            </w:pPr>
            <w:r>
              <w:rPr>
                <w:rFonts w:ascii="宋体" w:hAnsi="宋体" w:cs="宋体" w:eastAsia="宋体"/>
                <w:b w:val="false"/>
              </w:rPr>
              <w:t>225,777,101.97</w:t>
            </w:r>
          </w:p>
        </w:tc>
        <w:tc>
          <w:tcPr>
            <w:tcW/>
            <w:vAlign w:val="center"/>
          </w:tcPr>
          <w:p>
            <w:pPr>
              <w:spacing w:line="240" w:lineRule="auto"/>
              <w:jc w:val="right"/>
            </w:pPr>
            <w:r>
              <w:rPr>
                <w:rFonts w:ascii="宋体" w:hAnsi="宋体" w:cs="宋体" w:eastAsia="宋体"/>
                <w:b w:val="false"/>
              </w:rPr>
              <w:t>5.39</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其中：债券</w:t>
            </w:r>
          </w:p>
        </w:tc>
        <w:tc>
          <w:tcPr>
            <w:tcW/>
            <w:vAlign w:val="center"/>
          </w:tcPr>
          <w:p>
            <w:pPr>
              <w:spacing w:line="240" w:lineRule="auto"/>
              <w:jc w:val="right"/>
            </w:pPr>
            <w:r>
              <w:rPr>
                <w:rFonts w:ascii="宋体" w:hAnsi="宋体" w:cs="宋体" w:eastAsia="宋体"/>
                <w:b w:val="false"/>
              </w:rPr>
              <w:t>225,777,101.97</w:t>
            </w:r>
          </w:p>
        </w:tc>
        <w:tc>
          <w:tcPr>
            <w:tcW/>
            <w:vAlign w:val="center"/>
          </w:tcPr>
          <w:p>
            <w:pPr>
              <w:spacing w:line="240" w:lineRule="auto"/>
              <w:jc w:val="right"/>
            </w:pPr>
            <w:r>
              <w:rPr>
                <w:rFonts w:ascii="宋体" w:hAnsi="宋体" w:cs="宋体" w:eastAsia="宋体"/>
                <w:b w:val="false"/>
              </w:rPr>
              <w:t>5.39</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 xml:space="preserve">      资产支持证券</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4</w:t>
            </w:r>
          </w:p>
        </w:tc>
        <w:tc>
          <w:tcPr>
            <w:tcW/>
            <w:vAlign w:val="center"/>
          </w:tcPr>
          <w:p>
            <w:pPr>
              <w:spacing w:line="240" w:lineRule="auto"/>
            </w:pPr>
            <w:r>
              <w:rPr>
                <w:rFonts w:ascii="宋体" w:hAnsi="宋体" w:cs="宋体" w:eastAsia="宋体"/>
                <w:b w:val="false"/>
              </w:rPr>
              <w:t>贵金属投资</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5</w:t>
            </w:r>
          </w:p>
        </w:tc>
        <w:tc>
          <w:tcPr>
            <w:tcW/>
            <w:vAlign w:val="center"/>
          </w:tcPr>
          <w:p>
            <w:pPr>
              <w:spacing w:line="240" w:lineRule="auto"/>
              <w:jc w:val="left"/>
            </w:pPr>
            <w:r>
              <w:rPr>
                <w:rFonts w:ascii="宋体" w:hAnsi="宋体" w:cs="宋体" w:eastAsia="宋体"/>
                <w:b w:val="false"/>
              </w:rPr>
              <w:t>金融衍生品投资</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6</w:t>
            </w:r>
          </w:p>
        </w:tc>
        <w:tc>
          <w:tcPr>
            <w:tcW/>
            <w:vAlign w:val="center"/>
          </w:tcPr>
          <w:p>
            <w:pPr>
              <w:spacing w:line="240" w:lineRule="auto"/>
              <w:jc w:val="left"/>
            </w:pPr>
            <w:r>
              <w:rPr>
                <w:rFonts w:ascii="宋体" w:hAnsi="宋体" w:cs="宋体" w:eastAsia="宋体"/>
                <w:b w:val="false"/>
              </w:rPr>
              <w:t>买入返售金融资产</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其中：买断式回购的买入返售金融资产</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7</w:t>
            </w:r>
          </w:p>
        </w:tc>
        <w:tc>
          <w:tcPr>
            <w:tcW/>
            <w:vAlign w:val="center"/>
          </w:tcPr>
          <w:p>
            <w:pPr>
              <w:spacing w:line="240" w:lineRule="auto"/>
              <w:jc w:val="left"/>
            </w:pPr>
            <w:r>
              <w:rPr>
                <w:rFonts w:ascii="宋体" w:hAnsi="宋体" w:cs="宋体" w:eastAsia="宋体"/>
                <w:b w:val="false"/>
              </w:rPr>
              <w:t>银行存款和结算备付金合计</w:t>
            </w:r>
          </w:p>
        </w:tc>
        <w:tc>
          <w:tcPr>
            <w:tcW/>
            <w:vAlign w:val="center"/>
          </w:tcPr>
          <w:p>
            <w:pPr>
              <w:spacing w:line="240" w:lineRule="auto"/>
              <w:jc w:val="right"/>
            </w:pPr>
            <w:r>
              <w:rPr>
                <w:rFonts w:ascii="宋体" w:hAnsi="宋体" w:cs="宋体" w:eastAsia="宋体"/>
                <w:b w:val="false"/>
              </w:rPr>
              <w:t>198,757,466.43</w:t>
            </w:r>
          </w:p>
        </w:tc>
        <w:tc>
          <w:tcPr>
            <w:tcW/>
            <w:vAlign w:val="center"/>
          </w:tcPr>
          <w:p>
            <w:pPr>
              <w:spacing w:line="240" w:lineRule="auto"/>
              <w:jc w:val="right"/>
            </w:pPr>
            <w:r>
              <w:rPr>
                <w:rFonts w:ascii="宋体" w:hAnsi="宋体" w:cs="宋体" w:eastAsia="宋体"/>
                <w:b w:val="false"/>
              </w:rPr>
              <w:t>4.75</w:t>
            </w:r>
          </w:p>
        </w:tc>
      </w:tr>
      <w:tr>
        <w:tc>
          <w:tcPr>
            <w:tcW/>
            <w:vAlign w:val="center"/>
          </w:tcPr>
          <w:p>
            <w:pPr>
              <w:spacing w:line="240" w:lineRule="auto"/>
              <w:jc w:val="center"/>
            </w:pPr>
            <w:r>
              <w:rPr>
                <w:rFonts w:ascii="宋体" w:hAnsi="宋体" w:cs="宋体" w:eastAsia="宋体"/>
                <w:b w:val="false"/>
              </w:rPr>
              <w:t>8</w:t>
            </w:r>
          </w:p>
        </w:tc>
        <w:tc>
          <w:tcPr>
            <w:tcW/>
            <w:vAlign w:val="center"/>
          </w:tcPr>
          <w:p>
            <w:pPr>
              <w:spacing w:line="240" w:lineRule="auto"/>
              <w:jc w:val="left"/>
            </w:pPr>
            <w:r>
              <w:rPr>
                <w:rFonts w:ascii="宋体" w:hAnsi="宋体" w:cs="宋体" w:eastAsia="宋体"/>
                <w:b w:val="false"/>
              </w:rPr>
              <w:t>其他资产</w:t>
            </w:r>
          </w:p>
        </w:tc>
        <w:tc>
          <w:tcPr>
            <w:tcW/>
            <w:vAlign w:val="center"/>
          </w:tcPr>
          <w:p>
            <w:pPr>
              <w:spacing w:line="240" w:lineRule="auto"/>
              <w:jc w:val="right"/>
            </w:pPr>
            <w:r>
              <w:rPr>
                <w:rFonts w:ascii="宋体" w:hAnsi="宋体" w:cs="宋体" w:eastAsia="宋体"/>
                <w:b w:val="false"/>
              </w:rPr>
              <w:t>17,276,418.23</w:t>
            </w:r>
          </w:p>
        </w:tc>
        <w:tc>
          <w:tcPr>
            <w:tcW/>
            <w:vAlign w:val="center"/>
          </w:tcPr>
          <w:p>
            <w:pPr>
              <w:spacing w:line="240" w:lineRule="auto"/>
              <w:jc w:val="right"/>
            </w:pPr>
            <w:r>
              <w:rPr>
                <w:rFonts w:ascii="宋体" w:hAnsi="宋体" w:cs="宋体" w:eastAsia="宋体"/>
                <w:b w:val="false"/>
              </w:rPr>
              <w:t>0.41</w:t>
            </w:r>
          </w:p>
        </w:tc>
      </w:tr>
      <w:tr>
        <w:tc>
          <w:tcPr>
            <w:tcW/>
            <w:vAlign w:val="center"/>
          </w:tcPr>
          <w:p>
            <w:pPr>
              <w:spacing w:line="240" w:lineRule="auto"/>
              <w:jc w:val="center"/>
            </w:pPr>
            <w:r>
              <w:rPr>
                <w:rFonts w:ascii="宋体" w:hAnsi="宋体" w:cs="宋体" w:eastAsia="宋体"/>
                <w:b w:val="false"/>
              </w:rPr>
              <w:t>9</w:t>
            </w:r>
          </w:p>
        </w:tc>
        <w:tc>
          <w:tcPr>
            <w:tcW/>
            <w:vAlign w:val="center"/>
          </w:tcPr>
          <w:p>
            <w:pPr>
              <w:spacing w:line="240" w:lineRule="auto"/>
              <w:jc w:val="left"/>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4,185,343,459.11</w:t>
            </w:r>
          </w:p>
        </w:tc>
        <w:tc>
          <w:tcPr>
            <w:tcW/>
            <w:vAlign w:val="center"/>
          </w:tcPr>
          <w:p>
            <w:pPr>
              <w:spacing w:line="240" w:lineRule="auto"/>
              <w:jc w:val="right"/>
            </w:pPr>
            <w:r>
              <w:rPr>
                <w:rFonts w:ascii="宋体" w:hAnsi="宋体" w:cs="宋体" w:eastAsia="宋体"/>
                <w:b w:val="false"/>
              </w:rPr>
              <w:t>100.00</w:t>
            </w:r>
          </w:p>
        </w:tc>
      </w:tr>
    </w:tbl>
    <w:p/>
    <w:p>
      <w:pPr>
        <w:pStyle w:val="2"/>
        <w:jc w:val="left"/>
      </w:pPr>
      <w:r>
        <w:rPr>
          <w:rFonts w:ascii="宋体" w:hAnsi="宋体" w:cs="宋体" w:eastAsia="宋体"/>
        </w:rPr>
        <w:t>5.2 报告期末按行业分类的股票投资组合</w:t>
      </w:r>
    </w:p>
    <w:p>
      <w:r>
        <w:rPr>
          <w:rStyle w:val="正文"/>
          <w:rFonts w:ascii="宋体" w:hAnsi="宋体" w:cs="宋体" w:eastAsia="宋体"/>
          <w:b w:val="true"/>
        </w:rPr>
        <w:t>5.2.1 报告期末按行业分类的境内股票投资组合</w:t>
      </w:r>
    </w:p>
    <w:tbl>
      <w:tblPr>
        <w:tblW w:w="5000" w:type="pct"/>
        <w:tblBorders>
          <w:top w:val="single" w:sz="4"/>
          <w:left w:val="single" w:sz="4"/>
          <w:bottom w:val="single" w:sz="4"/>
          <w:right w:val="single" w:sz="4"/>
          <w:insideH w:val="single" w:sz="4"/>
          <w:insideV w:val="single" w:sz="4"/>
        </w:tblBorders>
      </w:tblPr>
      <w:tblGrid>
        <w:gridCol w:w="2266"/>
        <w:gridCol w:w="2266"/>
        <w:gridCol w:w="2266"/>
        <w:gridCol w:w="2266"/>
      </w:tblGrid>
      <w:tr>
        <w:tc>
          <w:tcPr>
            <w:tcW w:type="pct" w:w="615"/>
            <w:vAlign w:val="center"/>
          </w:tcPr>
          <w:tcPr>
            <w:shd w:fill="d9d9d9"/>
          </w:tcPr>
          <w:p>
            <w:pPr>
              <w:spacing w:line="240" w:lineRule="auto"/>
              <w:jc w:val="center"/>
            </w:pPr>
            <w:r>
              <w:rPr>
                <w:rFonts w:ascii="宋体" w:hAnsi="宋体" w:cs="宋体" w:eastAsia="宋体"/>
                <w:b w:val="false"/>
              </w:rPr>
              <w:t>代码</w:t>
            </w:r>
          </w:p>
        </w:tc>
        <w:tc>
          <w:tcPr>
            <w:tcW w:type="pct" w:w="1538"/>
            <w:vAlign w:val="center"/>
          </w:tcPr>
          <w:tcPr>
            <w:shd w:fill="d9d9d9"/>
          </w:tcPr>
          <w:p>
            <w:pPr>
              <w:spacing w:line="240" w:lineRule="auto"/>
              <w:jc w:val="center"/>
            </w:pPr>
            <w:r>
              <w:rPr>
                <w:rFonts w:ascii="宋体" w:hAnsi="宋体" w:cs="宋体" w:eastAsia="宋体"/>
                <w:b w:val="false"/>
              </w:rPr>
              <w:t>行业类别</w:t>
            </w:r>
          </w:p>
        </w:tc>
        <w:tc>
          <w:tcPr>
            <w:tcW w:type="pct" w:w="923"/>
            <w:vAlign w:val="center"/>
          </w:tcPr>
          <w:tcPr>
            <w:shd w:fill="d9d9d9"/>
          </w:tcPr>
          <w:p>
            <w:pPr>
              <w:spacing w:line="240" w:lineRule="auto"/>
              <w:jc w:val="center"/>
            </w:pPr>
            <w:r>
              <w:rPr>
                <w:rFonts w:ascii="宋体" w:hAnsi="宋体" w:cs="宋体" w:eastAsia="宋体"/>
                <w:b w:val="false"/>
              </w:rPr>
              <w:t>公允价值(元)</w:t>
            </w:r>
          </w:p>
        </w:tc>
        <w:tc>
          <w:tcPr>
            <w:tcW w:type="pct" w:w="1538"/>
            <w:vAlign w:val="center"/>
          </w:tcPr>
          <w:tcPr>
            <w:shd w:fill="d9d9d9"/>
          </w:tcPr>
          <w:p>
            <w:pPr>
              <w:spacing w:line="240" w:lineRule="auto"/>
              <w:jc w:val="center"/>
            </w:pPr>
            <w:r>
              <w:rPr>
                <w:rFonts w:ascii="宋体" w:hAnsi="宋体" w:cs="宋体" w:eastAsia="宋体"/>
                <w:b w:val="false"/>
              </w:rPr>
              <w:t>占基金资产净值比例（%）</w:t>
            </w:r>
          </w:p>
        </w:tc>
      </w:tr>
      <w:tr>
        <w:tc>
          <w:tcPr>
            <w:tcW/>
            <w:vAlign w:val="center"/>
          </w:tcPr>
          <w:p>
            <w:pPr>
              <w:spacing w:line="240" w:lineRule="auto"/>
              <w:jc w:val="center"/>
            </w:pPr>
            <w:r>
              <w:rPr>
                <w:rFonts w:ascii="宋体" w:hAnsi="宋体" w:cs="宋体" w:eastAsia="宋体"/>
                <w:b w:val="false"/>
              </w:rPr>
              <w:t>A</w:t>
            </w:r>
          </w:p>
        </w:tc>
        <w:tc>
          <w:tcPr>
            <w:tcW/>
            <w:vAlign w:val="center"/>
          </w:tcPr>
          <w:p>
            <w:pPr>
              <w:spacing w:line="240" w:lineRule="auto"/>
              <w:jc w:val="left"/>
            </w:pPr>
            <w:r>
              <w:rPr>
                <w:rFonts w:ascii="宋体" w:hAnsi="宋体" w:cs="宋体" w:eastAsia="宋体"/>
                <w:b w:val="false"/>
              </w:rPr>
              <w:t>农、林、牧、渔业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B</w:t>
            </w:r>
          </w:p>
        </w:tc>
        <w:tc>
          <w:tcPr>
            <w:tcW/>
            <w:vAlign w:val="center"/>
          </w:tcPr>
          <w:p>
            <w:pPr>
              <w:spacing w:line="240" w:lineRule="auto"/>
              <w:jc w:val="left"/>
            </w:pPr>
            <w:r>
              <w:rPr>
                <w:rFonts w:ascii="宋体" w:hAnsi="宋体" w:cs="宋体" w:eastAsia="宋体"/>
                <w:b w:val="false"/>
              </w:rPr>
              <w:t>采矿业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C</w:t>
            </w:r>
          </w:p>
        </w:tc>
        <w:tc>
          <w:tcPr>
            <w:tcW/>
            <w:vAlign w:val="center"/>
          </w:tcPr>
          <w:p>
            <w:pPr>
              <w:spacing w:line="240" w:lineRule="auto"/>
              <w:jc w:val="left"/>
            </w:pPr>
            <w:r>
              <w:rPr>
                <w:rFonts w:ascii="宋体" w:hAnsi="宋体" w:cs="宋体" w:eastAsia="宋体"/>
                <w:b w:val="false"/>
              </w:rPr>
              <w:t>制造业</w:t>
            </w:r>
          </w:p>
        </w:tc>
        <w:tc>
          <w:tcPr>
            <w:tcW/>
            <w:vAlign w:val="center"/>
          </w:tcPr>
          <w:p>
            <w:pPr>
              <w:spacing w:line="240" w:lineRule="auto"/>
              <w:jc w:val="right"/>
            </w:pPr>
            <w:r>
              <w:rPr>
                <w:rFonts w:ascii="宋体" w:hAnsi="宋体" w:cs="宋体" w:eastAsia="宋体"/>
                <w:b w:val="false"/>
              </w:rPr>
              <w:t>2,496,385,925.72</w:t>
            </w:r>
          </w:p>
        </w:tc>
        <w:tc>
          <w:tcPr>
            <w:tcW/>
            <w:vAlign w:val="center"/>
          </w:tcPr>
          <w:p>
            <w:pPr>
              <w:spacing w:line="240" w:lineRule="auto"/>
              <w:jc w:val="right"/>
            </w:pPr>
            <w:r>
              <w:rPr>
                <w:rFonts w:ascii="宋体" w:hAnsi="宋体" w:cs="宋体" w:eastAsia="宋体"/>
                <w:b w:val="false"/>
              </w:rPr>
              <w:t>63.17</w:t>
            </w:r>
          </w:p>
        </w:tc>
      </w:tr>
      <w:tr>
        <w:tc>
          <w:tcPr>
            <w:tcW/>
            <w:vAlign w:val="center"/>
          </w:tcPr>
          <w:p>
            <w:pPr>
              <w:spacing w:line="240" w:lineRule="auto"/>
              <w:jc w:val="center"/>
            </w:pPr>
            <w:r>
              <w:rPr>
                <w:rFonts w:ascii="宋体" w:hAnsi="宋体" w:cs="宋体" w:eastAsia="宋体"/>
                <w:b w:val="false"/>
              </w:rPr>
              <w:t>D</w:t>
            </w:r>
          </w:p>
        </w:tc>
        <w:tc>
          <w:tcPr>
            <w:tcW/>
            <w:vAlign w:val="center"/>
          </w:tcPr>
          <w:p>
            <w:pPr>
              <w:spacing w:line="240" w:lineRule="auto"/>
              <w:jc w:val="left"/>
            </w:pPr>
            <w:r>
              <w:rPr>
                <w:rFonts w:ascii="宋体" w:hAnsi="宋体" w:cs="宋体" w:eastAsia="宋体"/>
                <w:b w:val="false"/>
              </w:rPr>
              <w:t>电力、热力、燃气及水生产和供应业</w:t>
            </w:r>
          </w:p>
        </w:tc>
        <w:tc>
          <w:tcPr>
            <w:tcW/>
            <w:vAlign w:val="center"/>
          </w:tcPr>
          <w:p>
            <w:pPr>
              <w:spacing w:line="240" w:lineRule="auto"/>
              <w:jc w:val="right"/>
            </w:pPr>
            <w:r>
              <w:rPr>
                <w:rFonts w:ascii="宋体" w:hAnsi="宋体" w:cs="宋体" w:eastAsia="宋体"/>
                <w:b w:val="false"/>
              </w:rPr>
              <w:t>1,341,504.85</w:t>
            </w:r>
          </w:p>
        </w:tc>
        <w:tc>
          <w:tcPr>
            <w:tcW/>
            <w:vAlign w:val="center"/>
          </w:tcPr>
          <w:p>
            <w:pPr>
              <w:spacing w:line="240" w:lineRule="auto"/>
              <w:jc w:val="right"/>
            </w:pPr>
            <w:r>
              <w:rPr>
                <w:rFonts w:ascii="宋体" w:hAnsi="宋体" w:cs="宋体" w:eastAsia="宋体"/>
                <w:b w:val="false"/>
              </w:rPr>
              <w:t>0.03</w:t>
            </w:r>
          </w:p>
        </w:tc>
      </w:tr>
      <w:tr>
        <w:tc>
          <w:tcPr>
            <w:tcW/>
            <w:vAlign w:val="center"/>
          </w:tcPr>
          <w:p>
            <w:pPr>
              <w:spacing w:line="240" w:lineRule="auto"/>
              <w:jc w:val="center"/>
            </w:pPr>
            <w:r>
              <w:rPr>
                <w:rFonts w:ascii="宋体" w:hAnsi="宋体" w:cs="宋体" w:eastAsia="宋体"/>
                <w:b w:val="false"/>
              </w:rPr>
              <w:t>E</w:t>
            </w:r>
          </w:p>
        </w:tc>
        <w:tc>
          <w:tcPr>
            <w:tcW/>
            <w:vAlign w:val="center"/>
          </w:tcPr>
          <w:p>
            <w:pPr>
              <w:spacing w:line="240" w:lineRule="auto"/>
              <w:jc w:val="left"/>
            </w:pPr>
            <w:r>
              <w:rPr>
                <w:rFonts w:ascii="宋体" w:hAnsi="宋体" w:cs="宋体" w:eastAsia="宋体"/>
                <w:b w:val="false"/>
              </w:rPr>
              <w:t>建筑业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F</w:t>
            </w:r>
          </w:p>
        </w:tc>
        <w:tc>
          <w:tcPr>
            <w:tcW/>
            <w:vAlign w:val="center"/>
          </w:tcPr>
          <w:p>
            <w:pPr>
              <w:spacing w:line="240" w:lineRule="auto"/>
              <w:jc w:val="left"/>
            </w:pPr>
            <w:r>
              <w:rPr>
                <w:rFonts w:ascii="宋体" w:hAnsi="宋体" w:cs="宋体" w:eastAsia="宋体"/>
                <w:b w:val="false"/>
              </w:rPr>
              <w:t>批发和零售业</w:t>
            </w:r>
          </w:p>
        </w:tc>
        <w:tc>
          <w:tcPr>
            <w:tcW/>
            <w:vAlign w:val="center"/>
          </w:tcPr>
          <w:p>
            <w:pPr>
              <w:spacing w:line="240" w:lineRule="auto"/>
              <w:jc w:val="right"/>
            </w:pPr>
            <w:r>
              <w:rPr>
                <w:rFonts w:ascii="宋体" w:hAnsi="宋体" w:cs="宋体" w:eastAsia="宋体"/>
                <w:b w:val="false"/>
              </w:rPr>
              <w:t>12,309.89</w:t>
            </w:r>
          </w:p>
        </w:tc>
        <w:tc>
          <w:tcPr>
            <w:tcW/>
            <w:vAlign w:val="center"/>
          </w:tcPr>
          <w:p>
            <w:pPr>
              <w:spacing w:line="240" w:lineRule="auto"/>
              <w:jc w:val="right"/>
            </w:pPr>
            <w:r>
              <w:rPr>
                <w:rFonts w:ascii="宋体" w:hAnsi="宋体" w:cs="宋体" w:eastAsia="宋体"/>
                <w:b w:val="false"/>
              </w:rPr>
              <w:t>0.00</w:t>
            </w:r>
          </w:p>
        </w:tc>
      </w:tr>
      <w:tr>
        <w:tc>
          <w:tcPr>
            <w:tcW/>
            <w:vAlign w:val="center"/>
          </w:tcPr>
          <w:p>
            <w:pPr>
              <w:spacing w:line="240" w:lineRule="auto"/>
              <w:jc w:val="center"/>
            </w:pPr>
            <w:r>
              <w:rPr>
                <w:rFonts w:ascii="宋体" w:hAnsi="宋体" w:cs="宋体" w:eastAsia="宋体"/>
                <w:b w:val="false"/>
              </w:rPr>
              <w:t>G</w:t>
            </w:r>
          </w:p>
        </w:tc>
        <w:tc>
          <w:tcPr>
            <w:tcW/>
            <w:vAlign w:val="center"/>
          </w:tcPr>
          <w:p>
            <w:pPr>
              <w:spacing w:line="240" w:lineRule="auto"/>
              <w:jc w:val="left"/>
            </w:pPr>
            <w:r>
              <w:rPr>
                <w:rFonts w:ascii="宋体" w:hAnsi="宋体" w:cs="宋体" w:eastAsia="宋体"/>
                <w:b w:val="false"/>
              </w:rPr>
              <w:t>交通运输、仓储和邮政业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H</w:t>
            </w:r>
          </w:p>
        </w:tc>
        <w:tc>
          <w:tcPr>
            <w:tcW/>
            <w:vAlign w:val="center"/>
          </w:tcPr>
          <w:p>
            <w:pPr>
              <w:spacing w:line="240" w:lineRule="auto"/>
              <w:jc w:val="left"/>
            </w:pPr>
            <w:r>
              <w:rPr>
                <w:rFonts w:ascii="宋体" w:hAnsi="宋体" w:cs="宋体" w:eastAsia="宋体"/>
                <w:b w:val="false"/>
              </w:rPr>
              <w:t>住宿和餐饮业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I</w:t>
            </w:r>
          </w:p>
        </w:tc>
        <w:tc>
          <w:tcPr>
            <w:tcW/>
            <w:vAlign w:val="center"/>
          </w:tcPr>
          <w:p>
            <w:pPr>
              <w:spacing w:line="240" w:lineRule="auto"/>
              <w:jc w:val="left"/>
            </w:pPr>
            <w:r>
              <w:rPr>
                <w:rFonts w:ascii="宋体" w:hAnsi="宋体" w:cs="宋体" w:eastAsia="宋体"/>
                <w:b w:val="false"/>
              </w:rPr>
              <w:t>信息传输、软件和信息技术服务业</w:t>
            </w:r>
          </w:p>
        </w:tc>
        <w:tc>
          <w:tcPr>
            <w:tcW/>
            <w:vAlign w:val="center"/>
          </w:tcPr>
          <w:p>
            <w:pPr>
              <w:spacing w:line="240" w:lineRule="auto"/>
              <w:jc w:val="right"/>
            </w:pPr>
            <w:r>
              <w:rPr>
                <w:rFonts w:ascii="宋体" w:hAnsi="宋体" w:cs="宋体" w:eastAsia="宋体"/>
                <w:b w:val="false"/>
              </w:rPr>
              <w:t>1,245,774,475.68</w:t>
            </w:r>
          </w:p>
        </w:tc>
        <w:tc>
          <w:tcPr>
            <w:tcW/>
            <w:vAlign w:val="center"/>
          </w:tcPr>
          <w:p>
            <w:pPr>
              <w:spacing w:line="240" w:lineRule="auto"/>
              <w:jc w:val="right"/>
            </w:pPr>
            <w:r>
              <w:rPr>
                <w:rFonts w:ascii="宋体" w:hAnsi="宋体" w:cs="宋体" w:eastAsia="宋体"/>
                <w:b w:val="false"/>
              </w:rPr>
              <w:t>31.53</w:t>
            </w:r>
          </w:p>
        </w:tc>
      </w:tr>
      <w:tr>
        <w:tc>
          <w:tcPr>
            <w:tcW/>
            <w:vAlign w:val="center"/>
          </w:tcPr>
          <w:p>
            <w:pPr>
              <w:spacing w:line="240" w:lineRule="auto"/>
              <w:jc w:val="center"/>
            </w:pPr>
            <w:r>
              <w:rPr>
                <w:rFonts w:ascii="宋体" w:hAnsi="宋体" w:cs="宋体" w:eastAsia="宋体"/>
                <w:b w:val="false"/>
              </w:rPr>
              <w:t>J</w:t>
            </w:r>
          </w:p>
        </w:tc>
        <w:tc>
          <w:tcPr>
            <w:tcW/>
            <w:vAlign w:val="center"/>
          </w:tcPr>
          <w:p>
            <w:pPr>
              <w:spacing w:line="240" w:lineRule="auto"/>
              <w:jc w:val="left"/>
            </w:pPr>
            <w:r>
              <w:rPr>
                <w:rFonts w:ascii="宋体" w:hAnsi="宋体" w:cs="宋体" w:eastAsia="宋体"/>
                <w:b w:val="false"/>
              </w:rPr>
              <w:t>金融业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K</w:t>
            </w:r>
          </w:p>
        </w:tc>
        <w:tc>
          <w:tcPr>
            <w:tcW/>
            <w:vAlign w:val="center"/>
          </w:tcPr>
          <w:p>
            <w:pPr>
              <w:spacing w:line="240" w:lineRule="auto"/>
              <w:jc w:val="left"/>
            </w:pPr>
            <w:r>
              <w:rPr>
                <w:rFonts w:ascii="宋体" w:hAnsi="宋体" w:cs="宋体" w:eastAsia="宋体"/>
                <w:b w:val="false"/>
              </w:rPr>
              <w:t>房地产业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L</w:t>
            </w:r>
          </w:p>
        </w:tc>
        <w:tc>
          <w:tcPr>
            <w:tcW/>
            <w:vAlign w:val="center"/>
          </w:tcPr>
          <w:p>
            <w:pPr>
              <w:spacing w:line="240" w:lineRule="auto"/>
              <w:jc w:val="left"/>
            </w:pPr>
            <w:r>
              <w:rPr>
                <w:rFonts w:ascii="宋体" w:hAnsi="宋体" w:cs="宋体" w:eastAsia="宋体"/>
                <w:b w:val="false"/>
              </w:rPr>
              <w:t>租赁和商务服务业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M</w:t>
            </w:r>
          </w:p>
        </w:tc>
        <w:tc>
          <w:tcPr>
            <w:tcW/>
            <w:vAlign w:val="center"/>
          </w:tcPr>
          <w:p>
            <w:pPr>
              <w:spacing w:line="240" w:lineRule="auto"/>
              <w:jc w:val="left"/>
            </w:pPr>
            <w:r>
              <w:rPr>
                <w:rFonts w:ascii="宋体" w:hAnsi="宋体" w:cs="宋体" w:eastAsia="宋体"/>
                <w:b w:val="false"/>
              </w:rPr>
              <w:t>科学研究和技术服务业</w:t>
            </w:r>
          </w:p>
        </w:tc>
        <w:tc>
          <w:tcPr>
            <w:tcW/>
            <w:vAlign w:val="center"/>
          </w:tcPr>
          <w:p>
            <w:pPr>
              <w:spacing w:line="240" w:lineRule="auto"/>
              <w:jc w:val="right"/>
            </w:pPr>
            <w:r>
              <w:rPr>
                <w:rFonts w:ascii="宋体" w:hAnsi="宋体" w:cs="宋体" w:eastAsia="宋体"/>
                <w:b w:val="false"/>
              </w:rPr>
              <w:t>18,256.34</w:t>
            </w:r>
          </w:p>
        </w:tc>
        <w:tc>
          <w:tcPr>
            <w:tcW/>
            <w:vAlign w:val="center"/>
          </w:tcPr>
          <w:p>
            <w:pPr>
              <w:spacing w:line="240" w:lineRule="auto"/>
              <w:jc w:val="right"/>
            </w:pPr>
            <w:r>
              <w:rPr>
                <w:rFonts w:ascii="宋体" w:hAnsi="宋体" w:cs="宋体" w:eastAsia="宋体"/>
                <w:b w:val="false"/>
              </w:rPr>
              <w:t>0.00</w:t>
            </w:r>
          </w:p>
        </w:tc>
      </w:tr>
      <w:tr>
        <w:tc>
          <w:tcPr>
            <w:tcW/>
            <w:vAlign w:val="center"/>
          </w:tcPr>
          <w:p>
            <w:pPr>
              <w:spacing w:line="240" w:lineRule="auto"/>
              <w:jc w:val="center"/>
            </w:pPr>
            <w:r>
              <w:rPr>
                <w:rFonts w:ascii="宋体" w:hAnsi="宋体" w:cs="宋体" w:eastAsia="宋体"/>
                <w:b w:val="false"/>
              </w:rPr>
              <w:t>N</w:t>
            </w:r>
          </w:p>
        </w:tc>
        <w:tc>
          <w:tcPr>
            <w:tcW/>
            <w:vAlign w:val="center"/>
          </w:tcPr>
          <w:p>
            <w:pPr>
              <w:spacing w:line="240" w:lineRule="auto"/>
              <w:jc w:val="left"/>
            </w:pPr>
            <w:r>
              <w:rPr>
                <w:rFonts w:ascii="宋体" w:hAnsi="宋体" w:cs="宋体" w:eastAsia="宋体"/>
                <w:b w:val="false"/>
              </w:rPr>
              <w:t>水利、环境和公共设施管理业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O</w:t>
            </w:r>
          </w:p>
        </w:tc>
        <w:tc>
          <w:tcPr>
            <w:tcW/>
            <w:vAlign w:val="center"/>
          </w:tcPr>
          <w:p>
            <w:pPr>
              <w:spacing w:line="240" w:lineRule="auto"/>
              <w:jc w:val="left"/>
            </w:pPr>
            <w:r>
              <w:rPr>
                <w:rFonts w:ascii="宋体" w:hAnsi="宋体" w:cs="宋体" w:eastAsia="宋体"/>
                <w:b w:val="false"/>
              </w:rPr>
              <w:t>居民服务、修理和其他服务业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P</w:t>
            </w:r>
          </w:p>
        </w:tc>
        <w:tc>
          <w:tcPr>
            <w:tcW/>
            <w:vAlign w:val="center"/>
          </w:tcPr>
          <w:p>
            <w:pPr>
              <w:spacing w:line="240" w:lineRule="auto"/>
              <w:jc w:val="left"/>
            </w:pPr>
            <w:r>
              <w:rPr>
                <w:rFonts w:ascii="宋体" w:hAnsi="宋体" w:cs="宋体" w:eastAsia="宋体"/>
                <w:b w:val="false"/>
              </w:rPr>
              <w:t>教育</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Q</w:t>
            </w:r>
          </w:p>
        </w:tc>
        <w:tc>
          <w:tcPr>
            <w:tcW/>
            <w:vAlign w:val="center"/>
          </w:tcPr>
          <w:p>
            <w:pPr>
              <w:spacing w:line="240" w:lineRule="auto"/>
              <w:jc w:val="left"/>
            </w:pPr>
            <w:r>
              <w:rPr>
                <w:rFonts w:ascii="宋体" w:hAnsi="宋体" w:cs="宋体" w:eastAsia="宋体"/>
                <w:b w:val="false"/>
              </w:rPr>
              <w:t>卫生和社会工作</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R</w:t>
            </w:r>
          </w:p>
        </w:tc>
        <w:tc>
          <w:tcPr>
            <w:tcW/>
            <w:vAlign w:val="center"/>
          </w:tcPr>
          <w:p>
            <w:pPr>
              <w:spacing w:line="240" w:lineRule="auto"/>
              <w:jc w:val="left"/>
            </w:pPr>
            <w:r>
              <w:rPr>
                <w:rFonts w:ascii="宋体" w:hAnsi="宋体" w:cs="宋体" w:eastAsia="宋体"/>
                <w:b w:val="false"/>
              </w:rPr>
              <w:t>文化、体育和娱乐业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S</w:t>
            </w:r>
          </w:p>
        </w:tc>
        <w:tc>
          <w:tcPr>
            <w:tcW/>
            <w:vAlign w:val="center"/>
          </w:tcPr>
          <w:p>
            <w:pPr>
              <w:spacing w:line="240" w:lineRule="auto"/>
              <w:jc w:val="left"/>
            </w:pPr>
            <w:r>
              <w:rPr>
                <w:rFonts w:ascii="宋体" w:hAnsi="宋体" w:cs="宋体" w:eastAsia="宋体"/>
                <w:b w:val="false"/>
              </w:rPr>
              <w:t>综合</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3,743,532,472.48</w:t>
            </w:r>
          </w:p>
        </w:tc>
        <w:tc>
          <w:tcPr>
            <w:tcW/>
            <w:vAlign w:val="center"/>
          </w:tcPr>
          <w:p>
            <w:pPr>
              <w:spacing w:line="240" w:lineRule="auto"/>
              <w:jc w:val="right"/>
            </w:pPr>
            <w:r>
              <w:rPr>
                <w:rFonts w:ascii="宋体" w:hAnsi="宋体" w:cs="宋体" w:eastAsia="宋体"/>
                <w:b w:val="false"/>
              </w:rPr>
              <w:t>94.74</w:t>
            </w:r>
          </w:p>
        </w:tc>
      </w:tr>
    </w:tbl>
    <w:p/>
    <w:p>
      <w:r>
        <w:rPr>
          <w:rStyle w:val="正文"/>
          <w:rFonts w:ascii="宋体" w:hAnsi="宋体" w:cs="宋体" w:eastAsia="宋体"/>
          <w:b w:val="true"/>
        </w:rPr>
        <w:t>5.2.2 报告期末按行业分类的港股通投资股票投资组合</w:t>
      </w:r>
    </w:p>
    <w:p>
      <w:r>
        <w:rPr>
          <w:rFonts w:ascii="宋体" w:hAnsi="宋体" w:cs="宋体" w:eastAsia="宋体"/>
          <w:b w:val="false"/>
        </w:rPr>
        <w:t xml:space="preserve">    本基金本报告期末未持有港股通投资股票投资组合。</w:t>
      </w:r>
    </w:p>
    <w:p/>
    <w:p>
      <w:pPr>
        <w:pStyle w:val="2"/>
        <w:jc w:val="left"/>
      </w:pPr>
      <w:r>
        <w:rPr>
          <w:rFonts w:ascii="宋体" w:hAnsi="宋体" w:cs="宋体" w:eastAsia="宋体"/>
        </w:rPr>
        <w:t>5.3 报告期末按公允价值占基金资产净值比例大小排序的前十名股票投资明细</w:t>
      </w:r>
    </w:p>
    <w:tbl>
      <w:tblPr>
        <w:tblW w:w="5000" w:type="pct"/>
        <w:tblBorders>
          <w:top w:val="single" w:sz="4"/>
          <w:left w:val="single" w:sz="4"/>
          <w:bottom w:val="single" w:sz="4"/>
          <w:right w:val="single" w:sz="4"/>
          <w:insideH w:val="single" w:sz="4"/>
          <w:insideV w:val="single" w:sz="4"/>
        </w:tblBorders>
      </w:tblPr>
      <w:tblGrid>
        <w:gridCol w:w="1510"/>
        <w:gridCol w:w="1510"/>
        <w:gridCol w:w="1510"/>
        <w:gridCol w:w="1510"/>
        <w:gridCol w:w="1510"/>
        <w:gridCol w:w="1510"/>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769"/>
            <w:vAlign w:val="center"/>
          </w:tcPr>
          <w:tcPr>
            <w:shd w:fill="d9d9d9"/>
          </w:tcPr>
          <w:p>
            <w:pPr>
              <w:spacing w:line="240" w:lineRule="auto"/>
              <w:jc w:val="center"/>
            </w:pPr>
            <w:r>
              <w:rPr>
                <w:rFonts w:ascii="宋体" w:hAnsi="宋体" w:cs="宋体" w:eastAsia="宋体"/>
                <w:b w:val="false"/>
              </w:rPr>
              <w:t>股票代码</w:t>
            </w:r>
          </w:p>
        </w:tc>
        <w:tc>
          <w:tcPr>
            <w:tcW w:type="pct" w:w="769"/>
            <w:vAlign w:val="center"/>
          </w:tcPr>
          <w:tcPr>
            <w:shd w:fill="d9d9d9"/>
          </w:tcPr>
          <w:p>
            <w:pPr>
              <w:spacing w:line="240" w:lineRule="auto"/>
              <w:jc w:val="center"/>
            </w:pPr>
            <w:r>
              <w:rPr>
                <w:rFonts w:ascii="宋体" w:hAnsi="宋体" w:cs="宋体" w:eastAsia="宋体"/>
                <w:b w:val="false"/>
              </w:rPr>
              <w:t>股票名称</w:t>
            </w:r>
          </w:p>
        </w:tc>
        <w:tc>
          <w:tcPr>
            <w:tcW w:type="pct" w:w="615"/>
            <w:vAlign w:val="center"/>
          </w:tcPr>
          <w:tcPr>
            <w:shd w:fill="d9d9d9"/>
          </w:tcPr>
          <w:p>
            <w:pPr>
              <w:spacing w:line="240" w:lineRule="auto"/>
              <w:jc w:val="center"/>
            </w:pPr>
            <w:r>
              <w:rPr>
                <w:rFonts w:ascii="宋体" w:hAnsi="宋体" w:cs="宋体" w:eastAsia="宋体"/>
                <w:b w:val="false"/>
              </w:rPr>
              <w:t>数量(股)</w:t>
            </w:r>
          </w:p>
        </w:tc>
        <w:tc>
          <w:tcPr>
            <w:tcW w:type="pct" w:w="923"/>
            <w:vAlign w:val="center"/>
          </w:tcPr>
          <w:tcPr>
            <w:shd w:fill="d9d9d9"/>
          </w:tcPr>
          <w:p>
            <w:pPr>
              <w:spacing w:line="240" w:lineRule="auto"/>
              <w:jc w:val="center"/>
            </w:pPr>
            <w:r>
              <w:rPr>
                <w:rFonts w:ascii="宋体" w:hAnsi="宋体" w:cs="宋体" w:eastAsia="宋体"/>
                <w:b w:val="false"/>
              </w:rPr>
              <w:t>公允价值(元)</w:t>
            </w:r>
          </w:p>
        </w:tc>
        <w:tc>
          <w:tcPr>
            <w:tcW w:type="pct" w:w="923"/>
            <w:vAlign w:val="center"/>
          </w:tcPr>
          <w:tcPr>
            <w:shd w:fill="d9d9d9"/>
          </w:tcPr>
          <w:p>
            <w:pPr>
              <w:spacing w:line="240" w:lineRule="auto"/>
              <w:jc w:val="center"/>
            </w:pPr>
            <w:r>
              <w:rPr>
                <w:rFonts w:ascii="宋体" w:hAnsi="宋体" w:cs="宋体" w:eastAsia="宋体"/>
                <w:b w:val="false"/>
              </w:rPr>
              <w:t>占基金资产净值比例(%)</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300476</w:t>
            </w:r>
          </w:p>
        </w:tc>
        <w:tc>
          <w:tcPr>
            <w:tcW/>
            <w:vAlign w:val="center"/>
          </w:tcPr>
          <w:p>
            <w:pPr>
              <w:spacing w:line="240" w:lineRule="auto"/>
              <w:jc w:val="left"/>
            </w:pPr>
            <w:r>
              <w:rPr>
                <w:rFonts w:ascii="宋体" w:hAnsi="宋体" w:cs="宋体" w:eastAsia="宋体"/>
                <w:b w:val="false"/>
              </w:rPr>
              <w:t>胜宏科技</w:t>
            </w:r>
          </w:p>
        </w:tc>
        <w:tc>
          <w:tcPr>
            <w:tcW/>
            <w:vAlign w:val="center"/>
          </w:tcPr>
          <w:p>
            <w:pPr>
              <w:spacing w:line="240" w:lineRule="auto"/>
              <w:jc w:val="right"/>
            </w:pPr>
            <w:r>
              <w:rPr>
                <w:rFonts w:ascii="宋体" w:hAnsi="宋体" w:cs="宋体" w:eastAsia="宋体"/>
                <w:b w:val="false"/>
              </w:rPr>
              <w:t>1,314,900</w:t>
            </w:r>
          </w:p>
        </w:tc>
        <w:tc>
          <w:tcPr>
            <w:tcW/>
            <w:vAlign w:val="center"/>
          </w:tcPr>
          <w:p>
            <w:pPr>
              <w:spacing w:line="240" w:lineRule="auto"/>
              <w:jc w:val="right"/>
            </w:pPr>
            <w:r>
              <w:rPr>
                <w:rFonts w:ascii="宋体" w:hAnsi="宋体" w:cs="宋体" w:eastAsia="宋体"/>
                <w:b w:val="false"/>
              </w:rPr>
              <w:t>375,403,950.00</w:t>
            </w:r>
          </w:p>
        </w:tc>
        <w:tc>
          <w:tcPr>
            <w:tcW/>
            <w:vAlign w:val="center"/>
          </w:tcPr>
          <w:p>
            <w:pPr>
              <w:spacing w:line="240" w:lineRule="auto"/>
              <w:jc w:val="right"/>
            </w:pPr>
            <w:r>
              <w:rPr>
                <w:rFonts w:ascii="宋体" w:hAnsi="宋体" w:cs="宋体" w:eastAsia="宋体"/>
                <w:b w:val="false"/>
              </w:rPr>
              <w:t>9.50</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688256</w:t>
            </w:r>
          </w:p>
        </w:tc>
        <w:tc>
          <w:tcPr>
            <w:tcW/>
            <w:vAlign w:val="center"/>
          </w:tcPr>
          <w:p>
            <w:pPr>
              <w:spacing w:line="240" w:lineRule="auto"/>
              <w:jc w:val="left"/>
            </w:pPr>
            <w:r>
              <w:rPr>
                <w:rFonts w:ascii="宋体" w:hAnsi="宋体" w:cs="宋体" w:eastAsia="宋体"/>
                <w:b w:val="false"/>
              </w:rPr>
              <w:t>寒武纪</w:t>
            </w:r>
          </w:p>
        </w:tc>
        <w:tc>
          <w:tcPr>
            <w:tcW/>
            <w:vAlign w:val="center"/>
          </w:tcPr>
          <w:p>
            <w:pPr>
              <w:spacing w:line="240" w:lineRule="auto"/>
              <w:jc w:val="right"/>
            </w:pPr>
            <w:r>
              <w:rPr>
                <w:rFonts w:ascii="宋体" w:hAnsi="宋体" w:cs="宋体" w:eastAsia="宋体"/>
                <w:b w:val="false"/>
              </w:rPr>
              <w:t>269,895</w:t>
            </w:r>
          </w:p>
        </w:tc>
        <w:tc>
          <w:tcPr>
            <w:tcW/>
            <w:vAlign w:val="center"/>
          </w:tcPr>
          <w:p>
            <w:pPr>
              <w:spacing w:line="240" w:lineRule="auto"/>
              <w:jc w:val="right"/>
            </w:pPr>
            <w:r>
              <w:rPr>
                <w:rFonts w:ascii="宋体" w:hAnsi="宋体" w:cs="宋体" w:eastAsia="宋体"/>
                <w:b w:val="false"/>
              </w:rPr>
              <w:t>357,610,875.00</w:t>
            </w:r>
          </w:p>
        </w:tc>
        <w:tc>
          <w:tcPr>
            <w:tcW/>
            <w:vAlign w:val="center"/>
          </w:tcPr>
          <w:p>
            <w:pPr>
              <w:spacing w:line="240" w:lineRule="auto"/>
              <w:jc w:val="right"/>
            </w:pPr>
            <w:r>
              <w:rPr>
                <w:rFonts w:ascii="宋体" w:hAnsi="宋体" w:cs="宋体" w:eastAsia="宋体"/>
                <w:b w:val="false"/>
              </w:rPr>
              <w:t>9.05</w:t>
            </w:r>
          </w:p>
        </w:tc>
      </w:tr>
      <w:tr>
        <w:tc>
          <w:tcPr>
            <w:tcW/>
            <w:vAlign w:val="center"/>
          </w:tcPr>
          <w:p>
            <w:pPr>
              <w:spacing w:line="240" w:lineRule="auto"/>
              <w:jc w:val="center"/>
            </w:pPr>
            <w:r>
              <w:rPr>
                <w:rFonts w:ascii="宋体" w:hAnsi="宋体" w:cs="宋体" w:eastAsia="宋体"/>
                <w:b w:val="false"/>
              </w:rPr>
              <w:t>3</w:t>
            </w:r>
          </w:p>
        </w:tc>
        <w:tc>
          <w:tcPr>
            <w:tcW/>
            <w:vAlign w:val="center"/>
          </w:tcPr>
          <w:p>
            <w:pPr>
              <w:spacing w:line="240" w:lineRule="auto"/>
              <w:jc w:val="left"/>
            </w:pPr>
            <w:r>
              <w:rPr>
                <w:rFonts w:ascii="宋体" w:hAnsi="宋体" w:cs="宋体" w:eastAsia="宋体"/>
                <w:b w:val="false"/>
              </w:rPr>
              <w:t>603986</w:t>
            </w:r>
          </w:p>
        </w:tc>
        <w:tc>
          <w:tcPr>
            <w:tcW/>
            <w:vAlign w:val="center"/>
          </w:tcPr>
          <w:p>
            <w:pPr>
              <w:spacing w:line="240" w:lineRule="auto"/>
              <w:jc w:val="left"/>
            </w:pPr>
            <w:r>
              <w:rPr>
                <w:rFonts w:ascii="宋体" w:hAnsi="宋体" w:cs="宋体" w:eastAsia="宋体"/>
                <w:b w:val="false"/>
              </w:rPr>
              <w:t>兆易创新</w:t>
            </w:r>
          </w:p>
        </w:tc>
        <w:tc>
          <w:tcPr>
            <w:tcW/>
            <w:vAlign w:val="center"/>
          </w:tcPr>
          <w:p>
            <w:pPr>
              <w:spacing w:line="240" w:lineRule="auto"/>
              <w:jc w:val="right"/>
            </w:pPr>
            <w:r>
              <w:rPr>
                <w:rFonts w:ascii="宋体" w:hAnsi="宋体" w:cs="宋体" w:eastAsia="宋体"/>
                <w:b w:val="false"/>
              </w:rPr>
              <w:t>1,549,100</w:t>
            </w:r>
          </w:p>
        </w:tc>
        <w:tc>
          <w:tcPr>
            <w:tcW/>
            <w:vAlign w:val="center"/>
          </w:tcPr>
          <w:p>
            <w:pPr>
              <w:spacing w:line="240" w:lineRule="auto"/>
              <w:jc w:val="right"/>
            </w:pPr>
            <w:r>
              <w:rPr>
                <w:rFonts w:ascii="宋体" w:hAnsi="宋体" w:cs="宋体" w:eastAsia="宋体"/>
                <w:b w:val="false"/>
              </w:rPr>
              <w:t>330,423,030.00</w:t>
            </w:r>
          </w:p>
        </w:tc>
        <w:tc>
          <w:tcPr>
            <w:tcW/>
            <w:vAlign w:val="center"/>
          </w:tcPr>
          <w:p>
            <w:pPr>
              <w:spacing w:line="240" w:lineRule="auto"/>
              <w:jc w:val="right"/>
            </w:pPr>
            <w:r>
              <w:rPr>
                <w:rFonts w:ascii="宋体" w:hAnsi="宋体" w:cs="宋体" w:eastAsia="宋体"/>
                <w:b w:val="false"/>
              </w:rPr>
              <w:t>8.36</w:t>
            </w:r>
          </w:p>
        </w:tc>
      </w:tr>
      <w:tr>
        <w:tc>
          <w:tcPr>
            <w:tcW/>
            <w:vAlign w:val="center"/>
          </w:tcPr>
          <w:p>
            <w:pPr>
              <w:spacing w:line="240" w:lineRule="auto"/>
              <w:jc w:val="center"/>
            </w:pPr>
            <w:r>
              <w:rPr>
                <w:rFonts w:ascii="宋体" w:hAnsi="宋体" w:cs="宋体" w:eastAsia="宋体"/>
                <w:b w:val="false"/>
              </w:rPr>
              <w:t>4</w:t>
            </w:r>
          </w:p>
        </w:tc>
        <w:tc>
          <w:tcPr>
            <w:tcW/>
            <w:vAlign w:val="center"/>
          </w:tcPr>
          <w:p>
            <w:pPr>
              <w:spacing w:line="240" w:lineRule="auto"/>
              <w:jc w:val="left"/>
            </w:pPr>
            <w:r>
              <w:rPr>
                <w:rFonts w:ascii="宋体" w:hAnsi="宋体" w:cs="宋体" w:eastAsia="宋体"/>
                <w:b w:val="false"/>
              </w:rPr>
              <w:t>688521</w:t>
            </w:r>
          </w:p>
        </w:tc>
        <w:tc>
          <w:tcPr>
            <w:tcW/>
            <w:vAlign w:val="center"/>
          </w:tcPr>
          <w:p>
            <w:pPr>
              <w:spacing w:line="240" w:lineRule="auto"/>
              <w:jc w:val="left"/>
            </w:pPr>
            <w:r>
              <w:rPr>
                <w:rFonts w:ascii="宋体" w:hAnsi="宋体" w:cs="宋体" w:eastAsia="宋体"/>
                <w:b w:val="false"/>
              </w:rPr>
              <w:t>芯原股份</w:t>
            </w:r>
          </w:p>
        </w:tc>
        <w:tc>
          <w:tcPr>
            <w:tcW/>
            <w:vAlign w:val="center"/>
          </w:tcPr>
          <w:p>
            <w:pPr>
              <w:spacing w:line="240" w:lineRule="auto"/>
              <w:jc w:val="right"/>
            </w:pPr>
            <w:r>
              <w:rPr>
                <w:rFonts w:ascii="宋体" w:hAnsi="宋体" w:cs="宋体" w:eastAsia="宋体"/>
                <w:b w:val="false"/>
              </w:rPr>
              <w:t>1,655,226</w:t>
            </w:r>
          </w:p>
        </w:tc>
        <w:tc>
          <w:tcPr>
            <w:tcW/>
            <w:vAlign w:val="center"/>
          </w:tcPr>
          <w:p>
            <w:pPr>
              <w:spacing w:line="240" w:lineRule="auto"/>
              <w:jc w:val="right"/>
            </w:pPr>
            <w:r>
              <w:rPr>
                <w:rFonts w:ascii="宋体" w:hAnsi="宋体" w:cs="宋体" w:eastAsia="宋体"/>
                <w:b w:val="false"/>
              </w:rPr>
              <w:t>302,906,358.00</w:t>
            </w:r>
          </w:p>
        </w:tc>
        <w:tc>
          <w:tcPr>
            <w:tcW/>
            <w:vAlign w:val="center"/>
          </w:tcPr>
          <w:p>
            <w:pPr>
              <w:spacing w:line="240" w:lineRule="auto"/>
              <w:jc w:val="right"/>
            </w:pPr>
            <w:r>
              <w:rPr>
                <w:rFonts w:ascii="宋体" w:hAnsi="宋体" w:cs="宋体" w:eastAsia="宋体"/>
                <w:b w:val="false"/>
              </w:rPr>
              <w:t>7.67</w:t>
            </w:r>
          </w:p>
        </w:tc>
      </w:tr>
      <w:tr>
        <w:tc>
          <w:tcPr>
            <w:tcW/>
            <w:vAlign w:val="center"/>
          </w:tcPr>
          <w:p>
            <w:pPr>
              <w:spacing w:line="240" w:lineRule="auto"/>
              <w:jc w:val="center"/>
            </w:pPr>
            <w:r>
              <w:rPr>
                <w:rFonts w:ascii="宋体" w:hAnsi="宋体" w:cs="宋体" w:eastAsia="宋体"/>
                <w:b w:val="false"/>
              </w:rPr>
              <w:t>5</w:t>
            </w:r>
          </w:p>
        </w:tc>
        <w:tc>
          <w:tcPr>
            <w:tcW/>
            <w:vAlign w:val="center"/>
          </w:tcPr>
          <w:p>
            <w:pPr>
              <w:spacing w:line="240" w:lineRule="auto"/>
              <w:jc w:val="left"/>
            </w:pPr>
            <w:r>
              <w:rPr>
                <w:rFonts w:ascii="宋体" w:hAnsi="宋体" w:cs="宋体" w:eastAsia="宋体"/>
                <w:b w:val="false"/>
              </w:rPr>
              <w:t>301165</w:t>
            </w:r>
          </w:p>
        </w:tc>
        <w:tc>
          <w:tcPr>
            <w:tcW/>
            <w:vAlign w:val="center"/>
          </w:tcPr>
          <w:p>
            <w:pPr>
              <w:spacing w:line="240" w:lineRule="auto"/>
              <w:jc w:val="left"/>
            </w:pPr>
            <w:r>
              <w:rPr>
                <w:rFonts w:ascii="宋体" w:hAnsi="宋体" w:cs="宋体" w:eastAsia="宋体"/>
                <w:b w:val="false"/>
              </w:rPr>
              <w:t>锐捷网络</w:t>
            </w:r>
          </w:p>
        </w:tc>
        <w:tc>
          <w:tcPr>
            <w:tcW/>
            <w:vAlign w:val="center"/>
          </w:tcPr>
          <w:p>
            <w:pPr>
              <w:spacing w:line="240" w:lineRule="auto"/>
              <w:jc w:val="right"/>
            </w:pPr>
            <w:r>
              <w:rPr>
                <w:rFonts w:ascii="宋体" w:hAnsi="宋体" w:cs="宋体" w:eastAsia="宋体"/>
                <w:b w:val="false"/>
              </w:rPr>
              <w:t>3,238,788</w:t>
            </w:r>
          </w:p>
        </w:tc>
        <w:tc>
          <w:tcPr>
            <w:tcW/>
            <w:vAlign w:val="center"/>
          </w:tcPr>
          <w:p>
            <w:pPr>
              <w:spacing w:line="240" w:lineRule="auto"/>
              <w:jc w:val="right"/>
            </w:pPr>
            <w:r>
              <w:rPr>
                <w:rFonts w:ascii="宋体" w:hAnsi="宋体" w:cs="宋体" w:eastAsia="宋体"/>
                <w:b w:val="false"/>
              </w:rPr>
              <w:t>289,580,035.08</w:t>
            </w:r>
          </w:p>
        </w:tc>
        <w:tc>
          <w:tcPr>
            <w:tcW/>
            <w:vAlign w:val="center"/>
          </w:tcPr>
          <w:p>
            <w:pPr>
              <w:spacing w:line="240" w:lineRule="auto"/>
              <w:jc w:val="right"/>
            </w:pPr>
            <w:r>
              <w:rPr>
                <w:rFonts w:ascii="宋体" w:hAnsi="宋体" w:cs="宋体" w:eastAsia="宋体"/>
                <w:b w:val="false"/>
              </w:rPr>
              <w:t>7.33</w:t>
            </w:r>
          </w:p>
        </w:tc>
      </w:tr>
      <w:tr>
        <w:tc>
          <w:tcPr>
            <w:tcW/>
            <w:vAlign w:val="center"/>
          </w:tcPr>
          <w:p>
            <w:pPr>
              <w:spacing w:line="240" w:lineRule="auto"/>
              <w:jc w:val="center"/>
            </w:pPr>
            <w:r>
              <w:rPr>
                <w:rFonts w:ascii="宋体" w:hAnsi="宋体" w:cs="宋体" w:eastAsia="宋体"/>
                <w:b w:val="false"/>
              </w:rPr>
              <w:t>6</w:t>
            </w:r>
          </w:p>
        </w:tc>
        <w:tc>
          <w:tcPr>
            <w:tcW/>
            <w:vAlign w:val="center"/>
          </w:tcPr>
          <w:p>
            <w:pPr>
              <w:spacing w:line="240" w:lineRule="auto"/>
              <w:jc w:val="left"/>
            </w:pPr>
            <w:r>
              <w:rPr>
                <w:rFonts w:ascii="宋体" w:hAnsi="宋体" w:cs="宋体" w:eastAsia="宋体"/>
                <w:b w:val="false"/>
              </w:rPr>
              <w:t>603893</w:t>
            </w:r>
          </w:p>
        </w:tc>
        <w:tc>
          <w:tcPr>
            <w:tcW/>
            <w:vAlign w:val="center"/>
          </w:tcPr>
          <w:p>
            <w:pPr>
              <w:spacing w:line="240" w:lineRule="auto"/>
              <w:jc w:val="left"/>
            </w:pPr>
            <w:r>
              <w:rPr>
                <w:rFonts w:ascii="宋体" w:hAnsi="宋体" w:cs="宋体" w:eastAsia="宋体"/>
                <w:b w:val="false"/>
              </w:rPr>
              <w:t>瑞芯微</w:t>
            </w:r>
          </w:p>
        </w:tc>
        <w:tc>
          <w:tcPr>
            <w:tcW/>
            <w:vAlign w:val="center"/>
          </w:tcPr>
          <w:p>
            <w:pPr>
              <w:spacing w:line="240" w:lineRule="auto"/>
              <w:jc w:val="right"/>
            </w:pPr>
            <w:r>
              <w:rPr>
                <w:rFonts w:ascii="宋体" w:hAnsi="宋体" w:cs="宋体" w:eastAsia="宋体"/>
                <w:b w:val="false"/>
              </w:rPr>
              <w:t>1,209,900</w:t>
            </w:r>
          </w:p>
        </w:tc>
        <w:tc>
          <w:tcPr>
            <w:tcW/>
            <w:vAlign w:val="center"/>
          </w:tcPr>
          <w:p>
            <w:pPr>
              <w:spacing w:line="240" w:lineRule="auto"/>
              <w:jc w:val="right"/>
            </w:pPr>
            <w:r>
              <w:rPr>
                <w:rFonts w:ascii="宋体" w:hAnsi="宋体" w:cs="宋体" w:eastAsia="宋体"/>
                <w:b w:val="false"/>
              </w:rPr>
              <w:t>272,892,945.00</w:t>
            </w:r>
          </w:p>
        </w:tc>
        <w:tc>
          <w:tcPr>
            <w:tcW/>
            <w:vAlign w:val="center"/>
          </w:tcPr>
          <w:p>
            <w:pPr>
              <w:spacing w:line="240" w:lineRule="auto"/>
              <w:jc w:val="right"/>
            </w:pPr>
            <w:r>
              <w:rPr>
                <w:rFonts w:ascii="宋体" w:hAnsi="宋体" w:cs="宋体" w:eastAsia="宋体"/>
                <w:b w:val="false"/>
              </w:rPr>
              <w:t>6.91</w:t>
            </w:r>
          </w:p>
        </w:tc>
      </w:tr>
      <w:tr>
        <w:tc>
          <w:tcPr>
            <w:tcW/>
            <w:vAlign w:val="center"/>
          </w:tcPr>
          <w:p>
            <w:pPr>
              <w:spacing w:line="240" w:lineRule="auto"/>
              <w:jc w:val="center"/>
            </w:pPr>
            <w:r>
              <w:rPr>
                <w:rFonts w:ascii="宋体" w:hAnsi="宋体" w:cs="宋体" w:eastAsia="宋体"/>
                <w:b w:val="false"/>
              </w:rPr>
              <w:t>7</w:t>
            </w:r>
          </w:p>
        </w:tc>
        <w:tc>
          <w:tcPr>
            <w:tcW/>
            <w:vAlign w:val="center"/>
          </w:tcPr>
          <w:p>
            <w:pPr>
              <w:spacing w:line="240" w:lineRule="auto"/>
              <w:jc w:val="left"/>
            </w:pPr>
            <w:r>
              <w:rPr>
                <w:rFonts w:ascii="宋体" w:hAnsi="宋体" w:cs="宋体" w:eastAsia="宋体"/>
                <w:b w:val="false"/>
              </w:rPr>
              <w:t>002837</w:t>
            </w:r>
          </w:p>
        </w:tc>
        <w:tc>
          <w:tcPr>
            <w:tcW/>
            <w:vAlign w:val="center"/>
          </w:tcPr>
          <w:p>
            <w:pPr>
              <w:spacing w:line="240" w:lineRule="auto"/>
              <w:jc w:val="left"/>
            </w:pPr>
            <w:r>
              <w:rPr>
                <w:rFonts w:ascii="宋体" w:hAnsi="宋体" w:cs="宋体" w:eastAsia="宋体"/>
                <w:b w:val="false"/>
              </w:rPr>
              <w:t>英维克</w:t>
            </w:r>
          </w:p>
        </w:tc>
        <w:tc>
          <w:tcPr>
            <w:tcW/>
            <w:vAlign w:val="center"/>
          </w:tcPr>
          <w:p>
            <w:pPr>
              <w:spacing w:line="240" w:lineRule="auto"/>
              <w:jc w:val="right"/>
            </w:pPr>
            <w:r>
              <w:rPr>
                <w:rFonts w:ascii="宋体" w:hAnsi="宋体" w:cs="宋体" w:eastAsia="宋体"/>
                <w:b w:val="false"/>
              </w:rPr>
              <w:t>3,248,416</w:t>
            </w:r>
          </w:p>
        </w:tc>
        <w:tc>
          <w:tcPr>
            <w:tcW/>
            <w:vAlign w:val="center"/>
          </w:tcPr>
          <w:p>
            <w:pPr>
              <w:spacing w:line="240" w:lineRule="auto"/>
              <w:jc w:val="right"/>
            </w:pPr>
            <w:r>
              <w:rPr>
                <w:rFonts w:ascii="宋体" w:hAnsi="宋体" w:cs="宋体" w:eastAsia="宋体"/>
                <w:b w:val="false"/>
              </w:rPr>
              <w:t>259,808,311.68</w:t>
            </w:r>
          </w:p>
        </w:tc>
        <w:tc>
          <w:tcPr>
            <w:tcW/>
            <w:vAlign w:val="center"/>
          </w:tcPr>
          <w:p>
            <w:pPr>
              <w:spacing w:line="240" w:lineRule="auto"/>
              <w:jc w:val="right"/>
            </w:pPr>
            <w:r>
              <w:rPr>
                <w:rFonts w:ascii="宋体" w:hAnsi="宋体" w:cs="宋体" w:eastAsia="宋体"/>
                <w:b w:val="false"/>
              </w:rPr>
              <w:t>6.57</w:t>
            </w:r>
          </w:p>
        </w:tc>
      </w:tr>
      <w:tr>
        <w:tc>
          <w:tcPr>
            <w:tcW/>
            <w:vAlign w:val="center"/>
          </w:tcPr>
          <w:p>
            <w:pPr>
              <w:spacing w:line="240" w:lineRule="auto"/>
              <w:jc w:val="center"/>
            </w:pPr>
            <w:r>
              <w:rPr>
                <w:rFonts w:ascii="宋体" w:hAnsi="宋体" w:cs="宋体" w:eastAsia="宋体"/>
                <w:b w:val="false"/>
              </w:rPr>
              <w:t>8</w:t>
            </w:r>
          </w:p>
        </w:tc>
        <w:tc>
          <w:tcPr>
            <w:tcW/>
            <w:vAlign w:val="center"/>
          </w:tcPr>
          <w:p>
            <w:pPr>
              <w:spacing w:line="240" w:lineRule="auto"/>
              <w:jc w:val="left"/>
            </w:pPr>
            <w:r>
              <w:rPr>
                <w:rFonts w:ascii="宋体" w:hAnsi="宋体" w:cs="宋体" w:eastAsia="宋体"/>
                <w:b w:val="false"/>
              </w:rPr>
              <w:t>688629</w:t>
            </w:r>
          </w:p>
        </w:tc>
        <w:tc>
          <w:tcPr>
            <w:tcW/>
            <w:vAlign w:val="center"/>
          </w:tcPr>
          <w:p>
            <w:pPr>
              <w:spacing w:line="240" w:lineRule="auto"/>
              <w:jc w:val="left"/>
            </w:pPr>
            <w:r>
              <w:rPr>
                <w:rFonts w:ascii="宋体" w:hAnsi="宋体" w:cs="宋体" w:eastAsia="宋体"/>
                <w:b w:val="false"/>
              </w:rPr>
              <w:t>华丰科技</w:t>
            </w:r>
          </w:p>
        </w:tc>
        <w:tc>
          <w:tcPr>
            <w:tcW/>
            <w:vAlign w:val="center"/>
          </w:tcPr>
          <w:p>
            <w:pPr>
              <w:spacing w:line="240" w:lineRule="auto"/>
              <w:jc w:val="right"/>
            </w:pPr>
            <w:r>
              <w:rPr>
                <w:rFonts w:ascii="宋体" w:hAnsi="宋体" w:cs="宋体" w:eastAsia="宋体"/>
                <w:b w:val="false"/>
              </w:rPr>
              <w:t>2,570,971</w:t>
            </w:r>
          </w:p>
        </w:tc>
        <w:tc>
          <w:tcPr>
            <w:tcW/>
            <w:vAlign w:val="center"/>
          </w:tcPr>
          <w:p>
            <w:pPr>
              <w:spacing w:line="240" w:lineRule="auto"/>
              <w:jc w:val="right"/>
            </w:pPr>
            <w:r>
              <w:rPr>
                <w:rFonts w:ascii="宋体" w:hAnsi="宋体" w:cs="宋体" w:eastAsia="宋体"/>
                <w:b w:val="false"/>
              </w:rPr>
              <w:t>252,983,546.40</w:t>
            </w:r>
          </w:p>
        </w:tc>
        <w:tc>
          <w:tcPr>
            <w:tcW/>
            <w:vAlign w:val="center"/>
          </w:tcPr>
          <w:p>
            <w:pPr>
              <w:spacing w:line="240" w:lineRule="auto"/>
              <w:jc w:val="right"/>
            </w:pPr>
            <w:r>
              <w:rPr>
                <w:rFonts w:ascii="宋体" w:hAnsi="宋体" w:cs="宋体" w:eastAsia="宋体"/>
                <w:b w:val="false"/>
              </w:rPr>
              <w:t>6.40</w:t>
            </w:r>
          </w:p>
        </w:tc>
      </w:tr>
      <w:tr>
        <w:tc>
          <w:tcPr>
            <w:tcW/>
            <w:vAlign w:val="center"/>
          </w:tcPr>
          <w:p>
            <w:pPr>
              <w:spacing w:line="240" w:lineRule="auto"/>
              <w:jc w:val="center"/>
            </w:pPr>
            <w:r>
              <w:rPr>
                <w:rFonts w:ascii="宋体" w:hAnsi="宋体" w:cs="宋体" w:eastAsia="宋体"/>
                <w:b w:val="false"/>
              </w:rPr>
              <w:t>9</w:t>
            </w:r>
          </w:p>
        </w:tc>
        <w:tc>
          <w:tcPr>
            <w:tcW/>
            <w:vAlign w:val="center"/>
          </w:tcPr>
          <w:p>
            <w:pPr>
              <w:spacing w:line="240" w:lineRule="auto"/>
              <w:jc w:val="left"/>
            </w:pPr>
            <w:r>
              <w:rPr>
                <w:rFonts w:ascii="宋体" w:hAnsi="宋体" w:cs="宋体" w:eastAsia="宋体"/>
                <w:b w:val="false"/>
              </w:rPr>
              <w:t>688702</w:t>
            </w:r>
          </w:p>
        </w:tc>
        <w:tc>
          <w:tcPr>
            <w:tcW/>
            <w:vAlign w:val="center"/>
          </w:tcPr>
          <w:p>
            <w:pPr>
              <w:spacing w:line="240" w:lineRule="auto"/>
              <w:jc w:val="left"/>
            </w:pPr>
            <w:r>
              <w:rPr>
                <w:rFonts w:ascii="宋体" w:hAnsi="宋体" w:cs="宋体" w:eastAsia="宋体"/>
                <w:b w:val="false"/>
              </w:rPr>
              <w:t>盛科通信</w:t>
            </w:r>
          </w:p>
        </w:tc>
        <w:tc>
          <w:tcPr>
            <w:tcW/>
            <w:vAlign w:val="center"/>
          </w:tcPr>
          <w:p>
            <w:pPr>
              <w:spacing w:line="240" w:lineRule="auto"/>
              <w:jc w:val="right"/>
            </w:pPr>
            <w:r>
              <w:rPr>
                <w:rFonts w:ascii="宋体" w:hAnsi="宋体" w:cs="宋体" w:eastAsia="宋体"/>
                <w:b w:val="false"/>
              </w:rPr>
              <w:t>1,957,487</w:t>
            </w:r>
          </w:p>
        </w:tc>
        <w:tc>
          <w:tcPr>
            <w:tcW/>
            <w:vAlign w:val="center"/>
          </w:tcPr>
          <w:p>
            <w:pPr>
              <w:spacing w:line="240" w:lineRule="auto"/>
              <w:jc w:val="right"/>
            </w:pPr>
            <w:r>
              <w:rPr>
                <w:rFonts w:ascii="宋体" w:hAnsi="宋体" w:cs="宋体" w:eastAsia="宋体"/>
                <w:b w:val="false"/>
              </w:rPr>
              <w:t>247,661,255.24</w:t>
            </w:r>
          </w:p>
        </w:tc>
        <w:tc>
          <w:tcPr>
            <w:tcW/>
            <w:vAlign w:val="center"/>
          </w:tcPr>
          <w:p>
            <w:pPr>
              <w:spacing w:line="240" w:lineRule="auto"/>
              <w:jc w:val="right"/>
            </w:pPr>
            <w:r>
              <w:rPr>
                <w:rFonts w:ascii="宋体" w:hAnsi="宋体" w:cs="宋体" w:eastAsia="宋体"/>
                <w:b w:val="false"/>
              </w:rPr>
              <w:t>6.27</w:t>
            </w:r>
          </w:p>
        </w:tc>
      </w:tr>
      <w:tr>
        <w:tc>
          <w:tcPr>
            <w:tcW/>
            <w:vAlign w:val="center"/>
          </w:tcPr>
          <w:p>
            <w:pPr>
              <w:spacing w:line="240" w:lineRule="auto"/>
              <w:jc w:val="center"/>
            </w:pPr>
            <w:r>
              <w:rPr>
                <w:rFonts w:ascii="宋体" w:hAnsi="宋体" w:cs="宋体" w:eastAsia="宋体"/>
                <w:b w:val="false"/>
              </w:rPr>
              <w:t>10</w:t>
            </w:r>
          </w:p>
        </w:tc>
        <w:tc>
          <w:tcPr>
            <w:tcW/>
            <w:vAlign w:val="center"/>
          </w:tcPr>
          <w:p>
            <w:pPr>
              <w:spacing w:line="240" w:lineRule="auto"/>
              <w:jc w:val="left"/>
            </w:pPr>
            <w:r>
              <w:rPr>
                <w:rFonts w:ascii="宋体" w:hAnsi="宋体" w:cs="宋体" w:eastAsia="宋体"/>
                <w:b w:val="false"/>
              </w:rPr>
              <w:t>603019</w:t>
            </w:r>
          </w:p>
        </w:tc>
        <w:tc>
          <w:tcPr>
            <w:tcW/>
            <w:vAlign w:val="center"/>
          </w:tcPr>
          <w:p>
            <w:pPr>
              <w:spacing w:line="240" w:lineRule="auto"/>
              <w:jc w:val="left"/>
            </w:pPr>
            <w:r>
              <w:rPr>
                <w:rFonts w:ascii="宋体" w:hAnsi="宋体" w:cs="宋体" w:eastAsia="宋体"/>
                <w:b w:val="false"/>
              </w:rPr>
              <w:t>中科曙光</w:t>
            </w:r>
          </w:p>
        </w:tc>
        <w:tc>
          <w:tcPr>
            <w:tcW/>
            <w:vAlign w:val="center"/>
          </w:tcPr>
          <w:p>
            <w:pPr>
              <w:spacing w:line="240" w:lineRule="auto"/>
              <w:jc w:val="right"/>
            </w:pPr>
            <w:r>
              <w:rPr>
                <w:rFonts w:ascii="宋体" w:hAnsi="宋体" w:cs="宋体" w:eastAsia="宋体"/>
                <w:b w:val="false"/>
              </w:rPr>
              <w:t>1,986,800</w:t>
            </w:r>
          </w:p>
        </w:tc>
        <w:tc>
          <w:tcPr>
            <w:tcW/>
            <w:vAlign w:val="center"/>
          </w:tcPr>
          <w:p>
            <w:pPr>
              <w:spacing w:line="240" w:lineRule="auto"/>
              <w:jc w:val="right"/>
            </w:pPr>
            <w:r>
              <w:rPr>
                <w:rFonts w:ascii="宋体" w:hAnsi="宋体" w:cs="宋体" w:eastAsia="宋体"/>
                <w:b w:val="false"/>
              </w:rPr>
              <w:t>236,925,900.00</w:t>
            </w:r>
          </w:p>
        </w:tc>
        <w:tc>
          <w:tcPr>
            <w:tcW/>
            <w:vAlign w:val="center"/>
          </w:tcPr>
          <w:p>
            <w:pPr>
              <w:spacing w:line="240" w:lineRule="auto"/>
              <w:jc w:val="right"/>
            </w:pPr>
            <w:r>
              <w:rPr>
                <w:rFonts w:ascii="宋体" w:hAnsi="宋体" w:cs="宋体" w:eastAsia="宋体"/>
                <w:b w:val="false"/>
              </w:rPr>
              <w:t>6.00</w:t>
            </w:r>
          </w:p>
        </w:tc>
      </w:tr>
    </w:tbl>
    <w:p/>
    <w:p>
      <w:pPr>
        <w:pStyle w:val="2"/>
        <w:jc w:val="left"/>
      </w:pPr>
      <w:r>
        <w:rPr>
          <w:rFonts w:ascii="宋体" w:hAnsi="宋体" w:cs="宋体" w:eastAsia="宋体"/>
        </w:rPr>
        <w:t>5.4 报告期末按债券品种分类的债券投资组合</w:t>
      </w:r>
    </w:p>
    <w:tbl>
      <w:tblPr>
        <w:tblW w:w="5000" w:type="pct"/>
        <w:tblBorders>
          <w:top w:val="single" w:sz="4"/>
          <w:left w:val="single" w:sz="4"/>
          <w:bottom w:val="single" w:sz="4"/>
          <w:right w:val="single" w:sz="4"/>
          <w:insideH w:val="single" w:sz="4"/>
          <w:insideV w:val="single" w:sz="4"/>
        </w:tblBorders>
      </w:tblPr>
      <w:tblGrid>
        <w:gridCol w:w="2266"/>
        <w:gridCol w:w="2266"/>
        <w:gridCol w:w="2266"/>
        <w:gridCol w:w="2266"/>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1538"/>
            <w:vAlign w:val="center"/>
          </w:tcPr>
          <w:tcPr>
            <w:shd w:fill="d9d9d9"/>
          </w:tcPr>
          <w:p>
            <w:pPr>
              <w:spacing w:line="240" w:lineRule="auto"/>
              <w:jc w:val="center"/>
            </w:pPr>
            <w:r>
              <w:rPr>
                <w:rFonts w:ascii="宋体" w:hAnsi="宋体" w:cs="宋体" w:eastAsia="宋体"/>
                <w:b w:val="false"/>
              </w:rPr>
              <w:t>债券品种</w:t>
            </w:r>
          </w:p>
        </w:tc>
        <w:tc>
          <w:tcPr>
            <w:tcW w:type="pct" w:w="769"/>
            <w:vAlign w:val="center"/>
          </w:tcPr>
          <w:tcPr>
            <w:shd w:fill="d9d9d9"/>
          </w:tcPr>
          <w:p>
            <w:pPr>
              <w:spacing w:line="240" w:lineRule="auto"/>
              <w:jc w:val="center"/>
            </w:pPr>
            <w:r>
              <w:rPr>
                <w:rFonts w:ascii="宋体" w:hAnsi="宋体" w:cs="宋体" w:eastAsia="宋体"/>
                <w:b w:val="false"/>
              </w:rPr>
              <w:t>公允价值(元)</w:t>
            </w:r>
          </w:p>
        </w:tc>
        <w:tc>
          <w:tcPr>
            <w:tcW w:type="pct" w:w="1077"/>
            <w:vAlign w:val="center"/>
          </w:tcPr>
          <w:tcPr>
            <w:shd w:fill="d9d9d9"/>
          </w:tcPr>
          <w:p>
            <w:pPr>
              <w:spacing w:line="240" w:lineRule="auto"/>
              <w:jc w:val="center"/>
            </w:pPr>
            <w:r>
              <w:rPr>
                <w:rFonts w:ascii="宋体" w:hAnsi="宋体" w:cs="宋体" w:eastAsia="宋体"/>
                <w:b w:val="false"/>
              </w:rPr>
              <w:t>占基金资产净值比例(％)</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国家债券</w:t>
            </w:r>
          </w:p>
        </w:tc>
        <w:tc>
          <w:tcPr>
            <w:tcW/>
            <w:vAlign w:val="center"/>
          </w:tcPr>
          <w:p>
            <w:pPr>
              <w:spacing w:line="240" w:lineRule="auto"/>
              <w:jc w:val="right"/>
            </w:pPr>
            <w:r>
              <w:rPr>
                <w:rFonts w:ascii="宋体" w:hAnsi="宋体" w:cs="宋体" w:eastAsia="宋体"/>
                <w:b w:val="false"/>
              </w:rPr>
              <w:t>225,777,101.97</w:t>
            </w:r>
          </w:p>
        </w:tc>
        <w:tc>
          <w:tcPr>
            <w:tcW/>
            <w:vAlign w:val="center"/>
          </w:tcPr>
          <w:p>
            <w:pPr>
              <w:spacing w:line="240" w:lineRule="auto"/>
              <w:jc w:val="right"/>
            </w:pPr>
            <w:r>
              <w:rPr>
                <w:rFonts w:ascii="宋体" w:hAnsi="宋体" w:cs="宋体" w:eastAsia="宋体"/>
                <w:b w:val="false"/>
              </w:rPr>
              <w:t>5.71</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央行票据</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3</w:t>
            </w:r>
          </w:p>
        </w:tc>
        <w:tc>
          <w:tcPr>
            <w:tcW/>
            <w:vAlign w:val="center"/>
          </w:tcPr>
          <w:p>
            <w:pPr>
              <w:spacing w:line="240" w:lineRule="auto"/>
              <w:jc w:val="left"/>
            </w:pPr>
            <w:r>
              <w:rPr>
                <w:rFonts w:ascii="宋体" w:hAnsi="宋体" w:cs="宋体" w:eastAsia="宋体"/>
                <w:b w:val="false"/>
              </w:rPr>
              <w:t>金融债券</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其中：政策性金融债</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4</w:t>
            </w:r>
          </w:p>
        </w:tc>
        <w:tc>
          <w:tcPr>
            <w:tcW/>
            <w:vAlign w:val="center"/>
          </w:tcPr>
          <w:p>
            <w:pPr>
              <w:spacing w:line="240" w:lineRule="auto"/>
              <w:jc w:val="left"/>
            </w:pPr>
            <w:r>
              <w:rPr>
                <w:rFonts w:ascii="宋体" w:hAnsi="宋体" w:cs="宋体" w:eastAsia="宋体"/>
                <w:b w:val="false"/>
              </w:rPr>
              <w:t>企业债券</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5</w:t>
            </w:r>
          </w:p>
        </w:tc>
        <w:tc>
          <w:tcPr>
            <w:tcW/>
            <w:vAlign w:val="center"/>
          </w:tcPr>
          <w:p>
            <w:pPr>
              <w:spacing w:line="240" w:lineRule="auto"/>
              <w:jc w:val="left"/>
            </w:pPr>
            <w:r>
              <w:rPr>
                <w:rFonts w:ascii="宋体" w:hAnsi="宋体" w:cs="宋体" w:eastAsia="宋体"/>
                <w:b w:val="false"/>
              </w:rPr>
              <w:t>企业短期融资券</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6</w:t>
            </w:r>
          </w:p>
        </w:tc>
        <w:tc>
          <w:tcPr>
            <w:tcW/>
            <w:vAlign w:val="center"/>
          </w:tcPr>
          <w:p>
            <w:pPr>
              <w:spacing w:line="240" w:lineRule="auto"/>
              <w:jc w:val="left"/>
            </w:pPr>
            <w:r>
              <w:rPr>
                <w:rFonts w:ascii="宋体" w:hAnsi="宋体" w:cs="宋体" w:eastAsia="宋体"/>
                <w:b w:val="false"/>
              </w:rPr>
              <w:t>中期票据</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7</w:t>
            </w:r>
          </w:p>
        </w:tc>
        <w:tc>
          <w:tcPr>
            <w:tcW/>
            <w:vAlign w:val="center"/>
          </w:tcPr>
          <w:p>
            <w:pPr>
              <w:spacing w:line="240" w:lineRule="auto"/>
              <w:jc w:val="left"/>
            </w:pPr>
            <w:r>
              <w:rPr>
                <w:rFonts w:ascii="宋体" w:hAnsi="宋体" w:cs="宋体" w:eastAsia="宋体"/>
                <w:b w:val="false"/>
              </w:rPr>
              <w:t>可转债（可交换债）</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8</w:t>
            </w:r>
          </w:p>
        </w:tc>
        <w:tc>
          <w:tcPr>
            <w:tcW/>
            <w:vAlign w:val="center"/>
          </w:tcPr>
          <w:p>
            <w:pPr>
              <w:spacing w:line="240" w:lineRule="auto"/>
              <w:jc w:val="left"/>
            </w:pPr>
            <w:r>
              <w:rPr>
                <w:rFonts w:ascii="宋体" w:hAnsi="宋体" w:cs="宋体" w:eastAsia="宋体"/>
                <w:b w:val="false"/>
              </w:rPr>
              <w:t>同业存单</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9</w:t>
            </w:r>
          </w:p>
        </w:tc>
        <w:tc>
          <w:tcPr>
            <w:tcW/>
            <w:vAlign w:val="center"/>
          </w:tcPr>
          <w:p>
            <w:pPr>
              <w:spacing w:line="240" w:lineRule="auto"/>
              <w:jc w:val="left"/>
            </w:pPr>
            <w:r>
              <w:rPr>
                <w:rFonts w:ascii="宋体" w:hAnsi="宋体" w:cs="宋体" w:eastAsia="宋体"/>
                <w:b w:val="false"/>
              </w:rPr>
              <w:t>其他</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10</w:t>
            </w:r>
          </w:p>
        </w:tc>
        <w:tc>
          <w:tcPr>
            <w:tcW/>
            <w:vAlign w:val="center"/>
          </w:tcPr>
          <w:p>
            <w:pPr>
              <w:spacing w:line="240" w:lineRule="auto"/>
              <w:jc w:val="left"/>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225,777,101.97</w:t>
            </w:r>
          </w:p>
        </w:tc>
        <w:tc>
          <w:tcPr>
            <w:tcW/>
            <w:vAlign w:val="center"/>
          </w:tcPr>
          <w:p>
            <w:pPr>
              <w:spacing w:line="240" w:lineRule="auto"/>
              <w:jc w:val="right"/>
            </w:pPr>
            <w:r>
              <w:rPr>
                <w:rFonts w:ascii="宋体" w:hAnsi="宋体" w:cs="宋体" w:eastAsia="宋体"/>
                <w:b w:val="false"/>
              </w:rPr>
              <w:t>5.71</w:t>
            </w:r>
          </w:p>
        </w:tc>
      </w:tr>
    </w:tbl>
    <w:p/>
    <w:p>
      <w:pPr>
        <w:pStyle w:val="2"/>
        <w:jc w:val="left"/>
      </w:pPr>
      <w:r>
        <w:rPr>
          <w:rFonts w:ascii="宋体" w:hAnsi="宋体" w:cs="宋体" w:eastAsia="宋体"/>
        </w:rPr>
        <w:t>5.5 报告期末按公允价值占基金资产净值比例大小排序的前五名债券投资明细</w:t>
      </w:r>
    </w:p>
    <w:tbl>
      <w:tblPr>
        <w:tblW w:w="5000" w:type="pct"/>
        <w:tblBorders>
          <w:top w:val="single" w:sz="4"/>
          <w:left w:val="single" w:sz="4"/>
          <w:bottom w:val="single" w:sz="4"/>
          <w:right w:val="single" w:sz="4"/>
          <w:insideH w:val="single" w:sz="4"/>
          <w:insideV w:val="single" w:sz="4"/>
        </w:tblBorders>
      </w:tblPr>
      <w:tblGrid>
        <w:gridCol w:w="1510"/>
        <w:gridCol w:w="1510"/>
        <w:gridCol w:w="1510"/>
        <w:gridCol w:w="1510"/>
        <w:gridCol w:w="1510"/>
        <w:gridCol w:w="1510"/>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769"/>
            <w:vAlign w:val="center"/>
          </w:tcPr>
          <w:tcPr>
            <w:shd w:fill="d9d9d9"/>
          </w:tcPr>
          <w:p>
            <w:pPr>
              <w:spacing w:line="240" w:lineRule="auto"/>
              <w:jc w:val="center"/>
            </w:pPr>
            <w:r>
              <w:rPr>
                <w:rFonts w:ascii="宋体" w:hAnsi="宋体" w:cs="宋体" w:eastAsia="宋体"/>
                <w:b w:val="false"/>
              </w:rPr>
              <w:t>债券代码</w:t>
            </w:r>
          </w:p>
        </w:tc>
        <w:tc>
          <w:tcPr>
            <w:tcW w:type="pct" w:w="769"/>
            <w:vAlign w:val="center"/>
          </w:tcPr>
          <w:tcPr>
            <w:shd w:fill="d9d9d9"/>
          </w:tcPr>
          <w:p>
            <w:pPr>
              <w:spacing w:line="240" w:lineRule="auto"/>
              <w:jc w:val="center"/>
            </w:pPr>
            <w:r>
              <w:rPr>
                <w:rFonts w:ascii="宋体" w:hAnsi="宋体" w:cs="宋体" w:eastAsia="宋体"/>
                <w:b w:val="false"/>
              </w:rPr>
              <w:t>债券名称</w:t>
            </w:r>
          </w:p>
        </w:tc>
        <w:tc>
          <w:tcPr>
            <w:tcW w:type="pct" w:w="615"/>
            <w:vAlign w:val="center"/>
          </w:tcPr>
          <w:tcPr>
            <w:shd w:fill="d9d9d9"/>
          </w:tcPr>
          <w:p>
            <w:pPr>
              <w:spacing w:line="240" w:lineRule="auto"/>
              <w:jc w:val="center"/>
            </w:pPr>
            <w:r>
              <w:rPr>
                <w:rFonts w:ascii="宋体" w:hAnsi="宋体" w:cs="宋体" w:eastAsia="宋体"/>
                <w:b w:val="false"/>
              </w:rPr>
              <w:t>数量(张)</w:t>
            </w:r>
          </w:p>
        </w:tc>
        <w:tc>
          <w:tcPr>
            <w:tcW w:type="pct" w:w="923"/>
            <w:vAlign w:val="center"/>
          </w:tcPr>
          <w:tcPr>
            <w:shd w:fill="d9d9d9"/>
          </w:tcPr>
          <w:p>
            <w:pPr>
              <w:spacing w:line="240" w:lineRule="auto"/>
              <w:jc w:val="center"/>
            </w:pPr>
            <w:r>
              <w:rPr>
                <w:rFonts w:ascii="宋体" w:hAnsi="宋体" w:cs="宋体" w:eastAsia="宋体"/>
                <w:b w:val="false"/>
              </w:rPr>
              <w:t>公允价值(元)</w:t>
            </w:r>
          </w:p>
        </w:tc>
        <w:tc>
          <w:tcPr>
            <w:tcW w:type="pct" w:w="923"/>
            <w:vAlign w:val="center"/>
          </w:tcPr>
          <w:tcPr>
            <w:shd w:fill="d9d9d9"/>
          </w:tcPr>
          <w:p>
            <w:pPr>
              <w:spacing w:line="240" w:lineRule="auto"/>
              <w:jc w:val="center"/>
            </w:pPr>
            <w:r>
              <w:rPr>
                <w:rFonts w:ascii="宋体" w:hAnsi="宋体" w:cs="宋体" w:eastAsia="宋体"/>
                <w:b w:val="false"/>
              </w:rPr>
              <w:t>占基金资产净值比例(%)</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019785</w:t>
            </w:r>
          </w:p>
        </w:tc>
        <w:tc>
          <w:tcPr>
            <w:tcW/>
            <w:vAlign w:val="center"/>
          </w:tcPr>
          <w:p>
            <w:pPr>
              <w:spacing w:line="240" w:lineRule="auto"/>
              <w:jc w:val="left"/>
            </w:pPr>
            <w:r>
              <w:rPr>
                <w:rFonts w:ascii="宋体" w:hAnsi="宋体" w:cs="宋体" w:eastAsia="宋体"/>
                <w:b w:val="false"/>
              </w:rPr>
              <w:t>25国债13</w:t>
            </w:r>
          </w:p>
        </w:tc>
        <w:tc>
          <w:tcPr>
            <w:tcW/>
            <w:vAlign w:val="center"/>
          </w:tcPr>
          <w:p>
            <w:pPr>
              <w:spacing w:line="240" w:lineRule="auto"/>
              <w:jc w:val="right"/>
            </w:pPr>
            <w:r>
              <w:rPr>
                <w:rFonts w:ascii="宋体" w:hAnsi="宋体" w:cs="宋体" w:eastAsia="宋体"/>
                <w:b w:val="false"/>
              </w:rPr>
              <w:t>798,000</w:t>
            </w:r>
          </w:p>
        </w:tc>
        <w:tc>
          <w:tcPr>
            <w:tcW/>
            <w:vAlign w:val="center"/>
          </w:tcPr>
          <w:p>
            <w:pPr>
              <w:spacing w:line="240" w:lineRule="auto"/>
              <w:jc w:val="right"/>
            </w:pPr>
            <w:r>
              <w:rPr>
                <w:rFonts w:ascii="宋体" w:hAnsi="宋体" w:cs="宋体" w:eastAsia="宋体"/>
                <w:b w:val="false"/>
              </w:rPr>
              <w:t>79,957,829.09</w:t>
            </w:r>
          </w:p>
        </w:tc>
        <w:tc>
          <w:tcPr>
            <w:tcW/>
            <w:vAlign w:val="center"/>
          </w:tcPr>
          <w:p>
            <w:pPr>
              <w:spacing w:line="240" w:lineRule="auto"/>
              <w:jc w:val="right"/>
            </w:pPr>
            <w:r>
              <w:rPr>
                <w:rFonts w:ascii="宋体" w:hAnsi="宋体" w:cs="宋体" w:eastAsia="宋体"/>
                <w:b w:val="false"/>
              </w:rPr>
              <w:t>2.02</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019766</w:t>
            </w:r>
          </w:p>
        </w:tc>
        <w:tc>
          <w:tcPr>
            <w:tcW/>
            <w:vAlign w:val="center"/>
          </w:tcPr>
          <w:p>
            <w:pPr>
              <w:spacing w:line="240" w:lineRule="auto"/>
              <w:jc w:val="left"/>
            </w:pPr>
            <w:r>
              <w:rPr>
                <w:rFonts w:ascii="宋体" w:hAnsi="宋体" w:cs="宋体" w:eastAsia="宋体"/>
                <w:b w:val="false"/>
              </w:rPr>
              <w:t>25国债01</w:t>
            </w:r>
          </w:p>
        </w:tc>
        <w:tc>
          <w:tcPr>
            <w:tcW/>
            <w:vAlign w:val="center"/>
          </w:tcPr>
          <w:p>
            <w:pPr>
              <w:spacing w:line="240" w:lineRule="auto"/>
              <w:jc w:val="right"/>
            </w:pPr>
            <w:r>
              <w:rPr>
                <w:rFonts w:ascii="宋体" w:hAnsi="宋体" w:cs="宋体" w:eastAsia="宋体"/>
                <w:b w:val="false"/>
              </w:rPr>
              <w:t>726,000</w:t>
            </w:r>
          </w:p>
        </w:tc>
        <w:tc>
          <w:tcPr>
            <w:tcW/>
            <w:vAlign w:val="center"/>
          </w:tcPr>
          <w:p>
            <w:pPr>
              <w:spacing w:line="240" w:lineRule="auto"/>
              <w:jc w:val="right"/>
            </w:pPr>
            <w:r>
              <w:rPr>
                <w:rFonts w:ascii="宋体" w:hAnsi="宋体" w:cs="宋体" w:eastAsia="宋体"/>
                <w:b w:val="false"/>
              </w:rPr>
              <w:t>73,161,287.51</w:t>
            </w:r>
          </w:p>
        </w:tc>
        <w:tc>
          <w:tcPr>
            <w:tcW/>
            <w:vAlign w:val="center"/>
          </w:tcPr>
          <w:p>
            <w:pPr>
              <w:spacing w:line="240" w:lineRule="auto"/>
              <w:jc w:val="right"/>
            </w:pPr>
            <w:r>
              <w:rPr>
                <w:rFonts w:ascii="宋体" w:hAnsi="宋体" w:cs="宋体" w:eastAsia="宋体"/>
                <w:b w:val="false"/>
              </w:rPr>
              <w:t>1.85</w:t>
            </w:r>
          </w:p>
        </w:tc>
      </w:tr>
      <w:tr>
        <w:tc>
          <w:tcPr>
            <w:tcW/>
            <w:vAlign w:val="center"/>
          </w:tcPr>
          <w:p>
            <w:pPr>
              <w:spacing w:line="240" w:lineRule="auto"/>
              <w:jc w:val="center"/>
            </w:pPr>
            <w:r>
              <w:rPr>
                <w:rFonts w:ascii="宋体" w:hAnsi="宋体" w:cs="宋体" w:eastAsia="宋体"/>
                <w:b w:val="false"/>
              </w:rPr>
              <w:t>3</w:t>
            </w:r>
          </w:p>
        </w:tc>
        <w:tc>
          <w:tcPr>
            <w:tcW/>
            <w:vAlign w:val="center"/>
          </w:tcPr>
          <w:p>
            <w:pPr>
              <w:spacing w:line="240" w:lineRule="auto"/>
              <w:jc w:val="left"/>
            </w:pPr>
            <w:r>
              <w:rPr>
                <w:rFonts w:ascii="宋体" w:hAnsi="宋体" w:cs="宋体" w:eastAsia="宋体"/>
                <w:b w:val="false"/>
              </w:rPr>
              <w:t>019773</w:t>
            </w:r>
          </w:p>
        </w:tc>
        <w:tc>
          <w:tcPr>
            <w:tcW/>
            <w:vAlign w:val="center"/>
          </w:tcPr>
          <w:p>
            <w:pPr>
              <w:spacing w:line="240" w:lineRule="auto"/>
              <w:jc w:val="left"/>
            </w:pPr>
            <w:r>
              <w:rPr>
                <w:rFonts w:ascii="宋体" w:hAnsi="宋体" w:cs="宋体" w:eastAsia="宋体"/>
                <w:b w:val="false"/>
              </w:rPr>
              <w:t>25国债08</w:t>
            </w:r>
          </w:p>
        </w:tc>
        <w:tc>
          <w:tcPr>
            <w:tcW/>
            <w:vAlign w:val="center"/>
          </w:tcPr>
          <w:p>
            <w:pPr>
              <w:spacing w:line="240" w:lineRule="auto"/>
              <w:jc w:val="right"/>
            </w:pPr>
            <w:r>
              <w:rPr>
                <w:rFonts w:ascii="宋体" w:hAnsi="宋体" w:cs="宋体" w:eastAsia="宋体"/>
                <w:b w:val="false"/>
              </w:rPr>
              <w:t>722,000</w:t>
            </w:r>
          </w:p>
        </w:tc>
        <w:tc>
          <w:tcPr>
            <w:tcW/>
            <w:vAlign w:val="center"/>
          </w:tcPr>
          <w:p>
            <w:pPr>
              <w:spacing w:line="240" w:lineRule="auto"/>
              <w:jc w:val="right"/>
            </w:pPr>
            <w:r>
              <w:rPr>
                <w:rFonts w:ascii="宋体" w:hAnsi="宋体" w:cs="宋体" w:eastAsia="宋体"/>
                <w:b w:val="false"/>
              </w:rPr>
              <w:t>72,657,985.37</w:t>
            </w:r>
          </w:p>
        </w:tc>
        <w:tc>
          <w:tcPr>
            <w:tcW/>
            <w:vAlign w:val="center"/>
          </w:tcPr>
          <w:p>
            <w:pPr>
              <w:spacing w:line="240" w:lineRule="auto"/>
              <w:jc w:val="right"/>
            </w:pPr>
            <w:r>
              <w:rPr>
                <w:rFonts w:ascii="宋体" w:hAnsi="宋体" w:cs="宋体" w:eastAsia="宋体"/>
                <w:b w:val="false"/>
              </w:rPr>
              <w:t>1.84</w:t>
            </w:r>
          </w:p>
        </w:tc>
      </w:tr>
    </w:tbl>
    <w:p>
      <w:r>
        <w:rPr>
          <w:rFonts w:ascii="宋体" w:hAnsi="宋体" w:cs="宋体" w:eastAsia="宋体"/>
          <w:b w:val="false"/>
        </w:rPr>
        <w:t>注：本基金本报告期末仅持有上述债券。</w:t>
      </w:r>
    </w:p>
    <w:p/>
    <w:p>
      <w:pPr>
        <w:pStyle w:val="2"/>
        <w:jc w:val="left"/>
      </w:pPr>
      <w:r>
        <w:rPr>
          <w:rFonts w:ascii="宋体" w:hAnsi="宋体" w:cs="宋体" w:eastAsia="宋体"/>
        </w:rPr>
        <w:t>5.6 报告期末按公允价值占基金资产净值比例大小排序的前十名资产支持证券投资明细</w:t>
      </w:r>
    </w:p>
    <w:p>
      <w:r>
        <w:rPr>
          <w:rFonts w:ascii="宋体" w:hAnsi="宋体" w:cs="宋体" w:eastAsia="宋体"/>
          <w:b w:val="false"/>
        </w:rPr>
        <w:t xml:space="preserve">    本基金本报告期末未持有资产支持证券。</w:t>
      </w:r>
    </w:p>
    <w:p/>
    <w:p>
      <w:pPr>
        <w:pStyle w:val="2"/>
        <w:jc w:val="left"/>
      </w:pPr>
      <w:r>
        <w:rPr>
          <w:rFonts w:ascii="宋体" w:hAnsi="宋体" w:cs="宋体" w:eastAsia="宋体"/>
        </w:rPr>
        <w:t>5.7 报告期末按公允价值占基金资产净值比例大小排序的前五名贵金属投资明细</w:t>
      </w:r>
    </w:p>
    <w:p>
      <w:r>
        <w:rPr>
          <w:rFonts w:ascii="宋体" w:hAnsi="宋体" w:cs="宋体" w:eastAsia="宋体"/>
          <w:b w:val="false"/>
        </w:rPr>
        <w:t xml:space="preserve">    本基金本报告期末未持有贵金属。</w:t>
      </w:r>
    </w:p>
    <w:p/>
    <w:p>
      <w:pPr>
        <w:pStyle w:val="2"/>
        <w:jc w:val="left"/>
      </w:pPr>
      <w:r>
        <w:rPr>
          <w:rFonts w:ascii="宋体" w:hAnsi="宋体" w:cs="宋体" w:eastAsia="宋体"/>
        </w:rPr>
        <w:t>5.8 报告期末按公允价值占基金资产净值比例大小排序的前五名权证投资明细</w:t>
      </w:r>
    </w:p>
    <w:p>
      <w:r>
        <w:rPr>
          <w:rFonts w:ascii="宋体" w:hAnsi="宋体" w:cs="宋体" w:eastAsia="宋体"/>
          <w:b w:val="false"/>
        </w:rPr>
        <w:t xml:space="preserve">    本基金本报告期末未持有权证。</w:t>
      </w:r>
    </w:p>
    <w:p/>
    <w:p>
      <w:pPr>
        <w:pStyle w:val="2"/>
        <w:jc w:val="left"/>
      </w:pPr>
      <w:r>
        <w:rPr>
          <w:rFonts w:ascii="宋体" w:hAnsi="宋体" w:cs="宋体" w:eastAsia="宋体"/>
        </w:rPr>
        <w:t>5.9 报告期末本基金投资的股指期货交易情况说明</w:t>
      </w:r>
    </w:p>
    <w:p>
      <w:r>
        <w:rPr>
          <w:rFonts w:ascii="宋体" w:hAnsi="宋体" w:cs="宋体" w:eastAsia="宋体"/>
          <w:b w:val="false"/>
        </w:rPr>
        <w:t xml:space="preserve">    本基金本报告期末未持有股指期货。</w:t>
      </w:r>
    </w:p>
    <w:p/>
    <w:p>
      <w:pPr>
        <w:pStyle w:val="2"/>
        <w:jc w:val="left"/>
      </w:pPr>
      <w:r>
        <w:rPr>
          <w:rFonts w:ascii="宋体" w:hAnsi="宋体" w:cs="宋体" w:eastAsia="宋体"/>
        </w:rPr>
        <w:t>5.10 报告期末本基金投资的国债期货交易情况说明</w:t>
      </w:r>
    </w:p>
    <w:p>
      <w:r>
        <w:rPr>
          <w:rFonts w:ascii="宋体" w:hAnsi="宋体" w:cs="宋体" w:eastAsia="宋体"/>
          <w:b w:val="false"/>
        </w:rPr>
        <w:t xml:space="preserve">    本基金本报告期末未持有国债期货。</w:t>
      </w:r>
    </w:p>
    <w:p/>
    <w:p>
      <w:pPr>
        <w:pStyle w:val="2"/>
        <w:jc w:val="left"/>
      </w:pPr>
      <w:r>
        <w:rPr>
          <w:rFonts w:ascii="宋体" w:hAnsi="宋体" w:cs="宋体" w:eastAsia="宋体"/>
        </w:rPr>
        <w:t>5.11 投资组合报告附注</w:t>
      </w:r>
    </w:p>
    <w:p>
      <w:r>
        <w:rPr>
          <w:rStyle w:val="正文"/>
          <w:rFonts w:ascii="宋体" w:hAnsi="宋体" w:cs="宋体" w:eastAsia="宋体"/>
          <w:b w:val="true"/>
        </w:rPr>
        <w:t>5.11.1 本基金投资的前十名证券的发行主体本期受到监管部门立案调查或报告编制日前一年内受到公开谴责、处罚的情形说明</w:t>
      </w:r>
    </w:p>
    <w:p>
      <w:r>
        <w:rPr>
          <w:rFonts w:ascii="宋体" w:hAnsi="宋体" w:cs="宋体" w:eastAsia="宋体"/>
          <w:b w:val="false"/>
        </w:rPr>
        <w:t xml:space="preserve">    本基金投资的前十名证券的发行主体本期未出现被监管部门立案调查，或在报告编制日前一年内受到公开谴责、处罚的情形。</w:t>
      </w:r>
    </w:p>
    <w:p/>
    <w:p>
      <w:r>
        <w:rPr>
          <w:rStyle w:val="正文"/>
          <w:rFonts w:ascii="宋体" w:hAnsi="宋体" w:cs="宋体" w:eastAsia="宋体"/>
          <w:b w:val="true"/>
        </w:rPr>
        <w:t>5.11.2 基金投资的前十名股票超出基金合同规定的备选股票库情况的说明</w:t>
      </w:r>
    </w:p>
    <w:p>
      <w:r>
        <w:rPr>
          <w:rFonts w:ascii="宋体" w:hAnsi="宋体" w:cs="宋体" w:eastAsia="宋体"/>
          <w:b w:val="false"/>
        </w:rPr>
        <w:t xml:space="preserve">    基金投资的前十名股票，均为基金合同规定备选股票库之内的股票。</w:t>
      </w:r>
    </w:p>
    <w:p/>
    <w:p>
      <w:r>
        <w:rPr>
          <w:rStyle w:val="正文"/>
          <w:rFonts w:ascii="宋体" w:hAnsi="宋体" w:cs="宋体" w:eastAsia="宋体"/>
          <w:b w:val="true"/>
        </w:rPr>
        <w:t>5.11.3 其他资产构成</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2308"/>
            <w:vAlign w:val="center"/>
          </w:tcPr>
          <w:tcPr>
            <w:shd w:fill="d9d9d9"/>
          </w:tcPr>
          <w:p>
            <w:pPr>
              <w:spacing w:line="240" w:lineRule="auto"/>
              <w:jc w:val="center"/>
            </w:pPr>
            <w:r>
              <w:rPr>
                <w:rFonts w:ascii="宋体" w:hAnsi="宋体" w:cs="宋体" w:eastAsia="宋体"/>
                <w:b w:val="false"/>
              </w:rPr>
              <w:t>名称</w:t>
            </w:r>
          </w:p>
        </w:tc>
        <w:tc>
          <w:tcPr>
            <w:tcW w:type="pct" w:w="1538"/>
            <w:vAlign w:val="center"/>
          </w:tcPr>
          <w:tcPr>
            <w:shd w:fill="d9d9d9"/>
          </w:tcPr>
          <w:p>
            <w:pPr>
              <w:spacing w:line="240" w:lineRule="auto"/>
              <w:jc w:val="center"/>
            </w:pPr>
            <w:r>
              <w:rPr>
                <w:rFonts w:ascii="宋体" w:hAnsi="宋体" w:cs="宋体" w:eastAsia="宋体"/>
                <w:b w:val="false"/>
              </w:rPr>
              <w:t>金额(元)</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存出保证金</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应收证券清算款</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3</w:t>
            </w:r>
          </w:p>
        </w:tc>
        <w:tc>
          <w:tcPr>
            <w:tcW/>
            <w:vAlign w:val="center"/>
          </w:tcPr>
          <w:p>
            <w:pPr>
              <w:spacing w:line="240" w:lineRule="auto"/>
              <w:jc w:val="left"/>
            </w:pPr>
            <w:r>
              <w:rPr>
                <w:rFonts w:ascii="宋体" w:hAnsi="宋体" w:cs="宋体" w:eastAsia="宋体"/>
                <w:b w:val="false"/>
              </w:rPr>
              <w:t>应收股利</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4</w:t>
            </w:r>
          </w:p>
        </w:tc>
        <w:tc>
          <w:tcPr>
            <w:tcW/>
            <w:vAlign w:val="center"/>
          </w:tcPr>
          <w:p>
            <w:pPr>
              <w:spacing w:line="240" w:lineRule="auto"/>
              <w:jc w:val="left"/>
            </w:pPr>
            <w:r>
              <w:rPr>
                <w:rFonts w:ascii="宋体" w:hAnsi="宋体" w:cs="宋体" w:eastAsia="宋体"/>
                <w:b w:val="false"/>
              </w:rPr>
              <w:t>应收利息</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5</w:t>
            </w:r>
          </w:p>
        </w:tc>
        <w:tc>
          <w:tcPr>
            <w:tcW/>
            <w:vAlign w:val="center"/>
          </w:tcPr>
          <w:p>
            <w:pPr>
              <w:spacing w:line="240" w:lineRule="auto"/>
              <w:jc w:val="left"/>
            </w:pPr>
            <w:r>
              <w:rPr>
                <w:rFonts w:ascii="宋体" w:hAnsi="宋体" w:cs="宋体" w:eastAsia="宋体"/>
                <w:b w:val="false"/>
              </w:rPr>
              <w:t>应收申购款</w:t>
            </w:r>
          </w:p>
        </w:tc>
        <w:tc>
          <w:tcPr>
            <w:tcW/>
            <w:vAlign w:val="center"/>
          </w:tcPr>
          <w:p>
            <w:pPr>
              <w:spacing w:line="240" w:lineRule="auto"/>
              <w:jc w:val="right"/>
            </w:pPr>
            <w:r>
              <w:rPr>
                <w:rFonts w:ascii="宋体" w:hAnsi="宋体" w:cs="宋体" w:eastAsia="宋体"/>
                <w:b w:val="false"/>
              </w:rPr>
              <w:t>17,276,418.23</w:t>
            </w:r>
          </w:p>
        </w:tc>
      </w:tr>
      <w:tr>
        <w:tc>
          <w:tcPr>
            <w:tcW/>
            <w:vAlign w:val="center"/>
          </w:tcPr>
          <w:p>
            <w:pPr>
              <w:spacing w:line="240" w:lineRule="auto"/>
              <w:jc w:val="center"/>
            </w:pPr>
            <w:r>
              <w:rPr>
                <w:rFonts w:ascii="宋体" w:hAnsi="宋体" w:cs="宋体" w:eastAsia="宋体"/>
                <w:b w:val="false"/>
              </w:rPr>
              <w:t>6</w:t>
            </w:r>
          </w:p>
        </w:tc>
        <w:tc>
          <w:tcPr>
            <w:tcW/>
            <w:vAlign w:val="center"/>
          </w:tcPr>
          <w:p>
            <w:pPr>
              <w:spacing w:line="240" w:lineRule="auto"/>
              <w:jc w:val="left"/>
            </w:pPr>
            <w:r>
              <w:rPr>
                <w:rFonts w:ascii="宋体" w:hAnsi="宋体" w:cs="宋体" w:eastAsia="宋体"/>
                <w:b w:val="false"/>
              </w:rPr>
              <w:t>其他应收款</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7</w:t>
            </w:r>
          </w:p>
        </w:tc>
        <w:tc>
          <w:tcPr>
            <w:tcW/>
            <w:vAlign w:val="center"/>
          </w:tcPr>
          <w:p>
            <w:pPr>
              <w:spacing w:line="240" w:lineRule="auto"/>
              <w:jc w:val="left"/>
            </w:pPr>
            <w:r>
              <w:rPr>
                <w:rFonts w:ascii="宋体" w:hAnsi="宋体" w:cs="宋体" w:eastAsia="宋体"/>
                <w:b w:val="false"/>
              </w:rPr>
              <w:t>其他</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8</w:t>
            </w:r>
          </w:p>
        </w:tc>
        <w:tc>
          <w:tcPr>
            <w:tcW/>
            <w:vAlign w:val="center"/>
          </w:tcPr>
          <w:p>
            <w:pPr>
              <w:spacing w:line="240" w:lineRule="auto"/>
              <w:jc w:val="left"/>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17,276,418.23</w:t>
            </w:r>
          </w:p>
        </w:tc>
      </w:tr>
    </w:tbl>
    <w:p/>
    <w:p>
      <w:r>
        <w:rPr>
          <w:rStyle w:val="正文"/>
          <w:rFonts w:ascii="宋体" w:hAnsi="宋体" w:cs="宋体" w:eastAsia="宋体"/>
          <w:b w:val="true"/>
        </w:rPr>
        <w:t>5.11.4 报告期末持有的处于转股期的可转换债券明细</w:t>
      </w:r>
    </w:p>
    <w:p>
      <w:r>
        <w:rPr>
          <w:rFonts w:ascii="宋体" w:hAnsi="宋体" w:cs="宋体" w:eastAsia="宋体"/>
          <w:b w:val="false"/>
        </w:rPr>
        <w:t xml:space="preserve">    本基金本报告期末未持有处于转股期的可转换债券。</w:t>
      </w:r>
    </w:p>
    <w:p/>
    <w:p>
      <w:r>
        <w:rPr>
          <w:rStyle w:val="正文"/>
          <w:rFonts w:ascii="宋体" w:hAnsi="宋体" w:cs="宋体" w:eastAsia="宋体"/>
          <w:b w:val="true"/>
        </w:rPr>
        <w:t>5.11.5 报告期末前十名股票中存在流通受限情况的说明</w:t>
      </w:r>
    </w:p>
    <w:p>
      <w:r>
        <w:rPr>
          <w:rFonts w:ascii="宋体" w:hAnsi="宋体" w:cs="宋体" w:eastAsia="宋体"/>
          <w:b w:val="false"/>
        </w:rPr>
        <w:t xml:space="preserve">    本基金本报告期末前十名股票中不存在流通受限情况。</w:t>
      </w:r>
    </w:p>
    <w:p/>
    <w:p>
      <w:r>
        <w:rPr>
          <w:rStyle w:val="正文"/>
          <w:rFonts w:ascii="宋体" w:hAnsi="宋体" w:cs="宋体" w:eastAsia="宋体"/>
          <w:b w:val="true"/>
        </w:rPr>
        <w:t>5.11.6 投资组合报告附注的其他文字描述部分</w:t>
      </w:r>
    </w:p>
    <w:p>
      <w:r>
        <w:rPr>
          <w:rFonts w:ascii="宋体" w:hAnsi="宋体" w:cs="宋体" w:eastAsia="宋体"/>
          <w:b w:val="false"/>
        </w:rPr>
        <w:t xml:space="preserve">    由于四舍五入原因，分项之和与合计项之间可能存在尾差。</w:t>
      </w:r>
    </w:p>
    <w:p>
      <w:pPr>
        <w:pStyle w:val="1"/>
        <w:jc w:val="center"/>
      </w:pPr>
      <w:r>
        <w:rPr>
          <w:rFonts w:ascii="宋体" w:hAnsi="宋体" w:cs="宋体" w:eastAsia="宋体"/>
        </w:rPr>
        <w:t>§6 开放式基金份额变动</w:t>
      </w:r>
    </w:p>
    <w:p>
      <w:pPr>
        <w:jc w:val="right"/>
      </w:pPr>
      <w:r>
        <w:rPr>
          <w:rFonts w:ascii="宋体" w:hAnsi="宋体" w:cs="宋体" w:eastAsia="宋体"/>
          <w:b w:val="false"/>
        </w:rPr>
        <w:t>单位：份</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2308"/>
            <w:vAlign w:val="center"/>
          </w:tcPr>
          <w:p>
            <w:pPr>
              <w:spacing w:line="240" w:lineRule="auto"/>
              <w:jc w:val="center"/>
            </w:pPr>
          </w:p>
        </w:tc>
        <w:tc>
          <w:tcPr>
            <w:tcW w:type="pct" w:w="1300"/>
            <w:vAlign w:val="center"/>
          </w:tcPr>
          <w:p>
            <w:pPr>
              <w:spacing w:line="240" w:lineRule="auto"/>
              <w:jc w:val="center"/>
            </w:pPr>
            <w:r>
              <w:rPr>
                <w:rFonts w:ascii="宋体" w:hAnsi="宋体" w:cs="宋体" w:eastAsia="宋体"/>
                <w:b w:val="false"/>
              </w:rPr>
              <w:t>东方阿尔法优势产业混合A</w:t>
            </w:r>
          </w:p>
        </w:tc>
        <w:tc>
          <w:tcPr>
            <w:tcW w:type="pct" w:w="1300"/>
            <w:vAlign w:val="center"/>
          </w:tcPr>
          <w:p>
            <w:pPr>
              <w:spacing w:line="240" w:lineRule="auto"/>
              <w:jc w:val="center"/>
            </w:pPr>
            <w:r>
              <w:rPr>
                <w:rFonts w:ascii="宋体" w:hAnsi="宋体" w:cs="宋体" w:eastAsia="宋体"/>
                <w:b w:val="false"/>
              </w:rPr>
              <w:t>东方阿尔法优势产业混合C</w:t>
            </w:r>
          </w:p>
        </w:tc>
      </w:tr>
      <w:tr>
        <w:tc>
          <w:tcPr>
            <w:tcW/>
            <w:vAlign w:val="center"/>
          </w:tcPr>
          <w:p>
            <w:pPr>
              <w:spacing w:line="240" w:lineRule="auto"/>
              <w:jc w:val="left"/>
            </w:pPr>
            <w:r>
              <w:rPr>
                <w:rFonts w:ascii="宋体" w:hAnsi="宋体" w:cs="宋体" w:eastAsia="宋体"/>
                <w:b w:val="false"/>
              </w:rPr>
              <w:t>报告期期初基金份额总额</w:t>
            </w:r>
          </w:p>
        </w:tc>
        <w:tc>
          <w:tcPr>
            <w:tcW w:type="pct" w:w="1300"/>
            <w:vAlign w:val="center"/>
          </w:tcPr>
          <w:p>
            <w:pPr>
              <w:spacing w:line="240" w:lineRule="auto"/>
              <w:jc w:val="right"/>
            </w:pPr>
            <w:r>
              <w:rPr>
                <w:rFonts w:ascii="宋体" w:hAnsi="宋体" w:cs="宋体" w:eastAsia="宋体"/>
                <w:b w:val="false"/>
              </w:rPr>
              <w:t>1,169,248,998.62</w:t>
            </w:r>
          </w:p>
        </w:tc>
        <w:tc>
          <w:tcPr>
            <w:tcW w:type="pct" w:w="1300"/>
            <w:vAlign w:val="center"/>
          </w:tcPr>
          <w:p>
            <w:pPr>
              <w:spacing w:line="240" w:lineRule="auto"/>
              <w:jc w:val="right"/>
            </w:pPr>
            <w:r>
              <w:rPr>
                <w:rFonts w:ascii="宋体" w:hAnsi="宋体" w:cs="宋体" w:eastAsia="宋体"/>
                <w:b w:val="false"/>
              </w:rPr>
              <w:t>1,043,445,919.27</w:t>
            </w:r>
          </w:p>
        </w:tc>
      </w:tr>
      <w:tr>
        <w:tc>
          <w:tcPr>
            <w:tcW/>
            <w:vAlign w:val="center"/>
          </w:tcPr>
          <w:p>
            <w:pPr>
              <w:spacing w:line="240" w:lineRule="auto"/>
              <w:jc w:val="left"/>
            </w:pPr>
            <w:r>
              <w:rPr>
                <w:rFonts w:ascii="宋体" w:hAnsi="宋体" w:cs="宋体" w:eastAsia="宋体"/>
                <w:b w:val="false"/>
              </w:rPr>
              <w:t>报告期期间基金总申购份额</w:t>
            </w:r>
          </w:p>
        </w:tc>
        <w:tc>
          <w:tcPr>
            <w:tcW w:type="pct" w:w="1300"/>
            <w:vAlign w:val="center"/>
          </w:tcPr>
          <w:p>
            <w:pPr>
              <w:spacing w:line="240" w:lineRule="auto"/>
              <w:jc w:val="right"/>
            </w:pPr>
            <w:r>
              <w:rPr>
                <w:rFonts w:ascii="宋体" w:hAnsi="宋体" w:cs="宋体" w:eastAsia="宋体"/>
                <w:b w:val="false"/>
              </w:rPr>
              <w:t>213,555,129.61</w:t>
            </w:r>
          </w:p>
        </w:tc>
        <w:tc>
          <w:tcPr>
            <w:tcW w:type="pct" w:w="1300"/>
            <w:vAlign w:val="center"/>
          </w:tcPr>
          <w:p>
            <w:pPr>
              <w:spacing w:line="240" w:lineRule="auto"/>
              <w:jc w:val="right"/>
            </w:pPr>
            <w:r>
              <w:rPr>
                <w:rFonts w:ascii="宋体" w:hAnsi="宋体" w:cs="宋体" w:eastAsia="宋体"/>
                <w:b w:val="false"/>
              </w:rPr>
              <w:t>998,497,689.11</w:t>
            </w:r>
          </w:p>
        </w:tc>
      </w:tr>
      <w:tr>
        <w:tc>
          <w:tcPr>
            <w:tcW/>
            <w:vAlign w:val="center"/>
          </w:tcPr>
          <w:p>
            <w:pPr>
              <w:spacing w:line="240" w:lineRule="auto"/>
              <w:jc w:val="left"/>
            </w:pPr>
            <w:r>
              <w:rPr>
                <w:rFonts w:ascii="宋体" w:hAnsi="宋体" w:cs="宋体" w:eastAsia="宋体"/>
                <w:b w:val="false"/>
              </w:rPr>
              <w:t>减：报告期期间基金总赎回份额</w:t>
            </w:r>
          </w:p>
        </w:tc>
        <w:tc>
          <w:tcPr>
            <w:tcW w:type="pct" w:w="1300"/>
            <w:vAlign w:val="center"/>
          </w:tcPr>
          <w:p>
            <w:pPr>
              <w:spacing w:line="240" w:lineRule="auto"/>
              <w:jc w:val="right"/>
            </w:pPr>
            <w:r>
              <w:rPr>
                <w:rFonts w:ascii="宋体" w:hAnsi="宋体" w:cs="宋体" w:eastAsia="宋体"/>
                <w:b w:val="false"/>
              </w:rPr>
              <w:t>459,465,711.81</w:t>
            </w:r>
          </w:p>
        </w:tc>
        <w:tc>
          <w:tcPr>
            <w:tcW w:type="pct" w:w="1300"/>
            <w:vAlign w:val="center"/>
          </w:tcPr>
          <w:p>
            <w:pPr>
              <w:spacing w:line="240" w:lineRule="auto"/>
              <w:jc w:val="right"/>
            </w:pPr>
            <w:r>
              <w:rPr>
                <w:rFonts w:ascii="宋体" w:hAnsi="宋体" w:cs="宋体" w:eastAsia="宋体"/>
                <w:b w:val="false"/>
              </w:rPr>
              <w:t>1,034,196,632.84</w:t>
            </w:r>
          </w:p>
        </w:tc>
      </w:tr>
      <w:tr>
        <w:tc>
          <w:tcPr>
            <w:tcW/>
            <w:vAlign w:val="center"/>
          </w:tcPr>
          <w:p>
            <w:pPr>
              <w:spacing w:line="240" w:lineRule="auto"/>
              <w:jc w:val="left"/>
            </w:pPr>
            <w:r>
              <w:rPr>
                <w:rFonts w:ascii="宋体" w:hAnsi="宋体" w:cs="宋体" w:eastAsia="宋体"/>
                <w:b w:val="false"/>
              </w:rPr>
              <w:t>报告期期间基金拆分变动份额（份额减少以“-”填列）</w:t>
            </w:r>
          </w:p>
        </w:tc>
        <w:tc>
          <w:tcPr>
            <w:tcW w:type="pct" w:w="1300"/>
            <w:vAlign w:val="center"/>
          </w:tcPr>
          <w:p>
            <w:pPr>
              <w:spacing w:line="240" w:lineRule="auto"/>
              <w:jc w:val="right"/>
            </w:pPr>
            <w:r>
              <w:rPr>
                <w:rFonts w:ascii="宋体" w:hAnsi="宋体" w:cs="宋体" w:eastAsia="宋体"/>
                <w:b w:val="false"/>
              </w:rPr>
              <w:t>-</w:t>
            </w:r>
          </w:p>
        </w:tc>
        <w:tc>
          <w:tcPr>
            <w:tcW w:type="pct" w:w="1300"/>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left"/>
            </w:pPr>
            <w:r>
              <w:rPr>
                <w:rFonts w:ascii="宋体" w:hAnsi="宋体" w:cs="宋体" w:eastAsia="宋体"/>
                <w:b w:val="false"/>
              </w:rPr>
              <w:t>报告期期末基金份额总额</w:t>
            </w:r>
          </w:p>
        </w:tc>
        <w:tc>
          <w:tcPr>
            <w:tcW w:type="pct" w:w="1300"/>
            <w:vAlign w:val="center"/>
          </w:tcPr>
          <w:p>
            <w:pPr>
              <w:spacing w:line="240" w:lineRule="auto"/>
              <w:jc w:val="right"/>
            </w:pPr>
            <w:r>
              <w:rPr>
                <w:rFonts w:ascii="宋体" w:hAnsi="宋体" w:cs="宋体" w:eastAsia="宋体"/>
                <w:b w:val="false"/>
              </w:rPr>
              <w:t>923,338,416.42</w:t>
            </w:r>
          </w:p>
        </w:tc>
        <w:tc>
          <w:tcPr>
            <w:tcW w:type="pct" w:w="1300"/>
            <w:vAlign w:val="center"/>
          </w:tcPr>
          <w:p>
            <w:pPr>
              <w:spacing w:line="240" w:lineRule="auto"/>
              <w:jc w:val="right"/>
            </w:pPr>
            <w:r>
              <w:rPr>
                <w:rFonts w:ascii="宋体" w:hAnsi="宋体" w:cs="宋体" w:eastAsia="宋体"/>
                <w:b w:val="false"/>
              </w:rPr>
              <w:t>1,007,746,975.54</w:t>
            </w:r>
          </w:p>
        </w:tc>
      </w:tr>
    </w:tbl>
    <w:p>
      <w:pPr>
        <w:pStyle w:val="1"/>
        <w:jc w:val="center"/>
      </w:pPr>
      <w:r>
        <w:rPr>
          <w:rFonts w:ascii="宋体" w:hAnsi="宋体" w:cs="宋体" w:eastAsia="宋体"/>
        </w:rPr>
        <w:t>§7 基金管理人运用固有资金投资本基金情况</w:t>
      </w:r>
    </w:p>
    <w:p>
      <w:pPr>
        <w:pStyle w:val="2"/>
        <w:jc w:val="left"/>
      </w:pPr>
      <w:r>
        <w:rPr>
          <w:rFonts w:ascii="宋体" w:hAnsi="宋体" w:cs="宋体" w:eastAsia="宋体"/>
        </w:rPr>
        <w:t>7.1 基金管理人持有本基金份额变动情况</w:t>
      </w:r>
    </w:p>
    <w:p>
      <w:r>
        <w:rPr>
          <w:rFonts w:ascii="宋体" w:hAnsi="宋体" w:cs="宋体" w:eastAsia="宋体"/>
          <w:b w:val="false"/>
        </w:rPr>
        <w:t xml:space="preserve">    截至本报告期末，本基金管理人未持有本基金份额。</w:t>
      </w:r>
    </w:p>
    <w:p/>
    <w:p>
      <w:pPr>
        <w:pStyle w:val="2"/>
        <w:jc w:val="left"/>
      </w:pPr>
      <w:r>
        <w:rPr>
          <w:rFonts w:ascii="宋体" w:hAnsi="宋体" w:cs="宋体" w:eastAsia="宋体"/>
        </w:rPr>
        <w:t>7.2 基金管理人运用固有资金投资本基金交易明细</w:t>
      </w:r>
    </w:p>
    <w:p>
      <w:r>
        <w:rPr>
          <w:rFonts w:ascii="宋体" w:hAnsi="宋体" w:cs="宋体" w:eastAsia="宋体"/>
          <w:b w:val="false"/>
        </w:rPr>
        <w:t xml:space="preserve">    本报告期内，本基金管理人未运用固有资金投资本基金。</w:t>
      </w:r>
    </w:p>
    <w:p>
      <w:pPr>
        <w:pStyle w:val="1"/>
        <w:jc w:val="center"/>
      </w:pPr>
      <w:r>
        <w:rPr>
          <w:rFonts w:ascii="宋体" w:hAnsi="宋体" w:cs="宋体" w:eastAsia="宋体"/>
        </w:rPr>
        <w:t>§8 报告期末发起式基金发起资金持有份额情况</w:t>
      </w:r>
    </w:p>
    <w:p>
      <w:r>
        <w:rPr>
          <w:rFonts w:ascii="宋体" w:hAnsi="宋体" w:cs="宋体" w:eastAsia="宋体"/>
          <w:b w:val="false"/>
        </w:rPr>
        <w:t xml:space="preserve">    本基金基金合同于2020年06月28日生效。根据本基金基金合同的约定，发起资金认购本基金金额不少于1000万元，且发起资金认购的基金份额持有期限自基金合同生效日起不少于3年。自基金合同生效日起至本报告期末，发起资金认购的本基金基金份额持有期限已满3年。</w:t>
      </w:r>
    </w:p>
    <w:p>
      <w:pPr>
        <w:pStyle w:val="1"/>
        <w:jc w:val="center"/>
      </w:pPr>
      <w:r>
        <w:rPr>
          <w:rFonts w:ascii="宋体" w:hAnsi="宋体" w:cs="宋体" w:eastAsia="宋体"/>
        </w:rPr>
        <w:t>§9 影响投资者决策的其他重要信息</w:t>
      </w:r>
    </w:p>
    <w:p>
      <w:pPr>
        <w:pStyle w:val="2"/>
        <w:jc w:val="left"/>
      </w:pPr>
      <w:r>
        <w:rPr>
          <w:rFonts w:ascii="宋体" w:hAnsi="宋体" w:cs="宋体" w:eastAsia="宋体"/>
        </w:rPr>
        <w:t>9.1 报告期内单一投资者持有基金份额比例达到或超过20%的情况</w:t>
      </w:r>
    </w:p>
    <w:p>
      <w:r>
        <w:rPr>
          <w:rFonts w:ascii="宋体" w:hAnsi="宋体" w:cs="宋体" w:eastAsia="宋体"/>
          <w:b w:val="false"/>
        </w:rPr>
        <w:t xml:space="preserve">    本报告期内，本基金不存在单一投资者持有基金份额比例达到或超过20%的情况。</w:t>
      </w:r>
    </w:p>
    <w:p/>
    <w:p>
      <w:pPr>
        <w:pStyle w:val="2"/>
        <w:jc w:val="left"/>
      </w:pPr>
      <w:r>
        <w:rPr>
          <w:rFonts w:ascii="宋体" w:hAnsi="宋体" w:cs="宋体" w:eastAsia="宋体"/>
        </w:rPr>
        <w:t>9.2 影响投资者决策的其他重要信息</w:t>
      </w:r>
    </w:p>
    <w:p>
      <w:r>
        <w:rPr>
          <w:rFonts w:ascii="宋体" w:hAnsi="宋体" w:cs="宋体" w:eastAsia="宋体"/>
          <w:b w:val="false"/>
        </w:rPr>
        <w:t xml:space="preserve">    无。</w:t>
      </w:r>
    </w:p>
    <w:p>
      <w:pPr>
        <w:pStyle w:val="1"/>
        <w:jc w:val="center"/>
      </w:pPr>
      <w:r>
        <w:rPr>
          <w:rFonts w:ascii="宋体" w:hAnsi="宋体" w:cs="宋体" w:eastAsia="宋体"/>
        </w:rPr>
        <w:t>§10 备查文件目录</w:t>
      </w:r>
    </w:p>
    <w:p>
      <w:pPr>
        <w:pStyle w:val="2"/>
        <w:jc w:val="left"/>
      </w:pPr>
      <w:r>
        <w:rPr>
          <w:rFonts w:ascii="宋体" w:hAnsi="宋体" w:cs="宋体" w:eastAsia="宋体"/>
        </w:rPr>
        <w:t>10.1 备查文件目录</w:t>
      </w:r>
    </w:p>
    <w:p>
      <w:r>
        <w:rPr>
          <w:rFonts w:ascii="宋体" w:hAnsi="宋体" w:cs="宋体" w:eastAsia="宋体"/>
          <w:b w:val="false"/>
        </w:rPr>
        <w:t xml:space="preserve">    1、中国证券监督管理委员会批准的东方阿尔法优势产业混合型发起式证券投资基金设立的文件；</w:t>
        <w:cr/>
      </w:r>
      <w:r>
        <w:rPr>
          <w:rFonts w:ascii="宋体" w:hAnsi="宋体" w:cs="宋体" w:eastAsia="宋体"/>
          <w:b w:val="false"/>
        </w:rPr>
        <w:t xml:space="preserve">    2、《东方阿尔法优势产业混合型发起式证券投资基金基金合同》；</w:t>
        <w:cr/>
      </w:r>
      <w:r>
        <w:rPr>
          <w:rFonts w:ascii="宋体" w:hAnsi="宋体" w:cs="宋体" w:eastAsia="宋体"/>
          <w:b w:val="false"/>
        </w:rPr>
        <w:t xml:space="preserve">    3、《东方阿尔法优势产业混合型发起式证券投资基金托管协议》；</w:t>
        <w:cr/>
      </w:r>
      <w:r>
        <w:rPr>
          <w:rFonts w:ascii="宋体" w:hAnsi="宋体" w:cs="宋体" w:eastAsia="宋体"/>
          <w:b w:val="false"/>
        </w:rPr>
        <w:t xml:space="preserve">    4、《东方阿尔法优势产业混合型发起式证券投资基金招募说明书》（含更新）；</w:t>
        <w:cr/>
      </w:r>
      <w:r>
        <w:rPr>
          <w:rFonts w:ascii="宋体" w:hAnsi="宋体" w:cs="宋体" w:eastAsia="宋体"/>
          <w:b w:val="false"/>
        </w:rPr>
        <w:t xml:space="preserve">    5、基金管理人业务资格批件和营业执照。</w:t>
      </w:r>
    </w:p>
    <w:p/>
    <w:p>
      <w:pPr>
        <w:pStyle w:val="2"/>
        <w:jc w:val="left"/>
      </w:pPr>
      <w:r>
        <w:rPr>
          <w:rFonts w:ascii="宋体" w:hAnsi="宋体" w:cs="宋体" w:eastAsia="宋体"/>
        </w:rPr>
        <w:t>10.2 存放地点</w:t>
      </w:r>
    </w:p>
    <w:p>
      <w:r>
        <w:rPr>
          <w:rFonts w:ascii="宋体" w:hAnsi="宋体" w:cs="宋体" w:eastAsia="宋体"/>
          <w:b w:val="false"/>
        </w:rPr>
        <w:t xml:space="preserve">    基金管理人和基金托管人的住所。</w:t>
      </w:r>
    </w:p>
    <w:p/>
    <w:p>
      <w:pPr>
        <w:pStyle w:val="2"/>
        <w:jc w:val="left"/>
      </w:pPr>
      <w:r>
        <w:rPr>
          <w:rFonts w:ascii="宋体" w:hAnsi="宋体" w:cs="宋体" w:eastAsia="宋体"/>
        </w:rPr>
        <w:t>10.3 查阅方式</w:t>
      </w:r>
    </w:p>
    <w:p>
      <w:r>
        <w:rPr>
          <w:rFonts w:ascii="宋体" w:hAnsi="宋体" w:cs="宋体" w:eastAsia="宋体"/>
          <w:b w:val="false"/>
        </w:rPr>
        <w:t xml:space="preserve">    1、投资者可在营业时间免费查阅，也可按工本费购买复印件。</w:t>
        <w:cr/>
      </w:r>
      <w:r>
        <w:rPr>
          <w:rFonts w:ascii="宋体" w:hAnsi="宋体" w:cs="宋体" w:eastAsia="宋体"/>
          <w:b w:val="false"/>
        </w:rPr>
        <w:t xml:space="preserve">    2、投资者对本报告书如有疑问，可咨询本基金管理人东方阿尔法基金管理有限公司，客户服务电话：400-930-6677（免长途话费）。</w:t>
        <w:cr/>
      </w:r>
      <w:r>
        <w:rPr>
          <w:rFonts w:ascii="宋体" w:hAnsi="宋体" w:cs="宋体" w:eastAsia="宋体"/>
          <w:b w:val="false"/>
        </w:rPr>
        <w:t xml:space="preserve">    3、投资者可通过中国证监会基金电子披露网站（http://eid.csrc.gov.cn/fund/）和基金管理人网站（https://www.dfa66.com）查阅本报告书。</w:t>
      </w:r>
    </w:p>
    <w:p/>
    <w:p/>
    <w:p/>
    <w:p>
      <w:pPr>
        <w:jc w:val="right"/>
      </w:pPr>
      <w:r>
        <w:rPr>
          <w:rFonts w:ascii="宋体" w:hAnsi="宋体" w:cs="宋体" w:eastAsia="宋体"/>
          <w:b w:val="true"/>
        </w:rPr>
        <w:t>东方阿尔法基金管理有限公司</w:t>
      </w:r>
    </w:p>
    <w:p>
      <w:pPr>
        <w:jc w:val="right"/>
      </w:pPr>
      <w:r>
        <w:rPr>
          <w:rFonts w:ascii="宋体" w:hAnsi="宋体" w:cs="宋体" w:eastAsia="宋体"/>
          <w:b w:val="true"/>
        </w:rPr>
        <w:t>二〇二五年十月二十五日</w:t>
      </w:r>
    </w:p>
    <w:sectPr w:rsidR="00396EB6" w:rsidSect="000B0ABB">
      <w:headerReference w:type="even" r:id="rId8"/>
      <w:headerReference w:type="default" r:id="rId9"/>
      <w:footerReference w:type="even" r:id="rId10"/>
      <w:footerReference w:type="default" r:id="rId11"/>
      <w:headerReference w:type="first" r:id="rId12"/>
      <w:footerReference w:type="first" r:id="rId13"/>
      <w:pgSz w:w="11906" w:h="16838"/>
      <w:pgMar w:top="1440" w:right="1418" w:bottom="1440" w:left="1418"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1C5DF" w14:textId="77777777" w:rsidR="00CF2DE6" w:rsidRDefault="00CF2DE6">
      <w:r>
        <w:separator/>
      </w:r>
    </w:p>
  </w:endnote>
  <w:endnote w:type="continuationSeparator" w:id="0">
    <w:p w14:paraId="7F07E51B" w14:textId="77777777" w:rsidR="00CF2DE6" w:rsidRDefault="00CF2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36F2E" w14:textId="77777777" w:rsidR="00210325" w:rsidRDefault="00210325">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10235" w14:textId="1E8BACBC" w:rsidR="00396EB6" w:rsidRPr="00BB3931" w:rsidRDefault="00315609">
    <w:pPr>
      <w:pBdr>
        <w:top w:val="single" w:sz="2" w:space="0" w:color="auto"/>
      </w:pBdr>
      <w:tabs>
        <w:tab w:val="right" w:pos="8640"/>
      </w:tabs>
      <w:jc w:val="center"/>
      <w:textAlignment w:val="center"/>
      <w:rPr>
        <w:rFonts w:ascii="宋体" w:eastAsia="宋体" w:hAnsi="宋体"/>
        <w:sz w:val="20"/>
        <w:szCs w:val="20"/>
      </w:rPr>
    </w:pPr>
    <w:r w:rsidRPr="00BB3931">
      <w:rPr>
        <w:rFonts w:ascii="宋体" w:eastAsia="宋体" w:hAnsi="宋体" w:cs="宋体" w:hint="eastAsia"/>
        <w:sz w:val="20"/>
        <w:szCs w:val="20"/>
        <w:lang w:bidi="ar"/>
      </w:rPr>
      <w:t>第</w:t>
    </w:r>
    <w:r w:rsidRPr="00BB3931">
      <w:rPr>
        <w:rFonts w:ascii="宋体" w:eastAsia="宋体" w:hAnsi="宋体" w:cs="Times New Roman" w:hint="eastAsia"/>
        <w:sz w:val="20"/>
        <w:szCs w:val="20"/>
        <w:lang w:bidi="ar"/>
      </w:rPr>
      <w:fldChar w:fldCharType="begin"/>
    </w:r>
    <w:r w:rsidRPr="00BB3931">
      <w:rPr>
        <w:rFonts w:ascii="宋体" w:eastAsia="宋体" w:hAnsi="宋体" w:cs="宋体" w:hint="eastAsia"/>
        <w:sz w:val="20"/>
        <w:szCs w:val="20"/>
        <w:lang w:bidi="ar"/>
      </w:rPr>
      <w:instrText>PAGE  \* MERGEFORMAT</w:instrText>
    </w:r>
    <w:r w:rsidRPr="00BB3931">
      <w:rPr>
        <w:rFonts w:ascii="宋体" w:eastAsia="宋体" w:hAnsi="宋体" w:cs="Times New Roman" w:hint="eastAsia"/>
        <w:sz w:val="20"/>
        <w:szCs w:val="20"/>
        <w:lang w:bidi="ar"/>
      </w:rPr>
      <w:fldChar w:fldCharType="separate"/>
    </w:r>
    <w:r w:rsidR="00421707" w:rsidRPr="00BB3931">
      <w:rPr>
        <w:rFonts w:ascii="宋体" w:eastAsia="宋体" w:hAnsi="宋体" w:cs="宋体"/>
        <w:noProof/>
        <w:sz w:val="20"/>
        <w:szCs w:val="20"/>
        <w:lang w:bidi="ar"/>
      </w:rPr>
      <w:t>2</w:t>
    </w:r>
    <w:r w:rsidRPr="00BB3931">
      <w:rPr>
        <w:rFonts w:ascii="宋体" w:eastAsia="宋体" w:hAnsi="宋体" w:cs="宋体" w:hint="eastAsia"/>
        <w:sz w:val="20"/>
        <w:szCs w:val="20"/>
        <w:lang w:bidi="ar"/>
      </w:rPr>
      <w:fldChar w:fldCharType="end"/>
    </w:r>
    <w:r w:rsidRPr="00BB3931">
      <w:rPr>
        <w:rFonts w:ascii="宋体" w:eastAsia="宋体" w:hAnsi="宋体" w:cs="宋体" w:hint="eastAsia"/>
        <w:sz w:val="20"/>
        <w:szCs w:val="20"/>
        <w:lang w:bidi="ar"/>
      </w:rPr>
      <w:t>页</w:t>
    </w:r>
    <w:r w:rsidR="00FA6399" w:rsidRPr="00BB3931">
      <w:rPr>
        <w:rFonts w:ascii="宋体" w:eastAsia="宋体" w:hAnsi="宋体" w:cs="宋体" w:hint="eastAsia"/>
        <w:sz w:val="20"/>
        <w:szCs w:val="20"/>
        <w:lang w:bidi="ar"/>
      </w:rPr>
      <w:t>，</w:t>
    </w:r>
    <w:r w:rsidRPr="00BB3931">
      <w:rPr>
        <w:rFonts w:ascii="宋体" w:eastAsia="宋体" w:hAnsi="宋体" w:cs="宋体" w:hint="eastAsia"/>
        <w:sz w:val="20"/>
        <w:szCs w:val="20"/>
        <w:lang w:bidi="ar"/>
      </w:rPr>
      <w:t>共</w:t>
    </w:r>
    <w:r w:rsidRPr="00BB3931">
      <w:rPr>
        <w:rFonts w:ascii="宋体" w:eastAsia="宋体" w:hAnsi="宋体" w:cs="Times New Roman" w:hint="eastAsia"/>
        <w:sz w:val="20"/>
        <w:szCs w:val="20"/>
        <w:lang w:bidi="ar"/>
      </w:rPr>
      <w:fldChar w:fldCharType="begin"/>
    </w:r>
    <w:r w:rsidR="00210325" w:rsidRPr="00BB3931">
      <w:rPr>
        <w:rFonts w:ascii="宋体" w:eastAsia="宋体" w:hAnsi="宋体" w:cs="Times New Roman"/>
        <w:sz w:val="20"/>
        <w:szCs w:val="20"/>
        <w:lang w:bidi="ar"/>
      </w:rPr>
      <w:instrText>=</w:instrText>
    </w:r>
    <w:r w:rsidR="00210325" w:rsidRPr="00BB3931">
      <w:rPr>
        <w:rFonts w:ascii="宋体" w:eastAsia="宋体" w:hAnsi="宋体" w:cs="宋体"/>
        <w:sz w:val="20"/>
        <w:szCs w:val="20"/>
        <w:lang w:bidi="ar"/>
      </w:rPr>
      <w:fldChar w:fldCharType="begin"/>
    </w:r>
    <w:r w:rsidR="00210325" w:rsidRPr="00BB3931">
      <w:rPr>
        <w:rFonts w:ascii="宋体" w:eastAsia="宋体" w:hAnsi="宋体" w:cs="宋体"/>
        <w:sz w:val="20"/>
        <w:szCs w:val="20"/>
        <w:lang w:bidi="ar"/>
      </w:rPr>
      <w:instrText xml:space="preserve"> </w:instrText>
    </w:r>
    <w:r w:rsidRPr="00BB3931">
      <w:rPr>
        <w:rFonts w:ascii="宋体" w:eastAsia="宋体" w:hAnsi="宋体" w:cs="宋体" w:hint="eastAsia"/>
        <w:sz w:val="20"/>
        <w:szCs w:val="20"/>
        <w:lang w:bidi="ar"/>
      </w:rPr>
      <w:instrText>NUMPAGES</w:instrText>
    </w:r>
    <w:r w:rsidR="00210325" w:rsidRPr="00BB3931">
      <w:rPr>
        <w:rFonts w:ascii="宋体" w:eastAsia="宋体" w:hAnsi="宋体" w:cs="宋体"/>
        <w:sz w:val="20"/>
        <w:szCs w:val="20"/>
        <w:lang w:bidi="ar"/>
      </w:rPr>
      <w:instrText xml:space="preserve"> </w:instrText>
    </w:r>
    <w:r w:rsidR="00210325" w:rsidRPr="00BB3931">
      <w:rPr>
        <w:rFonts w:ascii="宋体" w:eastAsia="宋体" w:hAnsi="宋体" w:cs="宋体"/>
        <w:sz w:val="20"/>
        <w:szCs w:val="20"/>
        <w:lang w:bidi="ar"/>
      </w:rPr>
      <w:fldChar w:fldCharType="separate"/>
    </w:r>
    <w:r w:rsidR="00F07C93">
      <w:rPr>
        <w:rFonts w:ascii="宋体" w:eastAsia="宋体" w:hAnsi="宋体" w:cs="宋体"/>
        <w:noProof/>
        <w:sz w:val="20"/>
        <w:szCs w:val="20"/>
        <w:lang w:bidi="ar"/>
      </w:rPr>
      <w:instrText>2</w:instrText>
    </w:r>
    <w:r w:rsidR="00210325" w:rsidRPr="00BB3931">
      <w:rPr>
        <w:rFonts w:ascii="宋体" w:eastAsia="宋体" w:hAnsi="宋体" w:cs="宋体"/>
        <w:sz w:val="20"/>
        <w:szCs w:val="20"/>
        <w:lang w:bidi="ar"/>
      </w:rPr>
      <w:fldChar w:fldCharType="end"/>
    </w:r>
    <w:r w:rsidR="00210325" w:rsidRPr="00BB3931">
      <w:rPr>
        <w:rFonts w:ascii="宋体" w:eastAsia="宋体" w:hAnsi="宋体" w:cs="宋体"/>
        <w:sz w:val="20"/>
        <w:szCs w:val="20"/>
        <w:lang w:bidi="ar"/>
      </w:rPr>
      <w:instrText>-1</w:instrText>
    </w:r>
    <w:r w:rsidRPr="00BB3931">
      <w:rPr>
        <w:rFonts w:ascii="宋体" w:eastAsia="宋体" w:hAnsi="宋体" w:cs="Times New Roman" w:hint="eastAsia"/>
        <w:sz w:val="20"/>
        <w:szCs w:val="20"/>
        <w:lang w:bidi="ar"/>
      </w:rPr>
      <w:fldChar w:fldCharType="separate"/>
    </w:r>
    <w:r w:rsidR="00F07C93">
      <w:rPr>
        <w:rFonts w:ascii="宋体" w:eastAsia="宋体" w:hAnsi="宋体" w:cs="Times New Roman"/>
        <w:noProof/>
        <w:sz w:val="20"/>
        <w:szCs w:val="20"/>
        <w:lang w:bidi="ar"/>
      </w:rPr>
      <w:t>1</w:t>
    </w:r>
    <w:r w:rsidRPr="00BB3931">
      <w:rPr>
        <w:rFonts w:ascii="宋体" w:eastAsia="宋体" w:hAnsi="宋体" w:cs="宋体" w:hint="eastAsia"/>
        <w:sz w:val="20"/>
        <w:szCs w:val="20"/>
        <w:lang w:bidi="ar"/>
      </w:rPr>
      <w:fldChar w:fldCharType="end"/>
    </w:r>
    <w:r w:rsidRPr="00BB3931">
      <w:rPr>
        <w:rFonts w:ascii="宋体" w:eastAsia="宋体" w:hAnsi="宋体" w:cs="宋体" w:hint="eastAsia"/>
        <w:sz w:val="20"/>
        <w:szCs w:val="20"/>
        <w:lang w:bidi="ar"/>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04EC9" w14:textId="77777777" w:rsidR="00210325" w:rsidRDefault="00210325">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A83EB" w14:textId="77777777" w:rsidR="00CF2DE6" w:rsidRDefault="00CF2DE6">
      <w:r>
        <w:separator/>
      </w:r>
    </w:p>
  </w:footnote>
  <w:footnote w:type="continuationSeparator" w:id="0">
    <w:p w14:paraId="6110B940" w14:textId="77777777" w:rsidR="00CF2DE6" w:rsidRDefault="00CF2D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BB55B" w14:textId="77777777" w:rsidR="00210325" w:rsidRDefault="00210325">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98A64" w14:textId="77777777" w:rsidR="00396EB6" w:rsidRPr="00A53CFE" w:rsidRDefault="00315609">
    <w:pPr>
      <w:pStyle w:val="af1"/>
      <w:pBdr>
        <w:bottom w:val="single" w:sz="4" w:space="1" w:color="auto"/>
      </w:pBdr>
      <w:jc w:val="right"/>
      <w:rPr>
        <w:rFonts w:ascii="宋体" w:eastAsia="宋体" w:hAnsi="宋体"/>
      </w:rPr>
    </w:pPr>
    <w:r w:rsidRPr="00A53CFE">
      <w:rPr>
        <w:rFonts w:ascii="宋体" w:eastAsia="宋体" w:hAnsi="宋体" w:hint="eastAsia"/>
        <w:sz w:val="18"/>
      </w:rPr>
      <w:t>东方阿尔法优势产业混合型发起式证券投资基金2025年第3季度报告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4E7EB" w14:textId="77777777" w:rsidR="00210325" w:rsidRDefault="00210325">
    <w:pPr>
      <w:pStyle w:val="af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4F1"/>
    <w:rsid w:val="00031D8B"/>
    <w:rsid w:val="00033BEA"/>
    <w:rsid w:val="00093312"/>
    <w:rsid w:val="000934BF"/>
    <w:rsid w:val="000B0ABB"/>
    <w:rsid w:val="000B14F1"/>
    <w:rsid w:val="000D44F1"/>
    <w:rsid w:val="000F65E0"/>
    <w:rsid w:val="001567AA"/>
    <w:rsid w:val="001663E4"/>
    <w:rsid w:val="001941F0"/>
    <w:rsid w:val="001A0694"/>
    <w:rsid w:val="001A6F82"/>
    <w:rsid w:val="001E49DE"/>
    <w:rsid w:val="001E604E"/>
    <w:rsid w:val="001E72DB"/>
    <w:rsid w:val="00210325"/>
    <w:rsid w:val="00217CEB"/>
    <w:rsid w:val="0026022A"/>
    <w:rsid w:val="00294812"/>
    <w:rsid w:val="002C6A0C"/>
    <w:rsid w:val="002D4665"/>
    <w:rsid w:val="00315609"/>
    <w:rsid w:val="00324653"/>
    <w:rsid w:val="0039693D"/>
    <w:rsid w:val="00396EB6"/>
    <w:rsid w:val="003B4810"/>
    <w:rsid w:val="00421707"/>
    <w:rsid w:val="004245F7"/>
    <w:rsid w:val="00435171"/>
    <w:rsid w:val="0048630B"/>
    <w:rsid w:val="004A5321"/>
    <w:rsid w:val="004F33D8"/>
    <w:rsid w:val="004F7772"/>
    <w:rsid w:val="005037A9"/>
    <w:rsid w:val="00514F66"/>
    <w:rsid w:val="00536F98"/>
    <w:rsid w:val="005370B1"/>
    <w:rsid w:val="0054091C"/>
    <w:rsid w:val="005826D5"/>
    <w:rsid w:val="005B565C"/>
    <w:rsid w:val="005D1F67"/>
    <w:rsid w:val="00657345"/>
    <w:rsid w:val="00686AE6"/>
    <w:rsid w:val="006935A0"/>
    <w:rsid w:val="00695511"/>
    <w:rsid w:val="006C560C"/>
    <w:rsid w:val="007A3B64"/>
    <w:rsid w:val="007B3AFF"/>
    <w:rsid w:val="007F3D78"/>
    <w:rsid w:val="00801225"/>
    <w:rsid w:val="00832DA1"/>
    <w:rsid w:val="008432E9"/>
    <w:rsid w:val="008F2779"/>
    <w:rsid w:val="00917A48"/>
    <w:rsid w:val="0092608A"/>
    <w:rsid w:val="00931CFE"/>
    <w:rsid w:val="009A04DF"/>
    <w:rsid w:val="009A27BD"/>
    <w:rsid w:val="009C2384"/>
    <w:rsid w:val="009C68F3"/>
    <w:rsid w:val="009F43BC"/>
    <w:rsid w:val="00A53CFE"/>
    <w:rsid w:val="00A76644"/>
    <w:rsid w:val="00AB695A"/>
    <w:rsid w:val="00B02205"/>
    <w:rsid w:val="00B659D3"/>
    <w:rsid w:val="00BA1D2B"/>
    <w:rsid w:val="00BB3931"/>
    <w:rsid w:val="00BB5499"/>
    <w:rsid w:val="00BD2190"/>
    <w:rsid w:val="00C05CA1"/>
    <w:rsid w:val="00C06BEF"/>
    <w:rsid w:val="00C1377F"/>
    <w:rsid w:val="00C370BD"/>
    <w:rsid w:val="00C86ED5"/>
    <w:rsid w:val="00CA50CC"/>
    <w:rsid w:val="00CF2DE6"/>
    <w:rsid w:val="00D155B6"/>
    <w:rsid w:val="00D91EBF"/>
    <w:rsid w:val="00DB110D"/>
    <w:rsid w:val="00DE3FE0"/>
    <w:rsid w:val="00E220FA"/>
    <w:rsid w:val="00E44EAD"/>
    <w:rsid w:val="00E6731E"/>
    <w:rsid w:val="00E67AEA"/>
    <w:rsid w:val="00E913D3"/>
    <w:rsid w:val="00EC2CEF"/>
    <w:rsid w:val="00EE18AB"/>
    <w:rsid w:val="00F07C93"/>
    <w:rsid w:val="00F1496B"/>
    <w:rsid w:val="00F32DCB"/>
    <w:rsid w:val="00FA0949"/>
    <w:rsid w:val="00FA22F7"/>
    <w:rsid w:val="00FA6399"/>
    <w:rsid w:val="00FE53D3"/>
    <w:rsid w:val="17FF4F08"/>
    <w:rsid w:val="312016A7"/>
    <w:rsid w:val="328572ED"/>
    <w:rsid w:val="3E9A1429"/>
    <w:rsid w:val="5EE34946"/>
    <w:rsid w:val="62671060"/>
    <w:rsid w:val="67517C74"/>
    <w:rsid w:val="791E22E2"/>
    <w:rsid w:val="7A382AC9"/>
    <w:rsid w:val="7F246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3FFCBC"/>
  <w15:docId w15:val="{D89B03D2-9D7D-433E-9AEE-2EA6D7CF9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2649"/>
    <w:pPr>
      <w:widowControl w:val="0"/>
      <w:spacing w:line="288" w:lineRule="auto"/>
      <w:jc w:val="both"/>
    </w:pPr>
    <w:rPr>
      <w:rFonts w:eastAsia="宋体"/>
    </w:rPr>
  </w:style>
  <w:style w:type="paragraph" w:styleId="1">
    <w:name w:val="heading 1"/>
    <w:aliases w:val="1"/>
    <w:basedOn w:val="a"/>
    <w:next w:val="a"/>
    <w:link w:val="10"/>
    <w:uiPriority w:val="9"/>
    <w:qFormat/>
    <w:rsid w:val="001B05B3"/>
    <w:pPr>
      <w:spacing w:before="340" w:after="330" w:line="576" w:lineRule="auto"/>
      <w:jc w:val="center"/>
      <w:outlineLvl w:val="0"/>
    </w:pPr>
    <w:rPr>
      <w:b/>
      <w:bCs/>
      <w:kern w:val="44"/>
      <w:sz w:val="24"/>
      <w:szCs w:val="44"/>
    </w:rPr>
  </w:style>
  <w:style w:type="paragraph" w:styleId="2">
    <w:name w:val="heading 2"/>
    <w:aliases w:val="2"/>
    <w:basedOn w:val="a"/>
    <w:next w:val="a"/>
    <w:link w:val="20"/>
    <w:uiPriority w:val="9"/>
    <w:unhideWhenUsed/>
    <w:qFormat/>
    <w:rsid w:val="00A5263B"/>
    <w:pPr>
      <w:adjustRightInd w:val="0"/>
      <w:spacing w:line="360" w:lineRule="auto"/>
      <w:jc w:val="left"/>
      <w:outlineLvl w:val="1"/>
    </w:pPr>
    <w:rPr>
      <w:rFonts w:asciiTheme="majorHAnsi" w:hAnsiTheme="majorHAnsi" w:cstheme="majorBidi"/>
      <w:b/>
      <w:bCs/>
      <w:sz w:val="24"/>
      <w:szCs w:val="32"/>
    </w:rPr>
  </w:style>
  <w:style w:type="paragraph" w:styleId="3">
    <w:name w:val="heading 3"/>
    <w:aliases w:val="3"/>
    <w:basedOn w:val="a"/>
    <w:next w:val="a"/>
    <w:link w:val="30"/>
    <w:uiPriority w:val="9"/>
    <w:unhideWhenUsed/>
    <w:qFormat/>
    <w:rsid w:val="00A5263B"/>
    <w:pPr>
      <w:keepNext/>
      <w:keepLines/>
      <w:spacing w:line="360" w:lineRule="auto"/>
      <w:outlineLvl w:val="2"/>
    </w:pPr>
    <w:rPr>
      <w:b/>
      <w:bCs/>
      <w:sz w:val="24"/>
      <w:szCs w:val="32"/>
    </w:rPr>
  </w:style>
  <w:style w:type="paragraph" w:styleId="4">
    <w:name w:val="heading 4"/>
    <w:basedOn w:val="a"/>
    <w:next w:val="a"/>
    <w:link w:val="40"/>
    <w:uiPriority w:val="9"/>
    <w:semiHidden/>
    <w:unhideWhenUsed/>
    <w:qFormat/>
    <w:rsid w:val="004A532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代码样式"/>
    <w:link w:val="Char"/>
    <w:qFormat/>
    <w:rsid w:val="004A5321"/>
    <w:pPr>
      <w:pBdr>
        <w:top w:val="single" w:sz="4" w:space="1" w:color="auto"/>
        <w:left w:val="single" w:sz="4" w:space="4" w:color="auto"/>
        <w:bottom w:val="single" w:sz="4" w:space="1" w:color="auto"/>
        <w:right w:val="single" w:sz="4" w:space="4" w:color="auto"/>
      </w:pBdr>
      <w:shd w:val="clear" w:color="auto" w:fill="A8D08D" w:themeFill="accent6" w:themeFillTint="99"/>
      <w:spacing w:beforeLines="50" w:afterLines="50"/>
      <w:ind w:leftChars="50" w:left="50" w:rightChars="50" w:right="50"/>
    </w:pPr>
  </w:style>
  <w:style w:type="character" w:customStyle="1" w:styleId="Char">
    <w:name w:val="代码样式 Char"/>
    <w:basedOn w:val="a0"/>
    <w:link w:val="a3"/>
    <w:qFormat/>
    <w:rsid w:val="004A5321"/>
    <w:rPr>
      <w:shd w:val="clear" w:color="auto" w:fill="A8D08D" w:themeFill="accent6" w:themeFillTint="99"/>
    </w:rPr>
  </w:style>
  <w:style w:type="character" w:customStyle="1" w:styleId="10">
    <w:name w:val="标题 1 字符"/>
    <w:aliases w:val="1 字符"/>
    <w:basedOn w:val="a0"/>
    <w:link w:val="1"/>
    <w:uiPriority w:val="9"/>
    <w:qFormat/>
    <w:rsid w:val="001B05B3"/>
    <w:rPr>
      <w:rFonts w:eastAsia="宋体"/>
      <w:b/>
      <w:bCs/>
      <w:kern w:val="44"/>
      <w:sz w:val="24"/>
      <w:szCs w:val="44"/>
    </w:rPr>
  </w:style>
  <w:style w:type="character" w:customStyle="1" w:styleId="20">
    <w:name w:val="标题 2 字符"/>
    <w:aliases w:val="2 字符"/>
    <w:basedOn w:val="a0"/>
    <w:link w:val="2"/>
    <w:uiPriority w:val="9"/>
    <w:rsid w:val="00A5263B"/>
    <w:rPr>
      <w:rFonts w:asciiTheme="majorHAnsi" w:eastAsia="宋体" w:hAnsiTheme="majorHAnsi" w:cstheme="majorBidi"/>
      <w:b/>
      <w:bCs/>
      <w:sz w:val="24"/>
      <w:szCs w:val="32"/>
    </w:rPr>
  </w:style>
  <w:style w:type="character" w:customStyle="1" w:styleId="30">
    <w:name w:val="标题 3 字符"/>
    <w:aliases w:val="3 字符"/>
    <w:basedOn w:val="a0"/>
    <w:link w:val="3"/>
    <w:uiPriority w:val="9"/>
    <w:rsid w:val="00A5263B"/>
    <w:rPr>
      <w:rFonts w:eastAsia="宋体"/>
      <w:b/>
      <w:bCs/>
      <w:sz w:val="24"/>
      <w:szCs w:val="32"/>
    </w:rPr>
  </w:style>
  <w:style w:type="character" w:customStyle="1" w:styleId="40">
    <w:name w:val="标题 4 字符"/>
    <w:basedOn w:val="a0"/>
    <w:link w:val="4"/>
    <w:uiPriority w:val="9"/>
    <w:semiHidden/>
    <w:rsid w:val="004A5321"/>
    <w:rPr>
      <w:rFonts w:asciiTheme="majorHAnsi" w:eastAsiaTheme="majorEastAsia" w:hAnsiTheme="majorHAnsi" w:cstheme="majorBidi"/>
      <w:b/>
      <w:bCs/>
      <w:sz w:val="28"/>
      <w:szCs w:val="28"/>
    </w:rPr>
  </w:style>
  <w:style w:type="paragraph" w:styleId="11">
    <w:name w:val="toc 1"/>
    <w:basedOn w:val="a"/>
    <w:next w:val="a"/>
    <w:autoRedefine/>
    <w:uiPriority w:val="39"/>
    <w:unhideWhenUsed/>
    <w:rsid w:val="00D309ED"/>
    <w:pPr>
      <w:tabs>
        <w:tab w:val="right" w:leader="dot" w:pos="9060"/>
      </w:tabs>
      <w:spacing w:line="240" w:lineRule="auto"/>
      <w:jc w:val="left"/>
    </w:pPr>
    <w:rPr>
      <w:b/>
      <w:bCs/>
      <w:caps/>
      <w:szCs w:val="20"/>
    </w:rPr>
  </w:style>
  <w:style w:type="paragraph" w:styleId="21">
    <w:name w:val="toc 2"/>
    <w:basedOn w:val="a"/>
    <w:next w:val="a"/>
    <w:autoRedefine/>
    <w:uiPriority w:val="39"/>
    <w:unhideWhenUsed/>
    <w:rsid w:val="002E045B"/>
    <w:pPr>
      <w:spacing w:line="240" w:lineRule="auto"/>
      <w:ind w:left="210"/>
      <w:jc w:val="left"/>
    </w:pPr>
    <w:rPr>
      <w:smallCaps/>
      <w:szCs w:val="20"/>
    </w:rPr>
  </w:style>
  <w:style w:type="paragraph" w:styleId="31">
    <w:name w:val="toc 3"/>
    <w:basedOn w:val="a"/>
    <w:next w:val="a"/>
    <w:autoRedefine/>
    <w:uiPriority w:val="39"/>
    <w:unhideWhenUsed/>
    <w:rsid w:val="002E045B"/>
    <w:pPr>
      <w:spacing w:line="240" w:lineRule="auto"/>
      <w:ind w:left="420"/>
      <w:jc w:val="left"/>
    </w:pPr>
    <w:rPr>
      <w:i/>
      <w:iCs/>
      <w:szCs w:val="20"/>
    </w:rPr>
  </w:style>
  <w:style w:type="paragraph" w:styleId="a4">
    <w:name w:val="Normal Indent"/>
    <w:basedOn w:val="a"/>
    <w:link w:val="a5"/>
    <w:uiPriority w:val="99"/>
    <w:semiHidden/>
    <w:unhideWhenUsed/>
    <w:rsid w:val="004A5321"/>
    <w:pPr>
      <w:ind w:firstLineChars="200" w:firstLine="420"/>
    </w:pPr>
  </w:style>
  <w:style w:type="character" w:customStyle="1" w:styleId="a5">
    <w:name w:val="正文缩进 字符"/>
    <w:link w:val="a4"/>
    <w:uiPriority w:val="99"/>
    <w:semiHidden/>
    <w:qFormat/>
    <w:rsid w:val="004A5321"/>
    <w:rPr>
      <w:rFonts w:asciiTheme="minorHAnsi" w:eastAsiaTheme="minorEastAsia" w:hAnsiTheme="minorHAnsi" w:cstheme="minorBidi"/>
      <w:sz w:val="21"/>
      <w:szCs w:val="22"/>
    </w:rPr>
  </w:style>
  <w:style w:type="paragraph" w:styleId="a6">
    <w:name w:val="annotation text"/>
    <w:basedOn w:val="a"/>
    <w:link w:val="a7"/>
    <w:uiPriority w:val="99"/>
    <w:semiHidden/>
    <w:unhideWhenUsed/>
    <w:rsid w:val="004A5321"/>
    <w:pPr>
      <w:jc w:val="left"/>
    </w:pPr>
  </w:style>
  <w:style w:type="character" w:customStyle="1" w:styleId="a7">
    <w:name w:val="批注文字 字符"/>
    <w:basedOn w:val="a0"/>
    <w:link w:val="a6"/>
    <w:uiPriority w:val="99"/>
    <w:semiHidden/>
    <w:rsid w:val="004A5321"/>
    <w:rPr>
      <w:rFonts w:asciiTheme="minorHAnsi" w:eastAsiaTheme="minorEastAsia" w:hAnsiTheme="minorHAnsi" w:cstheme="minorBidi"/>
      <w:sz w:val="21"/>
      <w:szCs w:val="22"/>
    </w:rPr>
  </w:style>
  <w:style w:type="paragraph" w:styleId="a8">
    <w:name w:val="header"/>
    <w:basedOn w:val="a"/>
    <w:link w:val="a9"/>
    <w:uiPriority w:val="99"/>
    <w:unhideWhenUsed/>
    <w:rsid w:val="004A5321"/>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4A5321"/>
    <w:rPr>
      <w:rFonts w:asciiTheme="minorHAnsi" w:eastAsiaTheme="minorEastAsia" w:hAnsiTheme="minorHAnsi" w:cstheme="minorBidi"/>
      <w:sz w:val="18"/>
      <w:szCs w:val="18"/>
    </w:rPr>
  </w:style>
  <w:style w:type="paragraph" w:styleId="aa">
    <w:name w:val="footer"/>
    <w:basedOn w:val="a"/>
    <w:link w:val="ab"/>
    <w:uiPriority w:val="99"/>
    <w:unhideWhenUsed/>
    <w:rsid w:val="004A5321"/>
    <w:pPr>
      <w:tabs>
        <w:tab w:val="center" w:pos="4153"/>
        <w:tab w:val="right" w:pos="8306"/>
      </w:tabs>
      <w:snapToGrid w:val="0"/>
      <w:jc w:val="left"/>
    </w:pPr>
    <w:rPr>
      <w:sz w:val="18"/>
      <w:szCs w:val="18"/>
    </w:rPr>
  </w:style>
  <w:style w:type="character" w:customStyle="1" w:styleId="ab">
    <w:name w:val="页脚 字符"/>
    <w:basedOn w:val="a0"/>
    <w:link w:val="aa"/>
    <w:uiPriority w:val="99"/>
    <w:rsid w:val="004A5321"/>
    <w:rPr>
      <w:rFonts w:asciiTheme="minorHAnsi" w:eastAsiaTheme="minorEastAsia" w:hAnsiTheme="minorHAnsi" w:cstheme="minorBidi"/>
      <w:sz w:val="18"/>
      <w:szCs w:val="18"/>
    </w:rPr>
  </w:style>
  <w:style w:type="character" w:styleId="ac">
    <w:name w:val="annotation reference"/>
    <w:basedOn w:val="a0"/>
    <w:uiPriority w:val="99"/>
    <w:semiHidden/>
    <w:unhideWhenUsed/>
    <w:rsid w:val="004A5321"/>
    <w:rPr>
      <w:sz w:val="21"/>
      <w:szCs w:val="21"/>
    </w:rPr>
  </w:style>
  <w:style w:type="paragraph" w:styleId="ad">
    <w:name w:val="Body Text"/>
    <w:basedOn w:val="a"/>
    <w:link w:val="ae"/>
    <w:uiPriority w:val="99"/>
    <w:semiHidden/>
    <w:unhideWhenUsed/>
    <w:rsid w:val="004A5321"/>
    <w:pPr>
      <w:spacing w:after="120"/>
    </w:pPr>
  </w:style>
  <w:style w:type="character" w:customStyle="1" w:styleId="ae">
    <w:name w:val="正文文本 字符"/>
    <w:basedOn w:val="a0"/>
    <w:link w:val="ad"/>
    <w:uiPriority w:val="99"/>
    <w:semiHidden/>
    <w:rsid w:val="004A5321"/>
    <w:rPr>
      <w:rFonts w:asciiTheme="minorHAnsi" w:eastAsiaTheme="minorEastAsia" w:hAnsiTheme="minorHAnsi" w:cstheme="minorBidi"/>
      <w:sz w:val="21"/>
      <w:szCs w:val="22"/>
    </w:rPr>
  </w:style>
  <w:style w:type="paragraph" w:styleId="af">
    <w:name w:val="Date"/>
    <w:basedOn w:val="a"/>
    <w:next w:val="a"/>
    <w:link w:val="af0"/>
    <w:uiPriority w:val="99"/>
    <w:semiHidden/>
    <w:unhideWhenUsed/>
    <w:rsid w:val="004A5321"/>
    <w:pPr>
      <w:ind w:leftChars="2500" w:left="100"/>
    </w:pPr>
  </w:style>
  <w:style w:type="character" w:customStyle="1" w:styleId="af0">
    <w:name w:val="日期 字符"/>
    <w:basedOn w:val="a0"/>
    <w:link w:val="af"/>
    <w:uiPriority w:val="99"/>
    <w:semiHidden/>
    <w:rsid w:val="004A5321"/>
    <w:rPr>
      <w:rFonts w:asciiTheme="minorHAnsi" w:eastAsiaTheme="minorEastAsia" w:hAnsiTheme="minorHAnsi" w:cstheme="minorBidi"/>
      <w:sz w:val="21"/>
      <w:szCs w:val="22"/>
    </w:rPr>
  </w:style>
  <w:style w:type="character" w:styleId="af1">
    <w:name w:val="Hyperlink"/>
    <w:basedOn w:val="a0"/>
    <w:uiPriority w:val="99"/>
    <w:unhideWhenUsed/>
    <w:rsid w:val="004A5321"/>
    <w:rPr>
      <w:color w:val="0000FF"/>
      <w:u w:val="single"/>
    </w:rPr>
  </w:style>
  <w:style w:type="character" w:styleId="af2">
    <w:name w:val="Strong"/>
    <w:basedOn w:val="a0"/>
    <w:uiPriority w:val="22"/>
    <w:qFormat/>
    <w:rsid w:val="004A5321"/>
    <w:rPr>
      <w:b/>
      <w:bCs/>
    </w:rPr>
  </w:style>
  <w:style w:type="paragraph" w:styleId="af3">
    <w:name w:val="Plain Text"/>
    <w:basedOn w:val="a"/>
    <w:link w:val="af4"/>
    <w:uiPriority w:val="99"/>
    <w:semiHidden/>
    <w:unhideWhenUsed/>
    <w:rsid w:val="004A5321"/>
    <w:rPr>
      <w:rFonts w:asciiTheme="minorEastAsia" w:hAnsi="Courier New" w:cs="Courier New"/>
    </w:rPr>
  </w:style>
  <w:style w:type="character" w:customStyle="1" w:styleId="af4">
    <w:name w:val="纯文本 字符"/>
    <w:basedOn w:val="a0"/>
    <w:link w:val="af3"/>
    <w:uiPriority w:val="99"/>
    <w:semiHidden/>
    <w:rsid w:val="004A5321"/>
    <w:rPr>
      <w:rFonts w:asciiTheme="minorEastAsia" w:eastAsiaTheme="minorEastAsia" w:hAnsi="Courier New" w:cs="Courier New"/>
      <w:sz w:val="21"/>
      <w:szCs w:val="22"/>
    </w:rPr>
  </w:style>
  <w:style w:type="paragraph" w:styleId="af5">
    <w:name w:val="Normal (Web)"/>
    <w:basedOn w:val="a"/>
    <w:uiPriority w:val="99"/>
    <w:semiHidden/>
    <w:unhideWhenUsed/>
    <w:rsid w:val="004A5321"/>
    <w:rPr>
      <w:rFonts w:ascii="Times New Roman" w:hAnsi="Times New Roman" w:cs="宋体"/>
      <w:sz w:val="24"/>
      <w:szCs w:val="24"/>
    </w:rPr>
  </w:style>
  <w:style w:type="character" w:styleId="HTML">
    <w:name w:val="HTML Code"/>
    <w:basedOn w:val="a0"/>
    <w:uiPriority w:val="99"/>
    <w:semiHidden/>
    <w:unhideWhenUsed/>
    <w:rsid w:val="004A5321"/>
    <w:rPr>
      <w:rFonts w:ascii="Courier New" w:hAnsi="Courier New" w:cs="Courier New"/>
      <w:sz w:val="20"/>
      <w:szCs w:val="20"/>
    </w:rPr>
  </w:style>
  <w:style w:type="paragraph" w:styleId="af6">
    <w:name w:val="annotation subject"/>
    <w:basedOn w:val="a6"/>
    <w:next w:val="a6"/>
    <w:link w:val="af7"/>
    <w:uiPriority w:val="99"/>
    <w:semiHidden/>
    <w:unhideWhenUsed/>
    <w:rsid w:val="004A5321"/>
    <w:rPr>
      <w:b/>
      <w:bCs/>
    </w:rPr>
  </w:style>
  <w:style w:type="character" w:customStyle="1" w:styleId="af7">
    <w:name w:val="批注主题 字符"/>
    <w:basedOn w:val="a7"/>
    <w:link w:val="af6"/>
    <w:uiPriority w:val="99"/>
    <w:semiHidden/>
    <w:rsid w:val="004A5321"/>
    <w:rPr>
      <w:rFonts w:asciiTheme="minorHAnsi" w:eastAsiaTheme="minorEastAsia" w:hAnsiTheme="minorHAnsi" w:cstheme="minorBidi"/>
      <w:b/>
      <w:bCs/>
      <w:sz w:val="21"/>
      <w:szCs w:val="22"/>
    </w:rPr>
  </w:style>
  <w:style w:type="paragraph" w:styleId="af8">
    <w:name w:val="Balloon Text"/>
    <w:basedOn w:val="a"/>
    <w:link w:val="af9"/>
    <w:uiPriority w:val="99"/>
    <w:semiHidden/>
    <w:unhideWhenUsed/>
    <w:rsid w:val="004A5321"/>
    <w:rPr>
      <w:sz w:val="18"/>
      <w:szCs w:val="18"/>
    </w:rPr>
  </w:style>
  <w:style w:type="character" w:customStyle="1" w:styleId="af9">
    <w:name w:val="批注框文本 字符"/>
    <w:basedOn w:val="a0"/>
    <w:link w:val="af8"/>
    <w:uiPriority w:val="99"/>
    <w:semiHidden/>
    <w:rsid w:val="004A5321"/>
    <w:rPr>
      <w:rFonts w:asciiTheme="minorHAnsi" w:eastAsiaTheme="minorEastAsia" w:hAnsiTheme="minorHAnsi" w:cstheme="minorBidi"/>
      <w:sz w:val="18"/>
      <w:szCs w:val="18"/>
    </w:rPr>
  </w:style>
  <w:style w:type="table" w:styleId="afa">
    <w:name w:val="Table Grid"/>
    <w:basedOn w:val="a1"/>
    <w:uiPriority w:val="39"/>
    <w:rsid w:val="004A5321"/>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List Accent 1"/>
    <w:basedOn w:val="a1"/>
    <w:uiPriority w:val="61"/>
    <w:semiHidden/>
    <w:unhideWhenUsed/>
    <w:rsid w:val="004A5321"/>
    <w:rPr>
      <w:rFonts w:ascii="Times New Roman" w:eastAsia="宋体" w:hAnsi="Times New Roman" w:cs="Times New Roman"/>
      <w:kern w:val="0"/>
      <w:sz w:val="20"/>
      <w:szCs w:val="20"/>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afb">
    <w:name w:val="List Paragraph"/>
    <w:basedOn w:val="a"/>
    <w:uiPriority w:val="34"/>
    <w:qFormat/>
    <w:rsid w:val="004A5321"/>
    <w:pPr>
      <w:ind w:firstLineChars="200" w:firstLine="420"/>
    </w:pPr>
  </w:style>
  <w:style w:type="paragraph" w:styleId="afc">
    <w:name w:val="Title"/>
    <w:basedOn w:val="a"/>
    <w:next w:val="a"/>
    <w:link w:val="afd"/>
    <w:uiPriority w:val="10"/>
    <w:qFormat/>
    <w:rsid w:val="004A5321"/>
    <w:pPr>
      <w:spacing w:before="240" w:after="60"/>
      <w:jc w:val="center"/>
      <w:outlineLvl w:val="0"/>
    </w:pPr>
    <w:rPr>
      <w:rFonts w:asciiTheme="majorHAnsi" w:eastAsiaTheme="majorEastAsia" w:hAnsiTheme="majorHAnsi" w:cstheme="majorBidi"/>
      <w:b/>
      <w:bCs/>
      <w:sz w:val="32"/>
      <w:szCs w:val="32"/>
    </w:rPr>
  </w:style>
  <w:style w:type="character" w:customStyle="1" w:styleId="afd">
    <w:name w:val="标题 字符"/>
    <w:basedOn w:val="a0"/>
    <w:link w:val="afc"/>
    <w:uiPriority w:val="10"/>
    <w:rsid w:val="004A5321"/>
    <w:rPr>
      <w:rFonts w:asciiTheme="majorHAnsi" w:eastAsiaTheme="majorEastAsia" w:hAnsiTheme="majorHAnsi" w:cstheme="majorBidi"/>
      <w:b/>
      <w:bCs/>
      <w:sz w:val="32"/>
      <w:szCs w:val="32"/>
    </w:rPr>
  </w:style>
  <w:style w:type="paragraph" w:customStyle="1" w:styleId="biaogeleft">
    <w:name w:val="biaoge_left"/>
    <w:basedOn w:val="a"/>
    <w:rsid w:val="005C5A2D"/>
    <w:pPr>
      <w:widowControl/>
      <w:autoSpaceDE w:val="0"/>
      <w:autoSpaceDN w:val="0"/>
      <w:adjustRightInd w:val="0"/>
      <w:spacing w:before="29"/>
      <w:ind w:left="15"/>
      <w:jc w:val="left"/>
    </w:pPr>
    <w:rPr>
      <w:rFonts w:ascii="宋体" w:hAnsi="宋体" w:cs="宋体"/>
      <w:kern w:val="0"/>
      <w:szCs w:val="24"/>
    </w:rPr>
  </w:style>
  <w:style w:type="paragraph" w:customStyle="1" w:styleId="biaogecenter">
    <w:name w:val="biaoge_center"/>
    <w:basedOn w:val="a"/>
    <w:rsid w:val="005C5A2D"/>
    <w:pPr>
      <w:widowControl/>
      <w:autoSpaceDE w:val="0"/>
      <w:autoSpaceDN w:val="0"/>
      <w:adjustRightInd w:val="0"/>
      <w:spacing w:before="29"/>
      <w:ind w:left="15"/>
      <w:jc w:val="center"/>
    </w:pPr>
    <w:rPr>
      <w:rFonts w:ascii="宋体" w:hAnsi="宋体" w:cs="宋体"/>
      <w:kern w:val="0"/>
      <w:szCs w:val="24"/>
    </w:rPr>
  </w:style>
  <w:style w:type="paragraph" w:customStyle="1" w:styleId="biaogeright">
    <w:name w:val="biaoge_right"/>
    <w:basedOn w:val="a"/>
    <w:rsid w:val="005C5A2D"/>
    <w:pPr>
      <w:widowControl/>
      <w:autoSpaceDE w:val="0"/>
      <w:autoSpaceDN w:val="0"/>
      <w:adjustRightInd w:val="0"/>
      <w:spacing w:before="29"/>
      <w:ind w:left="15"/>
      <w:jc w:val="right"/>
    </w:pPr>
    <w:rPr>
      <w:rFonts w:ascii="宋体" w:hAnsi="宋体" w:cs="宋体"/>
      <w:kern w:val="0"/>
      <w:szCs w:val="24"/>
    </w:rPr>
  </w:style>
  <w:style w:type="character" w:customStyle="1" w:styleId="zw">
    <w:name w:val="zw"/>
    <w:basedOn w:val="a0"/>
    <w:uiPriority w:val="1"/>
    <w:qFormat/>
    <w:rsid w:val="00EA2BBA"/>
    <w:rPr>
      <w:rFonts w:ascii="宋体" w:eastAsia="宋体" w:hAnsi="宋体"/>
      <w:color w:val="000000" w:themeColor="text1"/>
      <w:sz w:val="21"/>
    </w:rPr>
  </w:style>
  <w:style w:type="paragraph" w:styleId="TOC">
    <w:name w:val="TOC Heading"/>
    <w:basedOn w:val="1"/>
    <w:next w:val="a"/>
    <w:uiPriority w:val="39"/>
    <w:unhideWhenUsed/>
    <w:qFormat/>
    <w:rsid w:val="006907AF"/>
    <w:pPr>
      <w:keepNext/>
      <w:keepLines/>
      <w:widowControl/>
      <w:spacing w:before="24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41">
    <w:name w:val="toc 4"/>
    <w:basedOn w:val="a"/>
    <w:next w:val="a"/>
    <w:autoRedefine/>
    <w:uiPriority w:val="39"/>
    <w:unhideWhenUsed/>
    <w:rsid w:val="001A4FE5"/>
    <w:pPr>
      <w:ind w:left="630"/>
      <w:jc w:val="left"/>
    </w:pPr>
    <w:rPr>
      <w:sz w:val="18"/>
      <w:szCs w:val="18"/>
    </w:rPr>
  </w:style>
  <w:style w:type="paragraph" w:styleId="5">
    <w:name w:val="toc 5"/>
    <w:basedOn w:val="a"/>
    <w:next w:val="a"/>
    <w:autoRedefine/>
    <w:uiPriority w:val="39"/>
    <w:unhideWhenUsed/>
    <w:rsid w:val="001A4FE5"/>
    <w:pPr>
      <w:ind w:left="840"/>
      <w:jc w:val="left"/>
    </w:pPr>
    <w:rPr>
      <w:sz w:val="18"/>
      <w:szCs w:val="18"/>
    </w:rPr>
  </w:style>
  <w:style w:type="paragraph" w:styleId="6">
    <w:name w:val="toc 6"/>
    <w:basedOn w:val="a"/>
    <w:next w:val="a"/>
    <w:autoRedefine/>
    <w:uiPriority w:val="39"/>
    <w:unhideWhenUsed/>
    <w:rsid w:val="001A4FE5"/>
    <w:pPr>
      <w:ind w:left="1050"/>
      <w:jc w:val="left"/>
    </w:pPr>
    <w:rPr>
      <w:sz w:val="18"/>
      <w:szCs w:val="18"/>
    </w:rPr>
  </w:style>
  <w:style w:type="paragraph" w:styleId="7">
    <w:name w:val="toc 7"/>
    <w:basedOn w:val="a"/>
    <w:next w:val="a"/>
    <w:autoRedefine/>
    <w:uiPriority w:val="39"/>
    <w:unhideWhenUsed/>
    <w:rsid w:val="001A4FE5"/>
    <w:pPr>
      <w:ind w:left="1260"/>
      <w:jc w:val="left"/>
    </w:pPr>
    <w:rPr>
      <w:sz w:val="18"/>
      <w:szCs w:val="18"/>
    </w:rPr>
  </w:style>
  <w:style w:type="paragraph" w:styleId="8">
    <w:name w:val="toc 8"/>
    <w:basedOn w:val="a"/>
    <w:next w:val="a"/>
    <w:autoRedefine/>
    <w:uiPriority w:val="39"/>
    <w:unhideWhenUsed/>
    <w:rsid w:val="000160C2"/>
    <w:pPr>
      <w:ind w:left="1470"/>
      <w:jc w:val="left"/>
    </w:pPr>
    <w:rPr>
      <w:rFonts w:eastAsiaTheme="minorHAnsi"/>
      <w:sz w:val="18"/>
      <w:szCs w:val="18"/>
    </w:rPr>
  </w:style>
  <w:style w:type="paragraph" w:styleId="9">
    <w:name w:val="toc 9"/>
    <w:basedOn w:val="a"/>
    <w:next w:val="a"/>
    <w:autoRedefine/>
    <w:uiPriority w:val="39"/>
    <w:unhideWhenUsed/>
    <w:rsid w:val="000160C2"/>
    <w:pPr>
      <w:ind w:left="1680"/>
      <w:jc w:val="left"/>
    </w:pPr>
    <w:rPr>
      <w:rFonts w:eastAsiaTheme="minorHAnsi"/>
      <w:sz w:val="18"/>
      <w:szCs w:val="18"/>
    </w:rPr>
  </w:style>
  <w:style w:type="paragraph" w:styleId="afe">
    <w:name w:val="Document Map"/>
    <w:basedOn w:val="a"/>
    <w:link w:val="aff"/>
    <w:uiPriority w:val="99"/>
    <w:semiHidden/>
    <w:unhideWhenUsed/>
    <w:rsid w:val="001A4FE5"/>
    <w:rPr>
      <w:rFonts w:ascii="宋体"/>
      <w:sz w:val="18"/>
      <w:szCs w:val="18"/>
    </w:rPr>
  </w:style>
  <w:style w:type="character" w:customStyle="1" w:styleId="aff">
    <w:name w:val="文档结构图 字符"/>
    <w:basedOn w:val="a0"/>
    <w:link w:val="afe"/>
    <w:uiPriority w:val="99"/>
    <w:semiHidden/>
    <w:rsid w:val="001A4FE5"/>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3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16" Target="media/image1.png" Type="http://schemas.openxmlformats.org/officeDocument/2006/relationships/image"/><Relationship Id="rId17" Target="media/image2.png" Type="http://schemas.openxmlformats.org/officeDocument/2006/relationships/image"/><Relationship Id="rId2" Target="../customXml/item2.xml" Type="http://schemas.openxmlformats.org/officeDocument/2006/relationships/customXml"/><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90AC41-F1FC-4D08-9FC0-94272FA53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2020-03-27T02:14:00Z</dcterms:created>
  <cp:lastModifiedBy>李煜</cp:lastModifiedBy>
  <dcterms:modified xsi:type="dcterms:W3CDTF">2024-12-03T03:02:00Z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