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东方阿尔法优选混合型发起式证券投资基金</w:t>
      </w:r>
    </w:p>
    <w:p>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2025年第3季度报告</w:t>
      </w:r>
    </w:p>
    <w:p>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2025年09月30日</w:t>
      </w: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before="72" w:after="120"/>
        <w:jc w:val="center"/>
        <w:rPr>
          <w:rFonts w:ascii="宋体" w:hAnsi="宋体"/>
          <w:b/>
          <w:bCs/>
          <w:sz w:val="24"/>
        </w:rPr>
      </w:pP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2025年10月25日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基金托管人招商银行股份有限公司根据本基金合同规定，于2025年10月24日复核了本报告中的财务指标、净值表现和投资组合报告等内容，保证复核内容不存在虚假记载、误导性陈述或者重大遗漏。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本报告期自2025年07月01日起至2025年09月30日止。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东方阿尔法优选混合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007518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2019年09月12日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1,367,914,630.74份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本基金的投资策略主要有以下8个方面内容：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7、融资业务的投资策略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8、国债期货的投资策略</w:t>
            </w:r>
            <w:r>
              <w:rPr>
                <w:rFonts w:ascii="宋体" w:hAnsi="宋体" w:eastAsia="宋体" w:cs="宋体"/>
                <w:b w:val="0"/>
              </w:rPr>
              <w:br w:type="textWrapping"/>
            </w:r>
            <w:r>
              <w:rPr>
                <w:rFonts w:ascii="宋体" w:hAnsi="宋体" w:eastAsia="宋体" w:cs="宋体"/>
                <w:b w:val="0"/>
              </w:rPr>
              <w:t>基金管理人将结合对宏观经济形势和政策趋势的判断、对债券市场进行定性和定量分析，构建量化分析体系，在最大限度保证基金资产安全的基础上，力求实现所资产的长期稳定增值。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东方阿尔法优选混合A</w:t>
            </w:r>
          </w:p>
        </w:tc>
        <w:tc>
          <w:tcPr>
            <w:tcW w:w="1500" w:type="pct"/>
            <w:vAlign w:val="center"/>
          </w:tcPr>
          <w:p>
            <w:pPr>
              <w:spacing w:line="240" w:lineRule="auto"/>
              <w:jc w:val="left"/>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007518</w:t>
            </w:r>
          </w:p>
        </w:tc>
        <w:tc>
          <w:tcPr>
            <w:tcW w:w="1500" w:type="pct"/>
            <w:vAlign w:val="center"/>
          </w:tcPr>
          <w:p>
            <w:pPr>
              <w:spacing w:line="240" w:lineRule="auto"/>
              <w:jc w:val="left"/>
            </w:pPr>
            <w:r>
              <w:rPr>
                <w:rFonts w:ascii="宋体" w:hAnsi="宋体" w:eastAsia="宋体" w:cs="宋体"/>
                <w:b w:val="0"/>
              </w:rPr>
              <w:t>007519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103,742,847.40份</w:t>
            </w:r>
          </w:p>
        </w:tc>
        <w:tc>
          <w:tcPr>
            <w:tcW w:w="1500" w:type="pct"/>
            <w:vAlign w:val="center"/>
          </w:tcPr>
          <w:p>
            <w:pPr>
              <w:spacing w:line="240" w:lineRule="auto"/>
              <w:jc w:val="left"/>
            </w:pPr>
            <w:r>
              <w:rPr>
                <w:rFonts w:ascii="宋体" w:hAnsi="宋体" w:eastAsia="宋体" w:cs="宋体"/>
                <w:b w:val="0"/>
              </w:rPr>
              <w:t>1,264,171,783.34份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报告期（2025年07月01日-2025年09月30日）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东方阿尔法优选混合A</w:t>
            </w:r>
          </w:p>
        </w:tc>
        <w:tc>
          <w:tcPr>
            <w:tcW w:w="1500" w:type="pct"/>
            <w:shd w:val="clear" w:color="auto" w:fill="D9D9D9"/>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13,988,168.31</w:t>
            </w:r>
          </w:p>
        </w:tc>
        <w:tc>
          <w:tcPr>
            <w:tcW w:w="1500" w:type="pct"/>
            <w:vAlign w:val="center"/>
          </w:tcPr>
          <w:p>
            <w:pPr>
              <w:spacing w:line="240" w:lineRule="auto"/>
              <w:jc w:val="right"/>
            </w:pPr>
            <w:r>
              <w:rPr>
                <w:rFonts w:ascii="宋体" w:hAnsi="宋体" w:eastAsia="宋体" w:cs="宋体"/>
                <w:b w:val="0"/>
              </w:rPr>
              <w:t>157,992,416.80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35,670,633.54</w:t>
            </w:r>
          </w:p>
        </w:tc>
        <w:tc>
          <w:tcPr>
            <w:tcW w:w="1500" w:type="pct"/>
            <w:vAlign w:val="center"/>
          </w:tcPr>
          <w:p>
            <w:pPr>
              <w:spacing w:line="240" w:lineRule="auto"/>
              <w:jc w:val="right"/>
            </w:pPr>
            <w:r>
              <w:rPr>
                <w:rFonts w:ascii="宋体" w:hAnsi="宋体" w:eastAsia="宋体" w:cs="宋体"/>
                <w:b w:val="0"/>
              </w:rPr>
              <w:t>347,777,902.36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0.3337</w:t>
            </w:r>
          </w:p>
        </w:tc>
        <w:tc>
          <w:tcPr>
            <w:tcW w:w="1500" w:type="pct"/>
            <w:vAlign w:val="center"/>
          </w:tcPr>
          <w:p>
            <w:pPr>
              <w:spacing w:line="240" w:lineRule="auto"/>
              <w:jc w:val="right"/>
            </w:pPr>
            <w:r>
              <w:rPr>
                <w:rFonts w:ascii="宋体" w:hAnsi="宋体" w:eastAsia="宋体" w:cs="宋体"/>
                <w:b w:val="0"/>
              </w:rPr>
              <w:t>0.3166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127,787,420.83</w:t>
            </w:r>
          </w:p>
        </w:tc>
        <w:tc>
          <w:tcPr>
            <w:tcW w:w="1500" w:type="pct"/>
            <w:vAlign w:val="center"/>
          </w:tcPr>
          <w:p>
            <w:pPr>
              <w:spacing w:line="240" w:lineRule="auto"/>
              <w:jc w:val="right"/>
            </w:pPr>
            <w:r>
              <w:rPr>
                <w:rFonts w:ascii="宋体" w:hAnsi="宋体" w:eastAsia="宋体" w:cs="宋体"/>
                <w:b w:val="0"/>
              </w:rPr>
              <w:t>1,510,839,891.29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1.2318</w:t>
            </w:r>
          </w:p>
        </w:tc>
        <w:tc>
          <w:tcPr>
            <w:tcW w:w="1500" w:type="pct"/>
            <w:vAlign w:val="center"/>
          </w:tcPr>
          <w:p>
            <w:pPr>
              <w:spacing w:line="240" w:lineRule="auto"/>
              <w:jc w:val="right"/>
            </w:pPr>
            <w:r>
              <w:rPr>
                <w:rFonts w:ascii="宋体" w:hAnsi="宋体" w:eastAsia="宋体" w:cs="宋体"/>
                <w:b w:val="0"/>
              </w:rPr>
              <w:t>1.1951</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东方阿尔法优选混合A净值表现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38.51%</w:t>
            </w:r>
          </w:p>
        </w:tc>
        <w:tc>
          <w:tcPr>
            <w:tcW w:w="0" w:type="dxa"/>
            <w:vAlign w:val="center"/>
          </w:tcPr>
          <w:p>
            <w:pPr>
              <w:spacing w:line="240" w:lineRule="auto"/>
              <w:jc w:val="right"/>
            </w:pPr>
            <w:r>
              <w:rPr>
                <w:rFonts w:ascii="宋体" w:hAnsi="宋体" w:eastAsia="宋体" w:cs="宋体"/>
                <w:b w:val="0"/>
              </w:rPr>
              <w:t>2.29%</w:t>
            </w:r>
          </w:p>
        </w:tc>
        <w:tc>
          <w:tcPr>
            <w:tcW w:w="0" w:type="dxa"/>
            <w:vAlign w:val="center"/>
          </w:tcPr>
          <w:p>
            <w:pPr>
              <w:spacing w:line="240" w:lineRule="auto"/>
              <w:jc w:val="right"/>
            </w:pPr>
            <w:r>
              <w:rPr>
                <w:rFonts w:ascii="宋体" w:hAnsi="宋体" w:eastAsia="宋体" w:cs="宋体"/>
                <w:b w:val="0"/>
              </w:rPr>
              <w:t>16.79%</w:t>
            </w:r>
          </w:p>
        </w:tc>
        <w:tc>
          <w:tcPr>
            <w:tcW w:w="0" w:type="dxa"/>
            <w:vAlign w:val="center"/>
          </w:tcPr>
          <w:p>
            <w:pPr>
              <w:spacing w:line="240" w:lineRule="auto"/>
              <w:jc w:val="right"/>
            </w:pPr>
            <w:r>
              <w:rPr>
                <w:rFonts w:ascii="宋体" w:hAnsi="宋体" w:eastAsia="宋体" w:cs="宋体"/>
                <w:b w:val="0"/>
              </w:rPr>
              <w:t>0.77%</w:t>
            </w:r>
          </w:p>
        </w:tc>
        <w:tc>
          <w:tcPr>
            <w:tcW w:w="0" w:type="dxa"/>
            <w:vAlign w:val="center"/>
          </w:tcPr>
          <w:p>
            <w:pPr>
              <w:spacing w:line="240" w:lineRule="auto"/>
              <w:jc w:val="right"/>
            </w:pPr>
            <w:r>
              <w:rPr>
                <w:rFonts w:ascii="宋体" w:hAnsi="宋体" w:eastAsia="宋体" w:cs="宋体"/>
                <w:b w:val="0"/>
              </w:rPr>
              <w:t>21.72%</w:t>
            </w:r>
          </w:p>
        </w:tc>
        <w:tc>
          <w:tcPr>
            <w:tcW w:w="0" w:type="dxa"/>
            <w:vAlign w:val="center"/>
          </w:tcPr>
          <w:p>
            <w:pPr>
              <w:spacing w:line="240" w:lineRule="auto"/>
              <w:jc w:val="right"/>
            </w:pPr>
            <w:r>
              <w:rPr>
                <w:rFonts w:ascii="宋体" w:hAnsi="宋体" w:eastAsia="宋体" w:cs="宋体"/>
                <w:b w:val="0"/>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36.99%</w:t>
            </w:r>
          </w:p>
        </w:tc>
        <w:tc>
          <w:tcPr>
            <w:tcW w:w="0" w:type="dxa"/>
            <w:vAlign w:val="center"/>
          </w:tcPr>
          <w:p>
            <w:pPr>
              <w:spacing w:line="240" w:lineRule="auto"/>
              <w:jc w:val="right"/>
            </w:pPr>
            <w:r>
              <w:rPr>
                <w:rFonts w:ascii="宋体" w:hAnsi="宋体" w:eastAsia="宋体" w:cs="宋体"/>
                <w:b w:val="0"/>
              </w:rPr>
              <w:t>2.66%</w:t>
            </w:r>
          </w:p>
        </w:tc>
        <w:tc>
          <w:tcPr>
            <w:tcW w:w="0" w:type="dxa"/>
            <w:vAlign w:val="center"/>
          </w:tcPr>
          <w:p>
            <w:pPr>
              <w:spacing w:line="240" w:lineRule="auto"/>
              <w:jc w:val="right"/>
            </w:pPr>
            <w:r>
              <w:rPr>
                <w:rFonts w:ascii="宋体" w:hAnsi="宋体" w:eastAsia="宋体" w:cs="宋体"/>
                <w:b w:val="0"/>
              </w:rPr>
              <w:t>18.69%</w:t>
            </w:r>
          </w:p>
        </w:tc>
        <w:tc>
          <w:tcPr>
            <w:tcW w:w="0" w:type="dxa"/>
            <w:vAlign w:val="center"/>
          </w:tcPr>
          <w:p>
            <w:pPr>
              <w:spacing w:line="240" w:lineRule="auto"/>
              <w:jc w:val="right"/>
            </w:pPr>
            <w:r>
              <w:rPr>
                <w:rFonts w:ascii="宋体" w:hAnsi="宋体" w:eastAsia="宋体" w:cs="宋体"/>
                <w:b w:val="0"/>
              </w:rPr>
              <w:t>0.96%</w:t>
            </w:r>
          </w:p>
        </w:tc>
        <w:tc>
          <w:tcPr>
            <w:tcW w:w="0" w:type="dxa"/>
            <w:vAlign w:val="center"/>
          </w:tcPr>
          <w:p>
            <w:pPr>
              <w:spacing w:line="240" w:lineRule="auto"/>
              <w:jc w:val="right"/>
            </w:pPr>
            <w:r>
              <w:rPr>
                <w:rFonts w:ascii="宋体" w:hAnsi="宋体" w:eastAsia="宋体" w:cs="宋体"/>
                <w:b w:val="0"/>
              </w:rPr>
              <w:t>18.30%</w:t>
            </w:r>
          </w:p>
        </w:tc>
        <w:tc>
          <w:tcPr>
            <w:tcW w:w="0" w:type="dxa"/>
            <w:vAlign w:val="center"/>
          </w:tcPr>
          <w:p>
            <w:pPr>
              <w:spacing w:line="240" w:lineRule="auto"/>
              <w:jc w:val="right"/>
            </w:pPr>
            <w:r>
              <w:rPr>
                <w:rFonts w:ascii="宋体" w:hAnsi="宋体" w:eastAsia="宋体" w:cs="宋体"/>
                <w:b w:val="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86.75%</w:t>
            </w:r>
          </w:p>
        </w:tc>
        <w:tc>
          <w:tcPr>
            <w:tcW w:w="0" w:type="dxa"/>
            <w:vAlign w:val="center"/>
          </w:tcPr>
          <w:p>
            <w:pPr>
              <w:spacing w:line="240" w:lineRule="auto"/>
              <w:jc w:val="right"/>
            </w:pPr>
            <w:r>
              <w:rPr>
                <w:rFonts w:ascii="宋体" w:hAnsi="宋体" w:eastAsia="宋体" w:cs="宋体"/>
                <w:b w:val="0"/>
              </w:rPr>
              <w:t>2.75%</w:t>
            </w:r>
          </w:p>
        </w:tc>
        <w:tc>
          <w:tcPr>
            <w:tcW w:w="0" w:type="dxa"/>
            <w:vAlign w:val="center"/>
          </w:tcPr>
          <w:p>
            <w:pPr>
              <w:spacing w:line="240" w:lineRule="auto"/>
              <w:jc w:val="right"/>
            </w:pPr>
            <w:r>
              <w:rPr>
                <w:rFonts w:ascii="宋体" w:hAnsi="宋体" w:eastAsia="宋体" w:cs="宋体"/>
                <w:b w:val="0"/>
              </w:rPr>
              <w:t>18.40%</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68.35%</w:t>
            </w:r>
          </w:p>
        </w:tc>
        <w:tc>
          <w:tcPr>
            <w:tcW w:w="0" w:type="dxa"/>
            <w:vAlign w:val="center"/>
          </w:tcPr>
          <w:p>
            <w:pPr>
              <w:spacing w:line="240" w:lineRule="auto"/>
              <w:jc w:val="right"/>
            </w:pPr>
            <w:r>
              <w:rPr>
                <w:rFonts w:ascii="宋体" w:hAnsi="宋体" w:eastAsia="宋体" w:cs="宋体"/>
                <w:b w:val="0"/>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17.52%</w:t>
            </w:r>
          </w:p>
        </w:tc>
        <w:tc>
          <w:tcPr>
            <w:tcW w:w="0" w:type="dxa"/>
            <w:vAlign w:val="center"/>
          </w:tcPr>
          <w:p>
            <w:pPr>
              <w:spacing w:line="240" w:lineRule="auto"/>
              <w:jc w:val="right"/>
            </w:pPr>
            <w:r>
              <w:rPr>
                <w:rFonts w:ascii="宋体" w:hAnsi="宋体" w:eastAsia="宋体" w:cs="宋体"/>
                <w:b w:val="0"/>
              </w:rPr>
              <w:t>2.06%</w:t>
            </w:r>
          </w:p>
        </w:tc>
        <w:tc>
          <w:tcPr>
            <w:tcW w:w="0" w:type="dxa"/>
            <w:vAlign w:val="center"/>
          </w:tcPr>
          <w:p>
            <w:pPr>
              <w:spacing w:line="240" w:lineRule="auto"/>
              <w:jc w:val="right"/>
            </w:pPr>
            <w:r>
              <w:rPr>
                <w:rFonts w:ascii="宋体" w:hAnsi="宋体" w:eastAsia="宋体" w:cs="宋体"/>
                <w:b w:val="0"/>
              </w:rPr>
              <w:t>26.84%</w:t>
            </w:r>
          </w:p>
        </w:tc>
        <w:tc>
          <w:tcPr>
            <w:tcW w:w="0" w:type="dxa"/>
            <w:vAlign w:val="center"/>
          </w:tcPr>
          <w:p>
            <w:pPr>
              <w:spacing w:line="240" w:lineRule="auto"/>
              <w:jc w:val="right"/>
            </w:pPr>
            <w:r>
              <w:rPr>
                <w:rFonts w:ascii="宋体" w:hAnsi="宋体" w:eastAsia="宋体" w:cs="宋体"/>
                <w:b w:val="0"/>
              </w:rPr>
              <w:t>1.01%</w:t>
            </w:r>
          </w:p>
        </w:tc>
        <w:tc>
          <w:tcPr>
            <w:tcW w:w="0" w:type="dxa"/>
            <w:vAlign w:val="center"/>
          </w:tcPr>
          <w:p>
            <w:pPr>
              <w:spacing w:line="240" w:lineRule="auto"/>
              <w:jc w:val="right"/>
            </w:pPr>
            <w:r>
              <w:rPr>
                <w:rFonts w:ascii="宋体" w:hAnsi="宋体" w:eastAsia="宋体" w:cs="宋体"/>
                <w:b w:val="0"/>
              </w:rPr>
              <w:t>-9.32%</w:t>
            </w:r>
          </w:p>
        </w:tc>
        <w:tc>
          <w:tcPr>
            <w:tcW w:w="0" w:type="dxa"/>
            <w:vAlign w:val="center"/>
          </w:tcPr>
          <w:p>
            <w:pPr>
              <w:spacing w:line="240" w:lineRule="auto"/>
              <w:jc w:val="right"/>
            </w:pPr>
            <w:r>
              <w:rPr>
                <w:rFonts w:ascii="宋体" w:hAnsi="宋体" w:eastAsia="宋体" w:cs="宋体"/>
                <w:b w:val="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-21.12%</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9.66%</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-30.78%</w:t>
            </w:r>
          </w:p>
        </w:tc>
        <w:tc>
          <w:tcPr>
            <w:tcW w:w="0" w:type="dxa"/>
            <w:vAlign w:val="center"/>
          </w:tcPr>
          <w:p>
            <w:pPr>
              <w:spacing w:line="240" w:lineRule="auto"/>
              <w:jc w:val="right"/>
            </w:pPr>
            <w:r>
              <w:rPr>
                <w:rFonts w:ascii="宋体" w:hAnsi="宋体" w:eastAsia="宋体" w:cs="宋体"/>
                <w:b w:val="0"/>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23.18%</w:t>
            </w:r>
          </w:p>
        </w:tc>
        <w:tc>
          <w:tcPr>
            <w:tcW w:w="0" w:type="dxa"/>
            <w:vAlign w:val="center"/>
          </w:tcPr>
          <w:p>
            <w:pPr>
              <w:spacing w:line="240" w:lineRule="auto"/>
              <w:jc w:val="right"/>
            </w:pPr>
            <w:r>
              <w:rPr>
                <w:rFonts w:ascii="宋体" w:hAnsi="宋体" w:eastAsia="宋体" w:cs="宋体"/>
                <w:b w:val="0"/>
              </w:rPr>
              <w:t>1.79%</w:t>
            </w:r>
          </w:p>
        </w:tc>
        <w:tc>
          <w:tcPr>
            <w:tcW w:w="0" w:type="dxa"/>
            <w:vAlign w:val="center"/>
          </w:tcPr>
          <w:p>
            <w:pPr>
              <w:spacing w:line="240" w:lineRule="auto"/>
              <w:jc w:val="right"/>
            </w:pPr>
            <w:r>
              <w:rPr>
                <w:rFonts w:ascii="宋体" w:hAnsi="宋体" w:eastAsia="宋体" w:cs="宋体"/>
                <w:b w:val="0"/>
              </w:rPr>
              <w:t>23.55%</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-0.37%</w:t>
            </w:r>
          </w:p>
        </w:tc>
        <w:tc>
          <w:tcPr>
            <w:tcW w:w="0" w:type="dxa"/>
            <w:vAlign w:val="center"/>
          </w:tcPr>
          <w:p>
            <w:pPr>
              <w:spacing w:line="240" w:lineRule="auto"/>
              <w:jc w:val="right"/>
            </w:pPr>
            <w:r>
              <w:rPr>
                <w:rFonts w:ascii="宋体" w:hAnsi="宋体" w:eastAsia="宋体" w:cs="宋体"/>
                <w:b w:val="0"/>
              </w:rPr>
              <w:t>0.74%</w:t>
            </w:r>
          </w:p>
        </w:tc>
      </w:tr>
    </w:tbl>
    <w:p>
      <w:pPr>
        <w:jc w:val="left"/>
      </w:pPr>
      <w:r>
        <w:rPr>
          <w:rFonts w:ascii="宋体" w:hAnsi="宋体" w:eastAsia="宋体" w:cs="宋体"/>
          <w:b/>
        </w:rPr>
        <w:t>东方阿尔法优选混合C净值表现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38.34%</w:t>
            </w:r>
          </w:p>
        </w:tc>
        <w:tc>
          <w:tcPr>
            <w:tcW w:w="0" w:type="dxa"/>
            <w:vAlign w:val="center"/>
          </w:tcPr>
          <w:p>
            <w:pPr>
              <w:spacing w:line="240" w:lineRule="auto"/>
              <w:jc w:val="right"/>
            </w:pPr>
            <w:r>
              <w:rPr>
                <w:rFonts w:ascii="宋体" w:hAnsi="宋体" w:eastAsia="宋体" w:cs="宋体"/>
                <w:b w:val="0"/>
              </w:rPr>
              <w:t>2.29%</w:t>
            </w:r>
          </w:p>
        </w:tc>
        <w:tc>
          <w:tcPr>
            <w:tcW w:w="0" w:type="dxa"/>
            <w:vAlign w:val="center"/>
          </w:tcPr>
          <w:p>
            <w:pPr>
              <w:spacing w:line="240" w:lineRule="auto"/>
              <w:jc w:val="right"/>
            </w:pPr>
            <w:r>
              <w:rPr>
                <w:rFonts w:ascii="宋体" w:hAnsi="宋体" w:eastAsia="宋体" w:cs="宋体"/>
                <w:b w:val="0"/>
              </w:rPr>
              <w:t>16.79%</w:t>
            </w:r>
          </w:p>
        </w:tc>
        <w:tc>
          <w:tcPr>
            <w:tcW w:w="0" w:type="dxa"/>
            <w:vAlign w:val="center"/>
          </w:tcPr>
          <w:p>
            <w:pPr>
              <w:spacing w:line="240" w:lineRule="auto"/>
              <w:jc w:val="right"/>
            </w:pPr>
            <w:r>
              <w:rPr>
                <w:rFonts w:ascii="宋体" w:hAnsi="宋体" w:eastAsia="宋体" w:cs="宋体"/>
                <w:b w:val="0"/>
              </w:rPr>
              <w:t>0.77%</w:t>
            </w:r>
          </w:p>
        </w:tc>
        <w:tc>
          <w:tcPr>
            <w:tcW w:w="0" w:type="dxa"/>
            <w:vAlign w:val="center"/>
          </w:tcPr>
          <w:p>
            <w:pPr>
              <w:spacing w:line="240" w:lineRule="auto"/>
              <w:jc w:val="right"/>
            </w:pPr>
            <w:r>
              <w:rPr>
                <w:rFonts w:ascii="宋体" w:hAnsi="宋体" w:eastAsia="宋体" w:cs="宋体"/>
                <w:b w:val="0"/>
              </w:rPr>
              <w:t>21.55%</w:t>
            </w:r>
          </w:p>
        </w:tc>
        <w:tc>
          <w:tcPr>
            <w:tcW w:w="0" w:type="dxa"/>
            <w:vAlign w:val="center"/>
          </w:tcPr>
          <w:p>
            <w:pPr>
              <w:spacing w:line="240" w:lineRule="auto"/>
              <w:jc w:val="right"/>
            </w:pPr>
            <w:r>
              <w:rPr>
                <w:rFonts w:ascii="宋体" w:hAnsi="宋体" w:eastAsia="宋体" w:cs="宋体"/>
                <w:b w:val="0"/>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36.65%</w:t>
            </w:r>
          </w:p>
        </w:tc>
        <w:tc>
          <w:tcPr>
            <w:tcW w:w="0" w:type="dxa"/>
            <w:vAlign w:val="center"/>
          </w:tcPr>
          <w:p>
            <w:pPr>
              <w:spacing w:line="240" w:lineRule="auto"/>
              <w:jc w:val="right"/>
            </w:pPr>
            <w:r>
              <w:rPr>
                <w:rFonts w:ascii="宋体" w:hAnsi="宋体" w:eastAsia="宋体" w:cs="宋体"/>
                <w:b w:val="0"/>
              </w:rPr>
              <w:t>2.66%</w:t>
            </w:r>
          </w:p>
        </w:tc>
        <w:tc>
          <w:tcPr>
            <w:tcW w:w="0" w:type="dxa"/>
            <w:vAlign w:val="center"/>
          </w:tcPr>
          <w:p>
            <w:pPr>
              <w:spacing w:line="240" w:lineRule="auto"/>
              <w:jc w:val="right"/>
            </w:pPr>
            <w:r>
              <w:rPr>
                <w:rFonts w:ascii="宋体" w:hAnsi="宋体" w:eastAsia="宋体" w:cs="宋体"/>
                <w:b w:val="0"/>
              </w:rPr>
              <w:t>18.69%</w:t>
            </w:r>
          </w:p>
        </w:tc>
        <w:tc>
          <w:tcPr>
            <w:tcW w:w="0" w:type="dxa"/>
            <w:vAlign w:val="center"/>
          </w:tcPr>
          <w:p>
            <w:pPr>
              <w:spacing w:line="240" w:lineRule="auto"/>
              <w:jc w:val="right"/>
            </w:pPr>
            <w:r>
              <w:rPr>
                <w:rFonts w:ascii="宋体" w:hAnsi="宋体" w:eastAsia="宋体" w:cs="宋体"/>
                <w:b w:val="0"/>
              </w:rPr>
              <w:t>0.96%</w:t>
            </w:r>
          </w:p>
        </w:tc>
        <w:tc>
          <w:tcPr>
            <w:tcW w:w="0" w:type="dxa"/>
            <w:vAlign w:val="center"/>
          </w:tcPr>
          <w:p>
            <w:pPr>
              <w:spacing w:line="240" w:lineRule="auto"/>
              <w:jc w:val="right"/>
            </w:pPr>
            <w:r>
              <w:rPr>
                <w:rFonts w:ascii="宋体" w:hAnsi="宋体" w:eastAsia="宋体" w:cs="宋体"/>
                <w:b w:val="0"/>
              </w:rPr>
              <w:t>17.96%</w:t>
            </w:r>
          </w:p>
        </w:tc>
        <w:tc>
          <w:tcPr>
            <w:tcW w:w="0" w:type="dxa"/>
            <w:vAlign w:val="center"/>
          </w:tcPr>
          <w:p>
            <w:pPr>
              <w:spacing w:line="240" w:lineRule="auto"/>
              <w:jc w:val="right"/>
            </w:pPr>
            <w:r>
              <w:rPr>
                <w:rFonts w:ascii="宋体" w:hAnsi="宋体" w:eastAsia="宋体" w:cs="宋体"/>
                <w:b w:val="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85.81%</w:t>
            </w:r>
          </w:p>
        </w:tc>
        <w:tc>
          <w:tcPr>
            <w:tcW w:w="0" w:type="dxa"/>
            <w:vAlign w:val="center"/>
          </w:tcPr>
          <w:p>
            <w:pPr>
              <w:spacing w:line="240" w:lineRule="auto"/>
              <w:jc w:val="right"/>
            </w:pPr>
            <w:r>
              <w:rPr>
                <w:rFonts w:ascii="宋体" w:hAnsi="宋体" w:eastAsia="宋体" w:cs="宋体"/>
                <w:b w:val="0"/>
              </w:rPr>
              <w:t>2.75%</w:t>
            </w:r>
          </w:p>
        </w:tc>
        <w:tc>
          <w:tcPr>
            <w:tcW w:w="0" w:type="dxa"/>
            <w:vAlign w:val="center"/>
          </w:tcPr>
          <w:p>
            <w:pPr>
              <w:spacing w:line="240" w:lineRule="auto"/>
              <w:jc w:val="right"/>
            </w:pPr>
            <w:r>
              <w:rPr>
                <w:rFonts w:ascii="宋体" w:hAnsi="宋体" w:eastAsia="宋体" w:cs="宋体"/>
                <w:b w:val="0"/>
              </w:rPr>
              <w:t>18.40%</w:t>
            </w:r>
          </w:p>
        </w:tc>
        <w:tc>
          <w:tcPr>
            <w:tcW w:w="0" w:type="dxa"/>
            <w:vAlign w:val="center"/>
          </w:tcPr>
          <w:p>
            <w:pPr>
              <w:spacing w:line="240" w:lineRule="auto"/>
              <w:jc w:val="right"/>
            </w:pPr>
            <w:r>
              <w:rPr>
                <w:rFonts w:ascii="宋体" w:hAnsi="宋体" w:eastAsia="宋体" w:cs="宋体"/>
                <w:b w:val="0"/>
              </w:rPr>
              <w:t>1.11%</w:t>
            </w:r>
          </w:p>
        </w:tc>
        <w:tc>
          <w:tcPr>
            <w:tcW w:w="0" w:type="dxa"/>
            <w:vAlign w:val="center"/>
          </w:tcPr>
          <w:p>
            <w:pPr>
              <w:spacing w:line="240" w:lineRule="auto"/>
              <w:jc w:val="right"/>
            </w:pPr>
            <w:r>
              <w:rPr>
                <w:rFonts w:ascii="宋体" w:hAnsi="宋体" w:eastAsia="宋体" w:cs="宋体"/>
                <w:b w:val="0"/>
              </w:rPr>
              <w:t>67.41%</w:t>
            </w:r>
          </w:p>
        </w:tc>
        <w:tc>
          <w:tcPr>
            <w:tcW w:w="0" w:type="dxa"/>
            <w:vAlign w:val="center"/>
          </w:tcPr>
          <w:p>
            <w:pPr>
              <w:spacing w:line="240" w:lineRule="auto"/>
              <w:jc w:val="right"/>
            </w:pPr>
            <w:r>
              <w:rPr>
                <w:rFonts w:ascii="宋体" w:hAnsi="宋体" w:eastAsia="宋体" w:cs="宋体"/>
                <w:b w:val="0"/>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15.77%</w:t>
            </w:r>
          </w:p>
        </w:tc>
        <w:tc>
          <w:tcPr>
            <w:tcW w:w="0" w:type="dxa"/>
            <w:vAlign w:val="center"/>
          </w:tcPr>
          <w:p>
            <w:pPr>
              <w:spacing w:line="240" w:lineRule="auto"/>
              <w:jc w:val="right"/>
            </w:pPr>
            <w:r>
              <w:rPr>
                <w:rFonts w:ascii="宋体" w:hAnsi="宋体" w:eastAsia="宋体" w:cs="宋体"/>
                <w:b w:val="0"/>
              </w:rPr>
              <w:t>2.06%</w:t>
            </w:r>
          </w:p>
        </w:tc>
        <w:tc>
          <w:tcPr>
            <w:tcW w:w="0" w:type="dxa"/>
            <w:vAlign w:val="center"/>
          </w:tcPr>
          <w:p>
            <w:pPr>
              <w:spacing w:line="240" w:lineRule="auto"/>
              <w:jc w:val="right"/>
            </w:pPr>
            <w:r>
              <w:rPr>
                <w:rFonts w:ascii="宋体" w:hAnsi="宋体" w:eastAsia="宋体" w:cs="宋体"/>
                <w:b w:val="0"/>
              </w:rPr>
              <w:t>26.84%</w:t>
            </w:r>
          </w:p>
        </w:tc>
        <w:tc>
          <w:tcPr>
            <w:tcW w:w="0" w:type="dxa"/>
            <w:vAlign w:val="center"/>
          </w:tcPr>
          <w:p>
            <w:pPr>
              <w:spacing w:line="240" w:lineRule="auto"/>
              <w:jc w:val="right"/>
            </w:pPr>
            <w:r>
              <w:rPr>
                <w:rFonts w:ascii="宋体" w:hAnsi="宋体" w:eastAsia="宋体" w:cs="宋体"/>
                <w:b w:val="0"/>
              </w:rPr>
              <w:t>1.01%</w:t>
            </w:r>
          </w:p>
        </w:tc>
        <w:tc>
          <w:tcPr>
            <w:tcW w:w="0" w:type="dxa"/>
            <w:vAlign w:val="center"/>
          </w:tcPr>
          <w:p>
            <w:pPr>
              <w:spacing w:line="240" w:lineRule="auto"/>
              <w:jc w:val="right"/>
            </w:pPr>
            <w:r>
              <w:rPr>
                <w:rFonts w:ascii="宋体" w:hAnsi="宋体" w:eastAsia="宋体" w:cs="宋体"/>
                <w:b w:val="0"/>
              </w:rPr>
              <w:t>-11.07%</w:t>
            </w:r>
          </w:p>
        </w:tc>
        <w:tc>
          <w:tcPr>
            <w:tcW w:w="0" w:type="dxa"/>
            <w:vAlign w:val="center"/>
          </w:tcPr>
          <w:p>
            <w:pPr>
              <w:spacing w:line="240" w:lineRule="auto"/>
              <w:jc w:val="right"/>
            </w:pPr>
            <w:r>
              <w:rPr>
                <w:rFonts w:ascii="宋体" w:hAnsi="宋体" w:eastAsia="宋体" w:cs="宋体"/>
                <w:b w:val="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过去五年</w:t>
            </w:r>
          </w:p>
        </w:tc>
        <w:tc>
          <w:tcPr>
            <w:tcW w:w="0" w:type="dxa"/>
            <w:vAlign w:val="center"/>
          </w:tcPr>
          <w:p>
            <w:pPr>
              <w:spacing w:line="240" w:lineRule="auto"/>
              <w:jc w:val="right"/>
            </w:pPr>
            <w:r>
              <w:rPr>
                <w:rFonts w:ascii="宋体" w:hAnsi="宋体" w:eastAsia="宋体" w:cs="宋体"/>
                <w:b w:val="0"/>
              </w:rPr>
              <w:t>-23.07%</w:t>
            </w:r>
          </w:p>
        </w:tc>
        <w:tc>
          <w:tcPr>
            <w:tcW w:w="0" w:type="dxa"/>
            <w:vAlign w:val="center"/>
          </w:tcPr>
          <w:p>
            <w:pPr>
              <w:spacing w:line="240" w:lineRule="auto"/>
              <w:jc w:val="right"/>
            </w:pPr>
            <w:r>
              <w:rPr>
                <w:rFonts w:ascii="宋体" w:hAnsi="宋体" w:eastAsia="宋体" w:cs="宋体"/>
                <w:b w:val="0"/>
              </w:rPr>
              <w:t>1.82%</w:t>
            </w:r>
          </w:p>
        </w:tc>
        <w:tc>
          <w:tcPr>
            <w:tcW w:w="0" w:type="dxa"/>
            <w:vAlign w:val="center"/>
          </w:tcPr>
          <w:p>
            <w:pPr>
              <w:spacing w:line="240" w:lineRule="auto"/>
              <w:jc w:val="right"/>
            </w:pPr>
            <w:r>
              <w:rPr>
                <w:rFonts w:ascii="宋体" w:hAnsi="宋体" w:eastAsia="宋体" w:cs="宋体"/>
                <w:b w:val="0"/>
              </w:rPr>
              <w:t>9.66%</w:t>
            </w:r>
          </w:p>
        </w:tc>
        <w:tc>
          <w:tcPr>
            <w:tcW w:w="0" w:type="dxa"/>
            <w:vAlign w:val="center"/>
          </w:tcPr>
          <w:p>
            <w:pPr>
              <w:spacing w:line="240" w:lineRule="auto"/>
              <w:jc w:val="right"/>
            </w:pPr>
            <w:r>
              <w:rPr>
                <w:rFonts w:ascii="宋体" w:hAnsi="宋体" w:eastAsia="宋体" w:cs="宋体"/>
                <w:b w:val="0"/>
              </w:rPr>
              <w:t>1.02%</w:t>
            </w:r>
          </w:p>
        </w:tc>
        <w:tc>
          <w:tcPr>
            <w:tcW w:w="0" w:type="dxa"/>
            <w:vAlign w:val="center"/>
          </w:tcPr>
          <w:p>
            <w:pPr>
              <w:spacing w:line="240" w:lineRule="auto"/>
              <w:jc w:val="right"/>
            </w:pPr>
            <w:r>
              <w:rPr>
                <w:rFonts w:ascii="宋体" w:hAnsi="宋体" w:eastAsia="宋体" w:cs="宋体"/>
                <w:b w:val="0"/>
              </w:rPr>
              <w:t>-32.73%</w:t>
            </w:r>
          </w:p>
        </w:tc>
        <w:tc>
          <w:tcPr>
            <w:tcW w:w="0" w:type="dxa"/>
            <w:vAlign w:val="center"/>
          </w:tcPr>
          <w:p>
            <w:pPr>
              <w:spacing w:line="240" w:lineRule="auto"/>
              <w:jc w:val="right"/>
            </w:pPr>
            <w:r>
              <w:rPr>
                <w:rFonts w:ascii="宋体" w:hAnsi="宋体" w:eastAsia="宋体" w:cs="宋体"/>
                <w:b w:val="0"/>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19.51%</w:t>
            </w:r>
          </w:p>
        </w:tc>
        <w:tc>
          <w:tcPr>
            <w:tcW w:w="0" w:type="dxa"/>
            <w:vAlign w:val="center"/>
          </w:tcPr>
          <w:p>
            <w:pPr>
              <w:spacing w:line="240" w:lineRule="auto"/>
              <w:jc w:val="right"/>
            </w:pPr>
            <w:r>
              <w:rPr>
                <w:rFonts w:ascii="宋体" w:hAnsi="宋体" w:eastAsia="宋体" w:cs="宋体"/>
                <w:b w:val="0"/>
              </w:rPr>
              <w:t>1.79%</w:t>
            </w:r>
          </w:p>
        </w:tc>
        <w:tc>
          <w:tcPr>
            <w:tcW w:w="0" w:type="dxa"/>
            <w:vAlign w:val="center"/>
          </w:tcPr>
          <w:p>
            <w:pPr>
              <w:spacing w:line="240" w:lineRule="auto"/>
              <w:jc w:val="right"/>
            </w:pPr>
            <w:r>
              <w:rPr>
                <w:rFonts w:ascii="宋体" w:hAnsi="宋体" w:eastAsia="宋体" w:cs="宋体"/>
                <w:b w:val="0"/>
              </w:rPr>
              <w:t>23.55%</w:t>
            </w:r>
          </w:p>
        </w:tc>
        <w:tc>
          <w:tcPr>
            <w:tcW w:w="0" w:type="dxa"/>
            <w:vAlign w:val="center"/>
          </w:tcPr>
          <w:p>
            <w:pPr>
              <w:spacing w:line="240" w:lineRule="auto"/>
              <w:jc w:val="right"/>
            </w:pPr>
            <w:r>
              <w:rPr>
                <w:rFonts w:ascii="宋体" w:hAnsi="宋体" w:eastAsia="宋体" w:cs="宋体"/>
                <w:b w:val="0"/>
              </w:rPr>
              <w:t>1.05%</w:t>
            </w:r>
          </w:p>
        </w:tc>
        <w:tc>
          <w:tcPr>
            <w:tcW w:w="0" w:type="dxa"/>
            <w:vAlign w:val="center"/>
          </w:tcPr>
          <w:p>
            <w:pPr>
              <w:spacing w:line="240" w:lineRule="auto"/>
              <w:jc w:val="right"/>
            </w:pPr>
            <w:r>
              <w:rPr>
                <w:rFonts w:ascii="宋体" w:hAnsi="宋体" w:eastAsia="宋体" w:cs="宋体"/>
                <w:b w:val="0"/>
              </w:rPr>
              <w:t>-4.04%</w:t>
            </w:r>
          </w:p>
        </w:tc>
        <w:tc>
          <w:tcPr>
            <w:tcW w:w="0" w:type="dxa"/>
            <w:vAlign w:val="center"/>
          </w:tcPr>
          <w:p>
            <w:pPr>
              <w:spacing w:line="240" w:lineRule="auto"/>
              <w:jc w:val="right"/>
            </w:pPr>
            <w:r>
              <w:rPr>
                <w:rFonts w:ascii="宋体" w:hAnsi="宋体" w:eastAsia="宋体" w:cs="宋体"/>
                <w:b w:val="0"/>
              </w:rPr>
              <w:t>0.74%</w:t>
            </w:r>
          </w:p>
        </w:tc>
      </w:tr>
    </w:tbl>
    <w:p>
      <w:r>
        <w:rPr>
          <w:rFonts w:ascii="宋体" w:hAnsi="宋体" w:eastAsia="宋体" w:cs="宋体"/>
          <w:b w:val="0"/>
        </w:rPr>
        <w:t>注：本基金业绩比较基准为：中证800指数收益率×80%+中证综合债券指数收益率×10%+恒生指数收益率×10%</w:t>
      </w:r>
    </w:p>
    <w:p/>
    <w:p>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2023-03-03</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无。</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进入三季度，经济继续保持了二季度的稳健增长态势，此前大家担心的三季度经济指标可能恶化的状况并未出现。特别是出口增速一直维持在高个位数增长，这在一定程度上对中国经济增长起到了稳定作用。我们相信，随着时间推移，我们在对美交涉以及经济、科技等多方面的应对将更加从容，这也将有助于保持进出口的稳健势头。在出口形势良好的背景下，财政政策并未过度刺激，从而保留了宝贵的政策空间。鉴于当前经济的稳健势头，预计今年有望完成全年5%的经济增长目标。</w:t>
      </w:r>
      <w:r>
        <w:rPr>
          <w:rFonts w:ascii="宋体" w:hAnsi="宋体" w:eastAsia="宋体" w:cs="宋体"/>
          <w:b w:val="0"/>
        </w:rPr>
        <w:cr/>
      </w:r>
      <w:r>
        <w:rPr>
          <w:rFonts w:ascii="宋体" w:hAnsi="宋体" w:eastAsia="宋体" w:cs="宋体"/>
          <w:b w:val="0"/>
        </w:rPr>
        <w:t xml:space="preserve">    资本市场也呈现出稳健向上的态势。经历了4月份的大幅下跌之后，市场看到了国家稳定资本市场的决心和能力。随着长期资金的纷纷入场，以及更多投资者的积极参与，各大指数稳步上扬。期间，随着AI大模型和具身智能大模型的发展，海外算力、国产算力、存储等板块出现了显著的上涨。与此同时，随着特斯拉在人形机器人领域不断取得可喜的进展，以及特斯拉机器人团队频繁来华审厂的催化，特斯拉机器人产业链也迎来了较好的上涨势头。国产机器人的进展同样迅猛，各家机器人厂商都取得了可观的订单，同时多家机器人公司的上市也提上了日程，国产机器人产业链呈现出百花齐放的态势。</w:t>
      </w:r>
      <w:r>
        <w:rPr>
          <w:rFonts w:ascii="宋体" w:hAnsi="宋体" w:eastAsia="宋体" w:cs="宋体"/>
          <w:b w:val="0"/>
        </w:rPr>
        <w:cr/>
      </w:r>
      <w:r>
        <w:rPr>
          <w:rFonts w:ascii="宋体" w:hAnsi="宋体" w:eastAsia="宋体" w:cs="宋体"/>
          <w:b w:val="0"/>
        </w:rPr>
        <w:t xml:space="preserve">    展望四季度，人形机器人板块将有更多值得期待的机会。11月份，特斯拉将在股东大会上展示即将定型的最新人形机器人，这款机器人将接近明年的量产版本。在这一过程中，真正能够进入特斯拉产业链的公司将逐渐明确，这些公司有望迎来一波不错的行情。同时，随着国内头部机器人公司的上市，国产机器人产业链上的公司也将迎来良好的投资机会。除此之外，机器狗、养老机器人、新技术等方向也值得关注。由于这些领域此前关注度不高，其估值更具性价比优势。</w:t>
      </w:r>
      <w:r>
        <w:rPr>
          <w:rFonts w:ascii="宋体" w:hAnsi="宋体" w:eastAsia="宋体" w:cs="宋体"/>
          <w:b w:val="0"/>
        </w:rPr>
        <w:cr/>
      </w:r>
      <w:r>
        <w:rPr>
          <w:rFonts w:ascii="宋体" w:hAnsi="宋体" w:eastAsia="宋体" w:cs="宋体"/>
          <w:b w:val="0"/>
        </w:rPr>
        <w:t xml:space="preserve">    本基金将重点聚焦于人形机器人产业链，为大家把握产业链的变化，找到行业中最具受益潜力的方向，为大家创造价值。</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优选混合A基金份额净值为1.2318元，本报告期内，该类基金份额净值增长率为38.51%，同期业绩比较基准收益率为16.79%；截至报告期末东方阿尔法优选混合C基金份额净值为1.1951元，本报告期内，该类基金份额净值增长率为38.34%，同期业绩比较基准收益率为16.79%。</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1,553,821,041.94</w:t>
            </w:r>
          </w:p>
        </w:tc>
        <w:tc>
          <w:tcPr>
            <w:tcW w:w="0" w:type="dxa"/>
            <w:vAlign w:val="center"/>
          </w:tcPr>
          <w:p>
            <w:pPr>
              <w:spacing w:line="240" w:lineRule="auto"/>
              <w:jc w:val="right"/>
            </w:pPr>
            <w:r>
              <w:rPr>
                <w:rFonts w:ascii="宋体" w:hAnsi="宋体" w:eastAsia="宋体" w:cs="宋体"/>
                <w:b w:val="0"/>
              </w:rPr>
              <w:t>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1,553,821,041.94</w:t>
            </w:r>
          </w:p>
        </w:tc>
        <w:tc>
          <w:tcPr>
            <w:tcW w:w="0" w:type="dxa"/>
            <w:vAlign w:val="center"/>
          </w:tcPr>
          <w:p>
            <w:pPr>
              <w:spacing w:line="240" w:lineRule="auto"/>
              <w:jc w:val="right"/>
            </w:pPr>
            <w:r>
              <w:rPr>
                <w:rFonts w:ascii="宋体" w:hAnsi="宋体" w:eastAsia="宋体" w:cs="宋体"/>
                <w:b w:val="0"/>
              </w:rPr>
              <w:t>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91,211,846.96</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91,211,846.96</w:t>
            </w:r>
          </w:p>
        </w:tc>
        <w:tc>
          <w:tcPr>
            <w:tcW w:w="0" w:type="dxa"/>
            <w:vAlign w:val="center"/>
          </w:tcPr>
          <w:p>
            <w:pPr>
              <w:spacing w:line="240" w:lineRule="auto"/>
              <w:jc w:val="right"/>
            </w:pPr>
            <w:r>
              <w:rPr>
                <w:rFonts w:ascii="宋体" w:hAnsi="宋体" w:eastAsia="宋体" w:cs="宋体"/>
                <w:b w:val="0"/>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-11,976.44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78,266,312.88</w:t>
            </w:r>
          </w:p>
        </w:tc>
        <w:tc>
          <w:tcPr>
            <w:tcW w:w="0" w:type="dxa"/>
            <w:vAlign w:val="center"/>
          </w:tcPr>
          <w:p>
            <w:pPr>
              <w:spacing w:line="240" w:lineRule="auto"/>
              <w:jc w:val="right"/>
            </w:pPr>
            <w:r>
              <w:rPr>
                <w:rFonts w:ascii="宋体" w:hAnsi="宋体" w:eastAsia="宋体" w:cs="宋体"/>
                <w:b w:val="0"/>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18,152,931.55</w:t>
            </w:r>
          </w:p>
        </w:tc>
        <w:tc>
          <w:tcPr>
            <w:tcW w:w="0" w:type="dxa"/>
            <w:vAlign w:val="center"/>
          </w:tcPr>
          <w:p>
            <w:pPr>
              <w:spacing w:line="240" w:lineRule="auto"/>
              <w:jc w:val="right"/>
            </w:pPr>
            <w:r>
              <w:rPr>
                <w:rFonts w:ascii="宋体" w:hAnsi="宋体" w:eastAsia="宋体" w:cs="宋体"/>
                <w:b w:val="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1,741,440,156.89</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注：报告期末本基金通过港股通交易机制投资的港股公允价值合计68,191,580.90元，占基金资产净值的比例为4.16%。</w:t>
      </w:r>
    </w:p>
    <w:p/>
    <w:p>
      <w:pPr>
        <w:pStyle w:val="3"/>
        <w:jc w:val="left"/>
      </w:pPr>
      <w:r>
        <w:rPr>
          <w:rFonts w:ascii="宋体" w:hAnsi="宋体" w:eastAsia="宋体" w:cs="宋体"/>
        </w:rPr>
        <w:t>5.2 报告期末按行业分类的股票投资组合</w:t>
      </w:r>
    </w:p>
    <w:p>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1,452,401,109.93</w:t>
            </w:r>
          </w:p>
        </w:tc>
        <w:tc>
          <w:tcPr>
            <w:tcW w:w="0" w:type="dxa"/>
            <w:vAlign w:val="center"/>
          </w:tcPr>
          <w:p>
            <w:pPr>
              <w:spacing w:line="240" w:lineRule="auto"/>
              <w:jc w:val="right"/>
            </w:pPr>
            <w:r>
              <w:rPr>
                <w:rFonts w:ascii="宋体" w:hAnsi="宋体" w:eastAsia="宋体" w:cs="宋体"/>
                <w:b w:val="0"/>
              </w:rPr>
              <w:t>88.64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128,791.71</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33,086,150.76</w:t>
            </w:r>
          </w:p>
        </w:tc>
        <w:tc>
          <w:tcPr>
            <w:tcW w:w="0" w:type="dxa"/>
            <w:vAlign w:val="center"/>
          </w:tcPr>
          <w:p>
            <w:pPr>
              <w:spacing w:line="240" w:lineRule="auto"/>
              <w:jc w:val="right"/>
            </w:pPr>
            <w:r>
              <w:rPr>
                <w:rFonts w:ascii="宋体" w:hAnsi="宋体" w:eastAsia="宋体" w:cs="宋体"/>
                <w:b w:val="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13,408.64</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1,485,629,461.04</w:t>
            </w:r>
          </w:p>
        </w:tc>
        <w:tc>
          <w:tcPr>
            <w:tcW w:w="0" w:type="dxa"/>
            <w:vAlign w:val="center"/>
          </w:tcPr>
          <w:p>
            <w:pPr>
              <w:spacing w:line="240" w:lineRule="auto"/>
              <w:jc w:val="right"/>
            </w:pPr>
            <w:r>
              <w:rPr>
                <w:rFonts w:ascii="宋体" w:hAnsi="宋体" w:eastAsia="宋体" w:cs="宋体"/>
                <w:b w:val="0"/>
              </w:rPr>
              <w:t>90.66</w:t>
            </w:r>
          </w:p>
        </w:tc>
      </w:tr>
    </w:tbl>
    <w:p/>
    <w:p>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非日常生活消费品</w:t>
            </w:r>
          </w:p>
        </w:tc>
        <w:tc>
          <w:tcPr>
            <w:tcW w:w="0" w:type="dxa"/>
            <w:vAlign w:val="center"/>
          </w:tcPr>
          <w:p>
            <w:pPr>
              <w:spacing w:line="240" w:lineRule="auto"/>
              <w:jc w:val="right"/>
            </w:pPr>
            <w:r>
              <w:rPr>
                <w:rFonts w:ascii="宋体" w:hAnsi="宋体" w:eastAsia="宋体" w:cs="宋体"/>
                <w:b w:val="0"/>
              </w:rPr>
              <w:t>31,584,543.10</w:t>
            </w:r>
          </w:p>
        </w:tc>
        <w:tc>
          <w:tcPr>
            <w:tcW w:w="0" w:type="dxa"/>
            <w:vAlign w:val="center"/>
          </w:tcPr>
          <w:p>
            <w:pPr>
              <w:spacing w:line="240" w:lineRule="auto"/>
              <w:jc w:val="right"/>
            </w:pPr>
            <w:r>
              <w:rPr>
                <w:rFonts w:ascii="宋体" w:hAnsi="宋体" w:eastAsia="宋体" w:cs="宋体"/>
                <w:b w:val="0"/>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信息技术</w:t>
            </w:r>
          </w:p>
        </w:tc>
        <w:tc>
          <w:tcPr>
            <w:tcW w:w="0" w:type="dxa"/>
            <w:vAlign w:val="center"/>
          </w:tcPr>
          <w:p>
            <w:pPr>
              <w:spacing w:line="240" w:lineRule="auto"/>
              <w:jc w:val="right"/>
            </w:pPr>
            <w:r>
              <w:rPr>
                <w:rFonts w:ascii="宋体" w:hAnsi="宋体" w:eastAsia="宋体" w:cs="宋体"/>
                <w:b w:val="0"/>
              </w:rPr>
              <w:t>24,325,849.96</w:t>
            </w:r>
          </w:p>
        </w:tc>
        <w:tc>
          <w:tcPr>
            <w:tcW w:w="0" w:type="dxa"/>
            <w:vAlign w:val="center"/>
          </w:tcPr>
          <w:p>
            <w:pPr>
              <w:spacing w:line="240" w:lineRule="auto"/>
              <w:jc w:val="right"/>
            </w:pPr>
            <w:r>
              <w:rPr>
                <w:rFonts w:ascii="宋体" w:hAnsi="宋体" w:eastAsia="宋体" w:cs="宋体"/>
                <w:b w:val="0"/>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w:t>
            </w:r>
          </w:p>
        </w:tc>
        <w:tc>
          <w:tcPr>
            <w:tcW w:w="0" w:type="dxa"/>
            <w:vAlign w:val="center"/>
          </w:tcPr>
          <w:p>
            <w:pPr>
              <w:spacing w:line="240" w:lineRule="auto"/>
              <w:jc w:val="right"/>
            </w:pPr>
            <w:r>
              <w:rPr>
                <w:rFonts w:ascii="宋体" w:hAnsi="宋体" w:eastAsia="宋体" w:cs="宋体"/>
                <w:b w:val="0"/>
              </w:rPr>
              <w:t>12,281,187.84</w:t>
            </w:r>
          </w:p>
        </w:tc>
        <w:tc>
          <w:tcPr>
            <w:tcW w:w="0" w:type="dxa"/>
            <w:vAlign w:val="center"/>
          </w:tcPr>
          <w:p>
            <w:pPr>
              <w:spacing w:line="240" w:lineRule="auto"/>
              <w:jc w:val="right"/>
            </w:pPr>
            <w:r>
              <w:rPr>
                <w:rFonts w:ascii="宋体" w:hAnsi="宋体" w:eastAsia="宋体" w:cs="宋体"/>
                <w:b w:val="0"/>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68,191,580.90</w:t>
            </w:r>
          </w:p>
        </w:tc>
        <w:tc>
          <w:tcPr>
            <w:tcW w:w="0" w:type="dxa"/>
            <w:vAlign w:val="center"/>
          </w:tcPr>
          <w:p>
            <w:pPr>
              <w:spacing w:line="240" w:lineRule="auto"/>
              <w:jc w:val="right"/>
            </w:pPr>
            <w:r>
              <w:rPr>
                <w:rFonts w:ascii="宋体" w:hAnsi="宋体" w:eastAsia="宋体" w:cs="宋体"/>
                <w:b w:val="0"/>
              </w:rPr>
              <w:t>4.16</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603119</w:t>
            </w:r>
          </w:p>
        </w:tc>
        <w:tc>
          <w:tcPr>
            <w:tcW w:w="0" w:type="dxa"/>
            <w:vAlign w:val="center"/>
          </w:tcPr>
          <w:p>
            <w:pPr>
              <w:spacing w:line="240" w:lineRule="auto"/>
              <w:jc w:val="left"/>
            </w:pPr>
            <w:r>
              <w:rPr>
                <w:rFonts w:ascii="宋体" w:hAnsi="宋体" w:eastAsia="宋体" w:cs="宋体"/>
                <w:b w:val="0"/>
              </w:rPr>
              <w:t>浙江荣泰</w:t>
            </w:r>
          </w:p>
        </w:tc>
        <w:tc>
          <w:tcPr>
            <w:tcW w:w="0" w:type="dxa"/>
            <w:vAlign w:val="center"/>
          </w:tcPr>
          <w:p>
            <w:pPr>
              <w:spacing w:line="240" w:lineRule="auto"/>
              <w:jc w:val="right"/>
            </w:pPr>
            <w:r>
              <w:rPr>
                <w:rFonts w:ascii="宋体" w:hAnsi="宋体" w:eastAsia="宋体" w:cs="宋体"/>
                <w:b w:val="0"/>
              </w:rPr>
              <w:t>902,910</w:t>
            </w:r>
          </w:p>
        </w:tc>
        <w:tc>
          <w:tcPr>
            <w:tcW w:w="0" w:type="dxa"/>
            <w:vAlign w:val="center"/>
          </w:tcPr>
          <w:p>
            <w:pPr>
              <w:spacing w:line="240" w:lineRule="auto"/>
              <w:jc w:val="right"/>
            </w:pPr>
            <w:r>
              <w:rPr>
                <w:rFonts w:ascii="宋体" w:hAnsi="宋体" w:eastAsia="宋体" w:cs="宋体"/>
                <w:b w:val="0"/>
              </w:rPr>
              <w:t>101,649,607.80</w:t>
            </w:r>
          </w:p>
        </w:tc>
        <w:tc>
          <w:tcPr>
            <w:tcW w:w="0" w:type="dxa"/>
            <w:vAlign w:val="center"/>
          </w:tcPr>
          <w:p>
            <w:pPr>
              <w:spacing w:line="240" w:lineRule="auto"/>
              <w:jc w:val="right"/>
            </w:pPr>
            <w:r>
              <w:rPr>
                <w:rFonts w:ascii="宋体" w:hAnsi="宋体" w:eastAsia="宋体" w:cs="宋体"/>
                <w:b w:val="0"/>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301196</w:t>
            </w:r>
          </w:p>
        </w:tc>
        <w:tc>
          <w:tcPr>
            <w:tcW w:w="0" w:type="dxa"/>
            <w:vAlign w:val="center"/>
          </w:tcPr>
          <w:p>
            <w:pPr>
              <w:spacing w:line="240" w:lineRule="auto"/>
              <w:jc w:val="left"/>
            </w:pPr>
            <w:r>
              <w:rPr>
                <w:rFonts w:ascii="宋体" w:hAnsi="宋体" w:eastAsia="宋体" w:cs="宋体"/>
                <w:b w:val="0"/>
              </w:rPr>
              <w:t>唯科科技</w:t>
            </w:r>
          </w:p>
        </w:tc>
        <w:tc>
          <w:tcPr>
            <w:tcW w:w="0" w:type="dxa"/>
            <w:vAlign w:val="center"/>
          </w:tcPr>
          <w:p>
            <w:pPr>
              <w:spacing w:line="240" w:lineRule="auto"/>
              <w:jc w:val="right"/>
            </w:pPr>
            <w:r>
              <w:rPr>
                <w:rFonts w:ascii="宋体" w:hAnsi="宋体" w:eastAsia="宋体" w:cs="宋体"/>
                <w:b w:val="0"/>
              </w:rPr>
              <w:t>1,019,300</w:t>
            </w:r>
          </w:p>
        </w:tc>
        <w:tc>
          <w:tcPr>
            <w:tcW w:w="0" w:type="dxa"/>
            <w:vAlign w:val="center"/>
          </w:tcPr>
          <w:p>
            <w:pPr>
              <w:spacing w:line="240" w:lineRule="auto"/>
              <w:jc w:val="right"/>
            </w:pPr>
            <w:r>
              <w:rPr>
                <w:rFonts w:ascii="宋体" w:hAnsi="宋体" w:eastAsia="宋体" w:cs="宋体"/>
                <w:b w:val="0"/>
              </w:rPr>
              <w:t>97,628,554.00</w:t>
            </w:r>
          </w:p>
        </w:tc>
        <w:tc>
          <w:tcPr>
            <w:tcW w:w="0" w:type="dxa"/>
            <w:vAlign w:val="center"/>
          </w:tcPr>
          <w:p>
            <w:pPr>
              <w:spacing w:line="240" w:lineRule="auto"/>
              <w:jc w:val="right"/>
            </w:pPr>
            <w:r>
              <w:rPr>
                <w:rFonts w:ascii="宋体" w:hAnsi="宋体" w:eastAsia="宋体" w:cs="宋体"/>
                <w:b w:val="0"/>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300953</w:t>
            </w:r>
          </w:p>
        </w:tc>
        <w:tc>
          <w:tcPr>
            <w:tcW w:w="0" w:type="dxa"/>
            <w:vAlign w:val="center"/>
          </w:tcPr>
          <w:p>
            <w:pPr>
              <w:spacing w:line="240" w:lineRule="auto"/>
              <w:jc w:val="left"/>
            </w:pPr>
            <w:r>
              <w:rPr>
                <w:rFonts w:ascii="宋体" w:hAnsi="宋体" w:eastAsia="宋体" w:cs="宋体"/>
                <w:b w:val="0"/>
              </w:rPr>
              <w:t>震裕科技</w:t>
            </w:r>
          </w:p>
        </w:tc>
        <w:tc>
          <w:tcPr>
            <w:tcW w:w="0" w:type="dxa"/>
            <w:vAlign w:val="center"/>
          </w:tcPr>
          <w:p>
            <w:pPr>
              <w:spacing w:line="240" w:lineRule="auto"/>
              <w:jc w:val="right"/>
            </w:pPr>
            <w:r>
              <w:rPr>
                <w:rFonts w:ascii="宋体" w:hAnsi="宋体" w:eastAsia="宋体" w:cs="宋体"/>
                <w:b w:val="0"/>
              </w:rPr>
              <w:t>435,780</w:t>
            </w:r>
          </w:p>
        </w:tc>
        <w:tc>
          <w:tcPr>
            <w:tcW w:w="0" w:type="dxa"/>
            <w:vAlign w:val="center"/>
          </w:tcPr>
          <w:p>
            <w:pPr>
              <w:spacing w:line="240" w:lineRule="auto"/>
              <w:jc w:val="right"/>
            </w:pPr>
            <w:r>
              <w:rPr>
                <w:rFonts w:ascii="宋体" w:hAnsi="宋体" w:eastAsia="宋体" w:cs="宋体"/>
                <w:b w:val="0"/>
              </w:rPr>
              <w:t>82,009,438.20</w:t>
            </w:r>
          </w:p>
        </w:tc>
        <w:tc>
          <w:tcPr>
            <w:tcW w:w="0" w:type="dxa"/>
            <w:vAlign w:val="center"/>
          </w:tcPr>
          <w:p>
            <w:pPr>
              <w:spacing w:line="240" w:lineRule="auto"/>
              <w:jc w:val="right"/>
            </w:pPr>
            <w:r>
              <w:rPr>
                <w:rFonts w:ascii="宋体" w:hAnsi="宋体" w:eastAsia="宋体" w:cs="宋体"/>
                <w:b w:val="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603009</w:t>
            </w:r>
          </w:p>
        </w:tc>
        <w:tc>
          <w:tcPr>
            <w:tcW w:w="0" w:type="dxa"/>
            <w:vAlign w:val="center"/>
          </w:tcPr>
          <w:p>
            <w:pPr>
              <w:spacing w:line="240" w:lineRule="auto"/>
              <w:jc w:val="left"/>
            </w:pPr>
            <w:r>
              <w:rPr>
                <w:rFonts w:ascii="宋体" w:hAnsi="宋体" w:eastAsia="宋体" w:cs="宋体"/>
                <w:b w:val="0"/>
              </w:rPr>
              <w:t>北特科技</w:t>
            </w:r>
          </w:p>
        </w:tc>
        <w:tc>
          <w:tcPr>
            <w:tcW w:w="0" w:type="dxa"/>
            <w:vAlign w:val="center"/>
          </w:tcPr>
          <w:p>
            <w:pPr>
              <w:spacing w:line="240" w:lineRule="auto"/>
              <w:jc w:val="right"/>
            </w:pPr>
            <w:r>
              <w:rPr>
                <w:rFonts w:ascii="宋体" w:hAnsi="宋体" w:eastAsia="宋体" w:cs="宋体"/>
                <w:b w:val="0"/>
              </w:rPr>
              <w:t>1,257,200</w:t>
            </w:r>
          </w:p>
        </w:tc>
        <w:tc>
          <w:tcPr>
            <w:tcW w:w="0" w:type="dxa"/>
            <w:vAlign w:val="center"/>
          </w:tcPr>
          <w:p>
            <w:pPr>
              <w:spacing w:line="240" w:lineRule="auto"/>
              <w:jc w:val="right"/>
            </w:pPr>
            <w:r>
              <w:rPr>
                <w:rFonts w:ascii="宋体" w:hAnsi="宋体" w:eastAsia="宋体" w:cs="宋体"/>
                <w:b w:val="0"/>
              </w:rPr>
              <w:t>69,309,436.00</w:t>
            </w:r>
          </w:p>
        </w:tc>
        <w:tc>
          <w:tcPr>
            <w:tcW w:w="0" w:type="dxa"/>
            <w:vAlign w:val="center"/>
          </w:tcPr>
          <w:p>
            <w:pPr>
              <w:spacing w:line="240" w:lineRule="auto"/>
              <w:jc w:val="right"/>
            </w:pPr>
            <w:r>
              <w:rPr>
                <w:rFonts w:ascii="宋体" w:hAnsi="宋体" w:eastAsia="宋体" w:cs="宋体"/>
                <w:b w:val="0"/>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605488</w:t>
            </w:r>
          </w:p>
        </w:tc>
        <w:tc>
          <w:tcPr>
            <w:tcW w:w="0" w:type="dxa"/>
            <w:vAlign w:val="center"/>
          </w:tcPr>
          <w:p>
            <w:pPr>
              <w:spacing w:line="240" w:lineRule="auto"/>
              <w:jc w:val="left"/>
            </w:pPr>
            <w:r>
              <w:rPr>
                <w:rFonts w:ascii="宋体" w:hAnsi="宋体" w:eastAsia="宋体" w:cs="宋体"/>
                <w:b w:val="0"/>
              </w:rPr>
              <w:t>福莱新材</w:t>
            </w:r>
          </w:p>
        </w:tc>
        <w:tc>
          <w:tcPr>
            <w:tcW w:w="0" w:type="dxa"/>
            <w:vAlign w:val="center"/>
          </w:tcPr>
          <w:p>
            <w:pPr>
              <w:spacing w:line="240" w:lineRule="auto"/>
              <w:jc w:val="right"/>
            </w:pPr>
            <w:r>
              <w:rPr>
                <w:rFonts w:ascii="宋体" w:hAnsi="宋体" w:eastAsia="宋体" w:cs="宋体"/>
                <w:b w:val="0"/>
              </w:rPr>
              <w:t>1,906,440</w:t>
            </w:r>
          </w:p>
        </w:tc>
        <w:tc>
          <w:tcPr>
            <w:tcW w:w="0" w:type="dxa"/>
            <w:vAlign w:val="center"/>
          </w:tcPr>
          <w:p>
            <w:pPr>
              <w:spacing w:line="240" w:lineRule="auto"/>
              <w:jc w:val="right"/>
            </w:pPr>
            <w:r>
              <w:rPr>
                <w:rFonts w:ascii="宋体" w:hAnsi="宋体" w:eastAsia="宋体" w:cs="宋体"/>
                <w:b w:val="0"/>
              </w:rPr>
              <w:t>68,917,806.00</w:t>
            </w:r>
          </w:p>
        </w:tc>
        <w:tc>
          <w:tcPr>
            <w:tcW w:w="0" w:type="dxa"/>
            <w:vAlign w:val="center"/>
          </w:tcPr>
          <w:p>
            <w:pPr>
              <w:spacing w:line="240" w:lineRule="auto"/>
              <w:jc w:val="right"/>
            </w:pPr>
            <w:r>
              <w:rPr>
                <w:rFonts w:ascii="宋体" w:hAnsi="宋体" w:eastAsia="宋体" w:cs="宋体"/>
                <w:b w:val="0"/>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603809</w:t>
            </w:r>
          </w:p>
        </w:tc>
        <w:tc>
          <w:tcPr>
            <w:tcW w:w="0" w:type="dxa"/>
            <w:vAlign w:val="center"/>
          </w:tcPr>
          <w:p>
            <w:pPr>
              <w:spacing w:line="240" w:lineRule="auto"/>
              <w:jc w:val="left"/>
            </w:pPr>
            <w:r>
              <w:rPr>
                <w:rFonts w:ascii="宋体" w:hAnsi="宋体" w:eastAsia="宋体" w:cs="宋体"/>
                <w:b w:val="0"/>
              </w:rPr>
              <w:t>豪能股份</w:t>
            </w:r>
          </w:p>
        </w:tc>
        <w:tc>
          <w:tcPr>
            <w:tcW w:w="0" w:type="dxa"/>
            <w:vAlign w:val="center"/>
          </w:tcPr>
          <w:p>
            <w:pPr>
              <w:spacing w:line="240" w:lineRule="auto"/>
              <w:jc w:val="right"/>
            </w:pPr>
            <w:r>
              <w:rPr>
                <w:rFonts w:ascii="宋体" w:hAnsi="宋体" w:eastAsia="宋体" w:cs="宋体"/>
                <w:b w:val="0"/>
              </w:rPr>
              <w:t>3,728,172</w:t>
            </w:r>
          </w:p>
        </w:tc>
        <w:tc>
          <w:tcPr>
            <w:tcW w:w="0" w:type="dxa"/>
            <w:vAlign w:val="center"/>
          </w:tcPr>
          <w:p>
            <w:pPr>
              <w:spacing w:line="240" w:lineRule="auto"/>
              <w:jc w:val="right"/>
            </w:pPr>
            <w:r>
              <w:rPr>
                <w:rFonts w:ascii="宋体" w:hAnsi="宋体" w:eastAsia="宋体" w:cs="宋体"/>
                <w:b w:val="0"/>
              </w:rPr>
              <w:t>61,999,500.36</w:t>
            </w:r>
          </w:p>
        </w:tc>
        <w:tc>
          <w:tcPr>
            <w:tcW w:w="0" w:type="dxa"/>
            <w:vAlign w:val="center"/>
          </w:tcPr>
          <w:p>
            <w:pPr>
              <w:spacing w:line="240" w:lineRule="auto"/>
              <w:jc w:val="right"/>
            </w:pPr>
            <w:r>
              <w:rPr>
                <w:rFonts w:ascii="宋体" w:hAnsi="宋体" w:eastAsia="宋体" w:cs="宋体"/>
                <w:b w:val="0"/>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301550</w:t>
            </w:r>
          </w:p>
        </w:tc>
        <w:tc>
          <w:tcPr>
            <w:tcW w:w="0" w:type="dxa"/>
            <w:vAlign w:val="center"/>
          </w:tcPr>
          <w:p>
            <w:pPr>
              <w:spacing w:line="240" w:lineRule="auto"/>
              <w:jc w:val="left"/>
            </w:pPr>
            <w:r>
              <w:rPr>
                <w:rFonts w:ascii="宋体" w:hAnsi="宋体" w:eastAsia="宋体" w:cs="宋体"/>
                <w:b w:val="0"/>
              </w:rPr>
              <w:t>斯菱股份</w:t>
            </w:r>
          </w:p>
        </w:tc>
        <w:tc>
          <w:tcPr>
            <w:tcW w:w="0" w:type="dxa"/>
            <w:vAlign w:val="center"/>
          </w:tcPr>
          <w:p>
            <w:pPr>
              <w:spacing w:line="240" w:lineRule="auto"/>
              <w:jc w:val="right"/>
            </w:pPr>
            <w:r>
              <w:rPr>
                <w:rFonts w:ascii="宋体" w:hAnsi="宋体" w:eastAsia="宋体" w:cs="宋体"/>
                <w:b w:val="0"/>
              </w:rPr>
              <w:t>448,875</w:t>
            </w:r>
          </w:p>
        </w:tc>
        <w:tc>
          <w:tcPr>
            <w:tcW w:w="0" w:type="dxa"/>
            <w:vAlign w:val="center"/>
          </w:tcPr>
          <w:p>
            <w:pPr>
              <w:spacing w:line="240" w:lineRule="auto"/>
              <w:jc w:val="right"/>
            </w:pPr>
            <w:r>
              <w:rPr>
                <w:rFonts w:ascii="宋体" w:hAnsi="宋体" w:eastAsia="宋体" w:cs="宋体"/>
                <w:b w:val="0"/>
              </w:rPr>
              <w:t>60,149,250.00</w:t>
            </w:r>
          </w:p>
        </w:tc>
        <w:tc>
          <w:tcPr>
            <w:tcW w:w="0" w:type="dxa"/>
            <w:vAlign w:val="center"/>
          </w:tcPr>
          <w:p>
            <w:pPr>
              <w:spacing w:line="240" w:lineRule="auto"/>
              <w:jc w:val="right"/>
            </w:pPr>
            <w:r>
              <w:rPr>
                <w:rFonts w:ascii="宋体" w:hAnsi="宋体" w:eastAsia="宋体" w:cs="宋体"/>
                <w:b w:val="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002048</w:t>
            </w:r>
          </w:p>
        </w:tc>
        <w:tc>
          <w:tcPr>
            <w:tcW w:w="0" w:type="dxa"/>
            <w:vAlign w:val="center"/>
          </w:tcPr>
          <w:p>
            <w:pPr>
              <w:spacing w:line="240" w:lineRule="auto"/>
              <w:jc w:val="left"/>
            </w:pPr>
            <w:r>
              <w:rPr>
                <w:rFonts w:ascii="宋体" w:hAnsi="宋体" w:eastAsia="宋体" w:cs="宋体"/>
                <w:b w:val="0"/>
              </w:rPr>
              <w:t>宁波华翔</w:t>
            </w:r>
          </w:p>
        </w:tc>
        <w:tc>
          <w:tcPr>
            <w:tcW w:w="0" w:type="dxa"/>
            <w:vAlign w:val="center"/>
          </w:tcPr>
          <w:p>
            <w:pPr>
              <w:spacing w:line="240" w:lineRule="auto"/>
              <w:jc w:val="right"/>
            </w:pPr>
            <w:r>
              <w:rPr>
                <w:rFonts w:ascii="宋体" w:hAnsi="宋体" w:eastAsia="宋体" w:cs="宋体"/>
                <w:b w:val="0"/>
              </w:rPr>
              <w:t>1,554,000</w:t>
            </w:r>
          </w:p>
        </w:tc>
        <w:tc>
          <w:tcPr>
            <w:tcW w:w="0" w:type="dxa"/>
            <w:vAlign w:val="center"/>
          </w:tcPr>
          <w:p>
            <w:pPr>
              <w:spacing w:line="240" w:lineRule="auto"/>
              <w:jc w:val="right"/>
            </w:pPr>
            <w:r>
              <w:rPr>
                <w:rFonts w:ascii="宋体" w:hAnsi="宋体" w:eastAsia="宋体" w:cs="宋体"/>
                <w:b w:val="0"/>
              </w:rPr>
              <w:t>60,139,800.00</w:t>
            </w:r>
          </w:p>
        </w:tc>
        <w:tc>
          <w:tcPr>
            <w:tcW w:w="0" w:type="dxa"/>
            <w:vAlign w:val="center"/>
          </w:tcPr>
          <w:p>
            <w:pPr>
              <w:spacing w:line="240" w:lineRule="auto"/>
              <w:jc w:val="right"/>
            </w:pPr>
            <w:r>
              <w:rPr>
                <w:rFonts w:ascii="宋体" w:hAnsi="宋体" w:eastAsia="宋体" w:cs="宋体"/>
                <w:b w:val="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605133</w:t>
            </w:r>
          </w:p>
        </w:tc>
        <w:tc>
          <w:tcPr>
            <w:tcW w:w="0" w:type="dxa"/>
            <w:vAlign w:val="center"/>
          </w:tcPr>
          <w:p>
            <w:pPr>
              <w:spacing w:line="240" w:lineRule="auto"/>
              <w:jc w:val="left"/>
            </w:pPr>
            <w:r>
              <w:rPr>
                <w:rFonts w:ascii="宋体" w:hAnsi="宋体" w:eastAsia="宋体" w:cs="宋体"/>
                <w:b w:val="0"/>
              </w:rPr>
              <w:t>嵘泰股份</w:t>
            </w:r>
          </w:p>
        </w:tc>
        <w:tc>
          <w:tcPr>
            <w:tcW w:w="0" w:type="dxa"/>
            <w:vAlign w:val="center"/>
          </w:tcPr>
          <w:p>
            <w:pPr>
              <w:spacing w:line="240" w:lineRule="auto"/>
              <w:jc w:val="right"/>
            </w:pPr>
            <w:r>
              <w:rPr>
                <w:rFonts w:ascii="宋体" w:hAnsi="宋体" w:eastAsia="宋体" w:cs="宋体"/>
                <w:b w:val="0"/>
              </w:rPr>
              <w:t>1,444,130</w:t>
            </w:r>
          </w:p>
        </w:tc>
        <w:tc>
          <w:tcPr>
            <w:tcW w:w="0" w:type="dxa"/>
            <w:vAlign w:val="center"/>
          </w:tcPr>
          <w:p>
            <w:pPr>
              <w:spacing w:line="240" w:lineRule="auto"/>
              <w:jc w:val="right"/>
            </w:pPr>
            <w:r>
              <w:rPr>
                <w:rFonts w:ascii="宋体" w:hAnsi="宋体" w:eastAsia="宋体" w:cs="宋体"/>
                <w:b w:val="0"/>
              </w:rPr>
              <w:t>59,613,686.40</w:t>
            </w:r>
          </w:p>
        </w:tc>
        <w:tc>
          <w:tcPr>
            <w:tcW w:w="0" w:type="dxa"/>
            <w:vAlign w:val="center"/>
          </w:tcPr>
          <w:p>
            <w:pPr>
              <w:spacing w:line="240" w:lineRule="auto"/>
              <w:jc w:val="right"/>
            </w:pPr>
            <w:r>
              <w:rPr>
                <w:rFonts w:ascii="宋体" w:hAnsi="宋体" w:eastAsia="宋体" w:cs="宋体"/>
                <w:b w:val="0"/>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603319</w:t>
            </w:r>
          </w:p>
        </w:tc>
        <w:tc>
          <w:tcPr>
            <w:tcW w:w="0" w:type="dxa"/>
            <w:vAlign w:val="center"/>
          </w:tcPr>
          <w:p>
            <w:pPr>
              <w:spacing w:line="240" w:lineRule="auto"/>
              <w:jc w:val="left"/>
            </w:pPr>
            <w:r>
              <w:rPr>
                <w:rFonts w:ascii="宋体" w:hAnsi="宋体" w:eastAsia="宋体" w:cs="宋体"/>
                <w:b w:val="0"/>
              </w:rPr>
              <w:t>美湖股份</w:t>
            </w:r>
          </w:p>
        </w:tc>
        <w:tc>
          <w:tcPr>
            <w:tcW w:w="0" w:type="dxa"/>
            <w:vAlign w:val="center"/>
          </w:tcPr>
          <w:p>
            <w:pPr>
              <w:spacing w:line="240" w:lineRule="auto"/>
              <w:jc w:val="right"/>
            </w:pPr>
            <w:r>
              <w:rPr>
                <w:rFonts w:ascii="宋体" w:hAnsi="宋体" w:eastAsia="宋体" w:cs="宋体"/>
                <w:b w:val="0"/>
              </w:rPr>
              <w:t>1,253,760</w:t>
            </w:r>
          </w:p>
        </w:tc>
        <w:tc>
          <w:tcPr>
            <w:tcW w:w="0" w:type="dxa"/>
            <w:vAlign w:val="center"/>
          </w:tcPr>
          <w:p>
            <w:pPr>
              <w:spacing w:line="240" w:lineRule="auto"/>
              <w:jc w:val="right"/>
            </w:pPr>
            <w:r>
              <w:rPr>
                <w:rFonts w:ascii="宋体" w:hAnsi="宋体" w:eastAsia="宋体" w:cs="宋体"/>
                <w:b w:val="0"/>
              </w:rPr>
              <w:t>55,817,395.20</w:t>
            </w:r>
          </w:p>
        </w:tc>
        <w:tc>
          <w:tcPr>
            <w:tcW w:w="0" w:type="dxa"/>
            <w:vAlign w:val="center"/>
          </w:tcPr>
          <w:p>
            <w:pPr>
              <w:spacing w:line="240" w:lineRule="auto"/>
              <w:jc w:val="right"/>
            </w:pPr>
            <w:r>
              <w:rPr>
                <w:rFonts w:ascii="宋体" w:hAnsi="宋体" w:eastAsia="宋体" w:cs="宋体"/>
                <w:b w:val="0"/>
              </w:rPr>
              <w:t>3.41</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91,211,846.96</w:t>
            </w:r>
          </w:p>
        </w:tc>
        <w:tc>
          <w:tcPr>
            <w:tcW w:w="0" w:type="dxa"/>
            <w:vAlign w:val="center"/>
          </w:tcPr>
          <w:p>
            <w:pPr>
              <w:spacing w:line="240" w:lineRule="auto"/>
              <w:jc w:val="right"/>
            </w:pPr>
            <w:r>
              <w:rPr>
                <w:rFonts w:ascii="宋体" w:hAnsi="宋体" w:eastAsia="宋体" w:cs="宋体"/>
                <w:b w:val="0"/>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91,211,846.96</w:t>
            </w:r>
          </w:p>
        </w:tc>
        <w:tc>
          <w:tcPr>
            <w:tcW w:w="0" w:type="dxa"/>
            <w:vAlign w:val="center"/>
          </w:tcPr>
          <w:p>
            <w:pPr>
              <w:spacing w:line="240" w:lineRule="auto"/>
              <w:jc w:val="right"/>
            </w:pPr>
            <w:r>
              <w:rPr>
                <w:rFonts w:ascii="宋体" w:hAnsi="宋体" w:eastAsia="宋体" w:cs="宋体"/>
                <w:b w:val="0"/>
              </w:rPr>
              <w:t>5.57</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752,000</w:t>
            </w:r>
          </w:p>
        </w:tc>
        <w:tc>
          <w:tcPr>
            <w:tcW w:w="0" w:type="dxa"/>
            <w:vAlign w:val="center"/>
          </w:tcPr>
          <w:p>
            <w:pPr>
              <w:spacing w:line="240" w:lineRule="auto"/>
              <w:jc w:val="right"/>
            </w:pPr>
            <w:r>
              <w:rPr>
                <w:rFonts w:ascii="宋体" w:hAnsi="宋体" w:eastAsia="宋体" w:cs="宋体"/>
                <w:b w:val="0"/>
              </w:rPr>
              <w:t>75,781,388.71</w:t>
            </w:r>
          </w:p>
        </w:tc>
        <w:tc>
          <w:tcPr>
            <w:tcW w:w="0" w:type="dxa"/>
            <w:vAlign w:val="center"/>
          </w:tcPr>
          <w:p>
            <w:pPr>
              <w:spacing w:line="240" w:lineRule="auto"/>
              <w:jc w:val="right"/>
            </w:pPr>
            <w:r>
              <w:rPr>
                <w:rFonts w:ascii="宋体" w:hAnsi="宋体" w:eastAsia="宋体" w:cs="宋体"/>
                <w:b w:val="0"/>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154,000</w:t>
            </w:r>
          </w:p>
        </w:tc>
        <w:tc>
          <w:tcPr>
            <w:tcW w:w="0" w:type="dxa"/>
            <w:vAlign w:val="center"/>
          </w:tcPr>
          <w:p>
            <w:pPr>
              <w:spacing w:line="240" w:lineRule="auto"/>
              <w:jc w:val="right"/>
            </w:pPr>
            <w:r>
              <w:rPr>
                <w:rFonts w:ascii="宋体" w:hAnsi="宋体" w:eastAsia="宋体" w:cs="宋体"/>
                <w:b w:val="0"/>
              </w:rPr>
              <w:t>15,430,458.25</w:t>
            </w:r>
          </w:p>
        </w:tc>
        <w:tc>
          <w:tcPr>
            <w:tcW w:w="0" w:type="dxa"/>
            <w:vAlign w:val="center"/>
          </w:tcPr>
          <w:p>
            <w:pPr>
              <w:spacing w:line="240" w:lineRule="auto"/>
              <w:jc w:val="right"/>
            </w:pPr>
            <w:r>
              <w:rPr>
                <w:rFonts w:ascii="宋体" w:hAnsi="宋体" w:eastAsia="宋体" w:cs="宋体"/>
                <w:b w:val="0"/>
              </w:rPr>
              <w:t>0.94</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136,684.14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18,016,247.41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18,152,931.55</w:t>
            </w:r>
          </w:p>
        </w:tc>
      </w:tr>
    </w:tbl>
    <w:p/>
    <w:p>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本基金本报告期末前十名股票中不存在流通受限情况。</w:t>
      </w:r>
    </w:p>
    <w:p/>
    <w:p>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东方阿尔法优选混合A</w:t>
            </w:r>
          </w:p>
        </w:tc>
        <w:tc>
          <w:tcPr>
            <w:tcW w:w="1300" w:type="pct"/>
            <w:vAlign w:val="center"/>
          </w:tcPr>
          <w:p>
            <w:pPr>
              <w:spacing w:line="240" w:lineRule="auto"/>
              <w:jc w:val="center"/>
            </w:pPr>
            <w:r>
              <w:rPr>
                <w:rFonts w:ascii="宋体" w:hAnsi="宋体" w:eastAsia="宋体" w:cs="宋体"/>
                <w:b w:val="0"/>
              </w:rPr>
              <w:t>东方阿尔法优选混合C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113,719,232.11</w:t>
            </w:r>
          </w:p>
        </w:tc>
        <w:tc>
          <w:tcPr>
            <w:tcW w:w="1300" w:type="pct"/>
            <w:vAlign w:val="center"/>
          </w:tcPr>
          <w:p>
            <w:pPr>
              <w:spacing w:line="240" w:lineRule="auto"/>
              <w:jc w:val="right"/>
            </w:pPr>
            <w:r>
              <w:rPr>
                <w:rFonts w:ascii="宋体" w:hAnsi="宋体" w:eastAsia="宋体" w:cs="宋体"/>
                <w:b w:val="0"/>
              </w:rPr>
              <w:t>786,468,910.14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22,991,453.28</w:t>
            </w:r>
          </w:p>
        </w:tc>
        <w:tc>
          <w:tcPr>
            <w:tcW w:w="1300" w:type="pct"/>
            <w:vAlign w:val="center"/>
          </w:tcPr>
          <w:p>
            <w:pPr>
              <w:spacing w:line="240" w:lineRule="auto"/>
              <w:jc w:val="right"/>
            </w:pPr>
            <w:r>
              <w:rPr>
                <w:rFonts w:ascii="宋体" w:hAnsi="宋体" w:eastAsia="宋体" w:cs="宋体"/>
                <w:b w:val="0"/>
              </w:rPr>
              <w:t>2,418,966,724.15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32,967,837.99</w:t>
            </w:r>
          </w:p>
        </w:tc>
        <w:tc>
          <w:tcPr>
            <w:tcW w:w="1300" w:type="pct"/>
            <w:vAlign w:val="center"/>
          </w:tcPr>
          <w:p>
            <w:pPr>
              <w:spacing w:line="240" w:lineRule="auto"/>
              <w:jc w:val="right"/>
            </w:pPr>
            <w:r>
              <w:rPr>
                <w:rFonts w:ascii="宋体" w:hAnsi="宋体" w:eastAsia="宋体" w:cs="宋体"/>
                <w:b w:val="0"/>
              </w:rPr>
              <w:t>1,941,263,850.95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103,742,847.40</w:t>
            </w:r>
          </w:p>
        </w:tc>
        <w:tc>
          <w:tcPr>
            <w:tcW w:w="1300" w:type="pct"/>
            <w:vAlign w:val="center"/>
          </w:tcPr>
          <w:p>
            <w:pPr>
              <w:spacing w:line="240" w:lineRule="auto"/>
              <w:jc w:val="right"/>
            </w:pPr>
            <w:r>
              <w:rPr>
                <w:rFonts w:ascii="宋体" w:hAnsi="宋体" w:eastAsia="宋体" w:cs="宋体"/>
                <w:b w:val="0"/>
              </w:rPr>
              <w:t>1,264,171,783.34</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p>
      <w:r>
        <w:rPr>
          <w:rFonts w:ascii="宋体" w:hAnsi="宋体" w:eastAsia="宋体" w:cs="宋体"/>
          <w:b w:val="0"/>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1、中国证券监督管理委员会批准的东方阿尔法优选混合型发起式证券投资基金设立的文件；</w:t>
      </w:r>
      <w:r>
        <w:rPr>
          <w:rFonts w:ascii="宋体" w:hAnsi="宋体" w:eastAsia="宋体" w:cs="宋体"/>
          <w:b w:val="0"/>
        </w:rPr>
        <w:cr/>
      </w:r>
      <w:r>
        <w:rPr>
          <w:rFonts w:ascii="宋体" w:hAnsi="宋体" w:eastAsia="宋体" w:cs="宋体"/>
          <w:b w:val="0"/>
        </w:rPr>
        <w:t xml:space="preserve">    2、《东方阿尔法优选混合型发起式证券投资基金基金合同》；</w:t>
      </w:r>
      <w:r>
        <w:rPr>
          <w:rFonts w:ascii="宋体" w:hAnsi="宋体" w:eastAsia="宋体" w:cs="宋体"/>
          <w:b w:val="0"/>
        </w:rPr>
        <w:cr/>
      </w:r>
      <w:r>
        <w:rPr>
          <w:rFonts w:ascii="宋体" w:hAnsi="宋体" w:eastAsia="宋体" w:cs="宋体"/>
          <w:b w:val="0"/>
        </w:rPr>
        <w:t xml:space="preserve">    3、《东方阿尔法优选混合型发起式证券投资基金托管协议》；</w:t>
      </w:r>
      <w:r>
        <w:rPr>
          <w:rFonts w:ascii="宋体" w:hAnsi="宋体" w:eastAsia="宋体" w:cs="宋体"/>
          <w:b w:val="0"/>
        </w:rPr>
        <w:cr/>
      </w:r>
      <w:r>
        <w:rPr>
          <w:rFonts w:ascii="宋体" w:hAnsi="宋体" w:eastAsia="宋体" w:cs="宋体"/>
          <w:b w:val="0"/>
        </w:rPr>
        <w:t xml:space="preserve">    4、《东方阿尔法优选混合型发起式证券投资基金招募说明书》（含更新）；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bookmarkStart w:id="1" w:name="_GoBack"/>
      <w:bookmarkEnd w:id="1"/>
    </w:p>
    <w:p>
      <w:pPr>
        <w:jc w:val="right"/>
      </w:pPr>
      <w:r>
        <w:rPr>
          <w:rFonts w:ascii="宋体" w:hAnsi="宋体" w:eastAsia="宋体" w:cs="宋体"/>
          <w:b/>
        </w:rPr>
        <w:t>东方阿尔法基金管理有限公司</w:t>
      </w:r>
    </w:p>
    <w:p>
      <w:pPr>
        <w:jc w:val="right"/>
      </w:pPr>
      <w:r>
        <w:rPr>
          <w:rFonts w:ascii="宋体" w:hAnsi="宋体" w:eastAsia="宋体" w:cs="宋体"/>
          <w:b/>
        </w:rPr>
        <w:t>二〇二五年十月二十五日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东方阿尔法优选混合型发起式证券投资基金2025年第3季度报告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6D260EB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57</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2025-10-23T05:35:11Z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