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东方阿尔法优势产业混合型发起式证券投资基金（C类份额）基金产品资料概要更新</w:t>
      </w:r>
    </w:p>
    <w:p>
      <w:pPr>
        <w:jc w:val="right"/>
      </w:pPr>
      <w:r>
        <w:rPr>
          <w:rFonts w:ascii="宋体" w:hAnsi="宋体" w:cs="宋体" w:eastAsia="宋体"/>
          <w:b w:val="false"/>
        </w:rPr>
        <w:t>编制日期：2025年11月05日</w:t>
      </w:r>
    </w:p>
    <w:p>
      <w:pPr>
        <w:jc w:val="center"/>
      </w:pPr>
      <w:r>
        <w:rPr>
          <w:rFonts w:ascii="宋体" w:hAnsi="宋体" w:cs="宋体" w:eastAsia="宋体"/>
          <w:b w:val="false"/>
        </w:rPr>
        <w:t>送出日期：2025年11月06日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东方阿尔法优势产业混合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东方阿尔法优势产业混合C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2020年06月28日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2020年06月28日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2010年05月06日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2025年11月05日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详见《东方阿尔法优势产业混合型发起式证券投资基金招募说明书》第九部分“基金的投资”。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中证800指数收益率×70%+中证综合债券指数收益率×30%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73,000.00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1.91%</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cr/>
      </w:r>
      <w:r>
        <w:rPr>
          <w:rFonts w:ascii="宋体" w:hAnsi="宋体" w:cs="宋体" w:eastAsia="宋体"/>
          <w:b w:val="false"/>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（8）本基金的投资范围包括存托凭证，如果投资，可能面临存托凭证价格大幅波动甚至出现较大亏损的风险，以及与创新企业发行人、境外发行人、存托凭证发行机制和交易机制等相关的风险。</w:t>
        <w:cr/>
      </w:r>
      <w:r>
        <w:rPr>
          <w:rFonts w:ascii="宋体" w:hAnsi="宋体" w:cs="宋体" w:eastAsia="宋体"/>
          <w:b w:val="false"/>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东方阿尔法优势产业混合型发起式证券投资基金（C类份额）基金产品资料概要更新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