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东方阿尔法科技甄选混合型发起式证券投资基金（A类份额）基金产品资料概要更新</w:t>
      </w:r>
    </w:p>
    <w:p>
      <w:pPr>
        <w:jc w:val="right"/>
      </w:pPr>
      <w:r>
        <w:rPr>
          <w:rFonts w:ascii="宋体" w:hAnsi="宋体" w:cs="宋体" w:eastAsia="宋体"/>
          <w:b w:val="false"/>
        </w:rPr>
        <w:t>编制日期：2025年11月10日</w:t>
      </w:r>
    </w:p>
    <w:p>
      <w:pPr>
        <w:jc w:val="center"/>
      </w:pPr>
      <w:r>
        <w:rPr>
          <w:rFonts w:ascii="宋体" w:hAnsi="宋体" w:cs="宋体" w:eastAsia="宋体"/>
          <w:b w:val="false"/>
        </w:rPr>
        <w:t>送出日期：2025年11月11日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东方阿尔法科技甄选混合发起</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025792</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东方阿尔法科技甄选混合发起A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025792</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2025年10月30日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2025年10月30日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2016年06月06日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程子晴</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2025年11月07日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2021年01月15日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详见《东方阿尔法科技甄选混合型发起式证券投资基金招募说明书》第九部分“基金的投资”。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本基金主要投资科技主题相关的上市公司股票，采用积极主动的投资策略，在有效控制投资组合风险的前提下，力争获取超越业绩比较基准的投资回报，实现基金资产的长期稳健增值。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br/>
            </w:r>
            <w:r>
              <w:rPr>
                <w:rFonts w:ascii="宋体" w:hAnsi="宋体" w:cs="宋体" w:eastAsia="宋体"/>
                <w:b w:val="false"/>
              </w:rPr>
              <w:t>如法律法规或监管机构以后允许基金投资其他品种，基金管理人在履行适当程序后，可以将其纳入投资范围，并可依据届时有效的法律法规适时合理地调整投资范围。</w:t>
              <w:br/>
            </w:r>
            <w:r>
              <w:rPr>
                <w:rFonts w:ascii="宋体" w:hAnsi="宋体" w:cs="宋体" w:eastAsia="宋体"/>
                <w:b w:val="false"/>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br/>
            </w:r>
            <w:r>
              <w:rPr>
                <w:rFonts w:ascii="宋体" w:hAnsi="宋体" w:cs="宋体" w:eastAsia="宋体"/>
                <w:b w:val="false"/>
              </w:rPr>
              <w:t>如法律法规或中国证监会变更投资品种的投资比例限制，基金管理人在履行适当程序后，可以调整上述投资品种的投资比例。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通过定性与定量相结合的方法分析宏观经济和证券市场发展趋势以及行业趋势变化，精选科技主题的股票构建投资组合。本基金在股票、存托凭证、债券、现金等资产之间的配置比例、调整原则和调整范围，在保持总体风险水平相对稳定的基础上，力争投资组合的稳定增值。股票投资聚焦国家统计局《战略性新兴产业分类》中的科技领域，包括新一代信息技术、高端装备、新材料、新能源、节能环保、生物医药、数字创意等，优先选择研发强度高、行业地位突出的优质企业。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rPr>
          <w:rFonts w:ascii="宋体" w:hAnsi="宋体" w:cs="宋体" w:eastAsia="宋体"/>
          <w:b w:val="false"/>
        </w:rPr>
        <w:t xml:space="preserve">    暂无。</w:t>
      </w:r>
    </w:p>
    <w:p/>
    <w:p>
      <w:r>
        <w:rPr>
          <w:rStyle w:val="正文"/>
          <w:rFonts w:ascii="宋体" w:hAnsi="宋体" w:cs="宋体" w:eastAsia="宋体"/>
          <w:b w:val="true"/>
        </w:rPr>
        <w:t>（三）自基金合同生效以来/最近十年（孰短）基金每年的净值增长率及与同期业绩比较基准的比较图</w:t>
      </w:r>
    </w:p>
    <w:p>
      <w:r>
        <w:rPr>
          <w:rFonts w:ascii="宋体" w:hAnsi="宋体" w:cs="宋体" w:eastAsia="宋体"/>
          <w:b w:val="false"/>
        </w:rPr>
        <w:t xml:space="preserve">    暂无。</w:t>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1.00%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0.10%</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0.00%</w:t>
            </w:r>
          </w:p>
        </w:tc>
        <w:tc>
          <w:tcPr>
            <w:tcW/>
            <w:vAlign w:val="center"/>
          </w:tcPr>
          <w:p>
            <w:pPr>
              <w:spacing w:line="240" w:lineRule="auto"/>
              <w:jc w:val="left"/>
            </w:pPr>
          </w:p>
        </w:tc>
      </w:tr>
    </w:tbl>
    <w:p>
      <w:r>
        <w:rPr>
          <w:rFonts w:ascii="宋体" w:hAnsi="宋体" w:cs="宋体" w:eastAsia="宋体"/>
          <w:b w:val="false"/>
        </w:rPr>
        <w:t>注:投资人重复认购／申购，须按每次认购／申购所对应的费率档次分别计费。</w:t>
      </w:r>
    </w:p>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 xml:space="preserve">    暂无。</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组合中股票资产投资比例为基金资产的60%-95%，其中投资于本基金界定的科技主题相关股票的比例不低于非现金基金资产的80%，投资集中度比较明显，股票市场的价格波动可能会导致基金净值发生剧烈波动的风险。</w:t>
        <w:cr/>
      </w:r>
      <w:r>
        <w:rPr>
          <w:rFonts w:ascii="宋体" w:hAnsi="宋体" w:cs="宋体" w:eastAsia="宋体"/>
          <w:b w:val="false"/>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cr/>
      </w:r>
      <w:r>
        <w:rPr>
          <w:rFonts w:ascii="宋体" w:hAnsi="宋体" w:cs="宋体" w:eastAsia="宋体"/>
          <w:b w:val="false"/>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cr/>
      </w:r>
      <w:r>
        <w:rPr>
          <w:rFonts w:ascii="宋体" w:hAnsi="宋体" w:cs="宋体" w:eastAsia="宋体"/>
          <w:b w:val="false"/>
        </w:rPr>
        <w:t xml:space="preserve">    （3）本基金可投资股指期货，可能会出现的风险包括基差风险、合约品种差异造成的风险、标的物风险、衍生品模型风险等。</w:t>
        <w:cr/>
      </w:r>
      <w:r>
        <w:rPr>
          <w:rFonts w:ascii="宋体" w:hAnsi="宋体" w:cs="宋体" w:eastAsia="宋体"/>
          <w:b w:val="false"/>
        </w:rPr>
        <w:t xml:space="preserve">    （4）本基金可投资国债期货，国债期货的风险主要包含市场风险、流动性风险、信用风险、合规性风险以及国债期货实物交割风险等。</w:t>
        <w:cr/>
      </w:r>
      <w:r>
        <w:rPr>
          <w:rFonts w:ascii="宋体" w:hAnsi="宋体" w:cs="宋体" w:eastAsia="宋体"/>
          <w:b w:val="false"/>
        </w:rPr>
        <w:t xml:space="preserve">    （5）本基金可投资股票期权，股票期权的风险包括市场风险、流动性风险、基差风险、保证金风险和信用风险。</w:t>
        <w:cr/>
      </w:r>
      <w:r>
        <w:rPr>
          <w:rFonts w:ascii="宋体" w:hAnsi="宋体" w:cs="宋体" w:eastAsia="宋体"/>
          <w:b w:val="false"/>
        </w:rPr>
        <w:t xml:space="preserve">    （6）本基金可投资资产支持证券，资产支持证券的风险主要包括信用风险、利率风险、流动性风险、提前偿付风险等。</w:t>
        <w:cr/>
      </w:r>
      <w:r>
        <w:rPr>
          <w:rFonts w:ascii="宋体" w:hAnsi="宋体" w:cs="宋体" w:eastAsia="宋体"/>
          <w:b w:val="false"/>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cr/>
      </w:r>
      <w:r>
        <w:rPr>
          <w:rFonts w:ascii="宋体" w:hAnsi="宋体" w:cs="宋体" w:eastAsia="宋体"/>
          <w:b w:val="false"/>
        </w:rPr>
        <w:t xml:space="preserve">    （8）本基金除与其他投资于内地市场股票的基金所面临的共同风险外，本基金还面临港股通机制下因投资环境、投资者结构、投资标的构成、市场制度以及交易规则等差异所带来的特有风险。</w:t>
        <w:cr/>
      </w:r>
      <w:r>
        <w:rPr>
          <w:rFonts w:ascii="宋体" w:hAnsi="宋体" w:cs="宋体" w:eastAsia="宋体"/>
          <w:b w:val="false"/>
        </w:rPr>
        <w:t xml:space="preserve">    （9）本基金可投资科创板股票，会面临因投资标的、市场制度以及交易规则等差异带来的特有风险，包括但不限于退市风险、市场风险、流动性风险、投资集中的风险、系统性风险、股价波动风险、政策风险等。</w:t>
        <w:cr/>
      </w:r>
      <w:r>
        <w:rPr>
          <w:rFonts w:ascii="宋体" w:hAnsi="宋体" w:cs="宋体" w:eastAsia="宋体"/>
          <w:b w:val="false"/>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cr/>
      </w:r>
      <w:r>
        <w:rPr>
          <w:rFonts w:ascii="宋体" w:hAnsi="宋体" w:cs="宋体" w:eastAsia="宋体"/>
          <w:b w:val="false"/>
        </w:rPr>
        <w:t xml:space="preserve">    （11）本基金可参与融资业务，融资业务除具有普通证券交易所具有的政策风险、市场风险、违约风险、操作风险等各种风险外，因融资业务的杠杆效应，基金财产可能因此产生更大的收益波动。</w:t>
        <w:cr/>
      </w:r>
      <w:r>
        <w:rPr>
          <w:rFonts w:ascii="宋体" w:hAnsi="宋体" w:cs="宋体" w:eastAsia="宋体"/>
          <w:b w:val="false"/>
        </w:rPr>
        <w:t xml:space="preserve">    （12）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东方阿尔法科技甄选混合型发起式证券投资基金（A类份额）基金产品资料概要更新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