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0" w:beforeAutospacing="1"/>
        <w:ind w:right="340"/>
        <w:jc w:val="center"/>
        <w:rPr>
          <w:b/>
          <w:spacing w:val="-2"/>
          <w:sz w:val="36"/>
          <w:szCs w:val="36"/>
        </w:rPr>
      </w:pPr>
      <w:bookmarkStart w:id="0" w:name="OLE_LINK3"/>
      <w:bookmarkStart w:id="1" w:name="OLE_LINK4"/>
      <w:bookmarkStart w:id="2" w:name="OLE_LINK5"/>
      <w:bookmarkStart w:id="3" w:name="OLE_LINK6"/>
      <w:r>
        <w:rPr>
          <w:rFonts w:hint="eastAsia"/>
          <w:b/>
          <w:spacing w:val="-2"/>
          <w:sz w:val="36"/>
          <w:szCs w:val="36"/>
        </w:rPr>
        <w:t>东方阿尔法基金管理有限公司</w:t>
      </w:r>
    </w:p>
    <w:p>
      <w:pPr>
        <w:pStyle w:val="4"/>
        <w:spacing w:before="100" w:beforeAutospacing="1"/>
        <w:ind w:right="340"/>
        <w:jc w:val="center"/>
        <w:rPr>
          <w:b/>
          <w:spacing w:val="-2"/>
          <w:sz w:val="36"/>
          <w:szCs w:val="36"/>
        </w:rPr>
      </w:pPr>
      <w:r>
        <w:rPr>
          <w:b/>
          <w:spacing w:val="-2"/>
          <w:sz w:val="36"/>
          <w:szCs w:val="36"/>
        </w:rPr>
        <w:t>关于旗下</w:t>
      </w:r>
      <w:bookmarkStart w:id="4" w:name="OLE_LINK2"/>
      <w:r>
        <w:rPr>
          <w:b/>
          <w:spacing w:val="-2"/>
          <w:sz w:val="36"/>
          <w:szCs w:val="36"/>
        </w:rPr>
        <w:t>部分公募基金产品风险等级</w:t>
      </w:r>
      <w:bookmarkEnd w:id="0"/>
      <w:bookmarkEnd w:id="1"/>
      <w:r>
        <w:rPr>
          <w:rFonts w:hint="eastAsia"/>
          <w:b/>
          <w:spacing w:val="-2"/>
          <w:sz w:val="36"/>
          <w:szCs w:val="36"/>
        </w:rPr>
        <w:t>变动</w:t>
      </w:r>
      <w:bookmarkEnd w:id="4"/>
      <w:r>
        <w:rPr>
          <w:b/>
          <w:spacing w:val="-2"/>
          <w:sz w:val="36"/>
          <w:szCs w:val="36"/>
        </w:rPr>
        <w:t>的公告</w:t>
      </w:r>
    </w:p>
    <w:bookmarkEnd w:id="2"/>
    <w:bookmarkEnd w:id="3"/>
    <w:p>
      <w:pPr>
        <w:pStyle w:val="4"/>
        <w:spacing w:before="105" w:line="364" w:lineRule="auto"/>
        <w:ind w:left="440" w:leftChars="200" w:right="440" w:rightChars="200" w:firstLine="480"/>
        <w:jc w:val="both"/>
        <w:rPr>
          <w:spacing w:val="-2"/>
        </w:rPr>
      </w:pPr>
    </w:p>
    <w:p>
      <w:pPr>
        <w:pStyle w:val="4"/>
        <w:spacing w:line="365" w:lineRule="auto"/>
        <w:ind w:firstLine="496" w:firstLineChars="200"/>
        <w:jc w:val="both"/>
        <w:rPr>
          <w:spacing w:val="4"/>
        </w:rPr>
      </w:pPr>
      <w:r>
        <w:rPr>
          <w:spacing w:val="4"/>
        </w:rPr>
        <w:t>为贯彻落实《证券期货投资者适当性管理办法》、《证券投资基金销售适用性指导意见》及《</w:t>
      </w:r>
      <w:bookmarkStart w:id="5" w:name="OLE_LINK7"/>
      <w:r>
        <w:rPr>
          <w:spacing w:val="4"/>
        </w:rPr>
        <w:t>基金募集机构投资者适当性管理实施指引（试行</w:t>
      </w:r>
      <w:bookmarkEnd w:id="5"/>
      <w:r>
        <w:rPr>
          <w:spacing w:val="4"/>
        </w:rPr>
        <w:t>）》等</w:t>
      </w:r>
      <w:r>
        <w:rPr>
          <w:rFonts w:hint="eastAsia"/>
          <w:spacing w:val="4"/>
        </w:rPr>
        <w:t>相关</w:t>
      </w:r>
      <w:r>
        <w:rPr>
          <w:spacing w:val="4"/>
        </w:rPr>
        <w:t>法规要求</w:t>
      </w:r>
      <w:r>
        <w:rPr>
          <w:rFonts w:hint="eastAsia"/>
          <w:spacing w:val="4"/>
        </w:rPr>
        <w:t>，进一步</w:t>
      </w:r>
      <w:r>
        <w:rPr>
          <w:spacing w:val="4"/>
        </w:rPr>
        <w:t>做好投资者适当性管理安排</w:t>
      </w:r>
      <w:r>
        <w:rPr>
          <w:rFonts w:hint="eastAsia"/>
          <w:spacing w:val="4"/>
        </w:rPr>
        <w:t>，更好地</w:t>
      </w:r>
      <w:r>
        <w:rPr>
          <w:spacing w:val="4"/>
        </w:rPr>
        <w:t>维护基金投资者的利益</w:t>
      </w:r>
      <w:r>
        <w:rPr>
          <w:rFonts w:hint="eastAsia"/>
          <w:spacing w:val="4"/>
        </w:rPr>
        <w:t>，东方阿尔法基金管理有限公司</w:t>
      </w:r>
      <w:r>
        <w:rPr>
          <w:spacing w:val="4"/>
        </w:rPr>
        <w:t>（以下简称“本公司”）运用定性、定量方法，综合考察评估</w:t>
      </w:r>
      <w:r>
        <w:rPr>
          <w:rFonts w:hint="eastAsia"/>
          <w:spacing w:val="4"/>
        </w:rPr>
        <w:t>旗下公募</w:t>
      </w:r>
      <w:r>
        <w:rPr>
          <w:spacing w:val="4"/>
        </w:rPr>
        <w:t>基金产品</w:t>
      </w:r>
      <w:r>
        <w:rPr>
          <w:rFonts w:hint="eastAsia"/>
          <w:spacing w:val="4"/>
        </w:rPr>
        <w:t>风险，将自</w:t>
      </w:r>
      <w:r>
        <w:rPr>
          <w:spacing w:val="4"/>
        </w:rPr>
        <w:t>2025年12月3日起</w:t>
      </w:r>
      <w:r>
        <w:rPr>
          <w:rFonts w:hint="eastAsia"/>
          <w:spacing w:val="4"/>
        </w:rPr>
        <w:t>，对</w:t>
      </w:r>
      <w:r>
        <w:rPr>
          <w:spacing w:val="4"/>
        </w:rPr>
        <w:t>旗下部分公募基金</w:t>
      </w:r>
      <w:r>
        <w:rPr>
          <w:rFonts w:hint="eastAsia"/>
          <w:spacing w:val="4"/>
        </w:rPr>
        <w:t>产品</w:t>
      </w:r>
      <w:r>
        <w:rPr>
          <w:spacing w:val="4"/>
        </w:rPr>
        <w:t>的风险等级</w:t>
      </w:r>
      <w:r>
        <w:rPr>
          <w:rFonts w:hint="eastAsia"/>
          <w:spacing w:val="4"/>
        </w:rPr>
        <w:t>进行调整。</w:t>
      </w:r>
    </w:p>
    <w:p>
      <w:pPr>
        <w:pStyle w:val="4"/>
        <w:spacing w:line="365" w:lineRule="auto"/>
        <w:ind w:firstLine="496" w:firstLineChars="200"/>
        <w:jc w:val="both"/>
        <w:rPr>
          <w:spacing w:val="4"/>
        </w:rPr>
      </w:pPr>
      <w:r>
        <w:rPr>
          <w:spacing w:val="4"/>
        </w:rPr>
        <w:t>具体如下</w:t>
      </w:r>
      <w:r>
        <w:rPr>
          <w:rFonts w:hint="eastAsia"/>
          <w:spacing w:val="4"/>
        </w:rPr>
        <w:t>：</w:t>
      </w:r>
    </w:p>
    <w:p>
      <w:pPr>
        <w:pStyle w:val="4"/>
        <w:spacing w:before="9"/>
        <w:rPr>
          <w:rFonts w:ascii="Microsoft JhengHei"/>
          <w:b/>
          <w:sz w:val="5"/>
        </w:rPr>
      </w:pP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296"/>
        <w:gridCol w:w="3735"/>
        <w:gridCol w:w="1134"/>
        <w:gridCol w:w="1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pStyle w:val="16"/>
              <w:spacing w:before="148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序号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pStyle w:val="16"/>
              <w:spacing w:before="148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基金代码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pStyle w:val="16"/>
              <w:spacing w:before="148"/>
              <w:ind w:left="9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产品名称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pStyle w:val="16"/>
              <w:spacing w:line="369" w:lineRule="exact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调整前风险等级</w:t>
            </w:r>
          </w:p>
          <w:p>
            <w:pPr>
              <w:pStyle w:val="16"/>
              <w:spacing w:line="331" w:lineRule="exact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pStyle w:val="16"/>
              <w:spacing w:line="369" w:lineRule="exact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调整后风险等级</w:t>
            </w:r>
          </w:p>
          <w:p>
            <w:pPr>
              <w:pStyle w:val="16"/>
              <w:spacing w:line="331" w:lineRule="exact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007518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bookmarkStart w:id="6" w:name="OLE_LINK1"/>
            <w:r>
              <w:rPr>
                <w:spacing w:val="-2"/>
                <w:sz w:val="24"/>
              </w:rPr>
              <w:t>东方阿尔法</w:t>
            </w:r>
            <w:bookmarkStart w:id="7" w:name="OLE_LINK8"/>
            <w:r>
              <w:rPr>
                <w:spacing w:val="-2"/>
                <w:sz w:val="24"/>
              </w:rPr>
              <w:t>优选混</w:t>
            </w:r>
            <w:bookmarkEnd w:id="7"/>
            <w:r>
              <w:rPr>
                <w:spacing w:val="-2"/>
                <w:sz w:val="24"/>
              </w:rPr>
              <w:t>合型发起式证券投资基金</w:t>
            </w:r>
            <w:bookmarkEnd w:id="6"/>
            <w:r>
              <w:rPr>
                <w:spacing w:val="-2"/>
                <w:sz w:val="24"/>
              </w:rPr>
              <w:t xml:space="preserve"> 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007519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东方阿尔法优选混合型发起式证券投资基金C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tabs>
                <w:tab w:val="left" w:pos="225"/>
                <w:tab w:val="center" w:pos="296"/>
              </w:tabs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009644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东方阿尔法优势产业混合型发起式证券投资基金A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009645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东方阿尔法优势产业混合型发起式证券投资基金C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>3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011704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东方阿尔法产业先锋混合型发起式证券投资基金A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01170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东方阿尔法产业先锋混合型发起式证券投资基金C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>4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t xml:space="preserve">   </w:t>
            </w:r>
            <w:r>
              <w:rPr>
                <w:rFonts w:hint="eastAsia"/>
              </w:rPr>
              <w:t>4</w:t>
            </w: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011184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东方阿尔法招阳混合型证券投资基金</w:t>
            </w:r>
            <w:r>
              <w:rPr>
                <w:rFonts w:hint="eastAsia"/>
                <w:spacing w:val="-2"/>
                <w:sz w:val="24"/>
              </w:rPr>
              <w:t>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011185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东方阿尔法招阳混合型证券投资基金</w:t>
            </w:r>
            <w:r>
              <w:rPr>
                <w:rFonts w:hint="eastAsia"/>
                <w:spacing w:val="-2"/>
                <w:sz w:val="24"/>
              </w:rPr>
              <w:t>C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017889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东方阿尔法招阳混合型证券投资基金</w:t>
            </w:r>
            <w:r>
              <w:rPr>
                <w:rFonts w:hint="eastAsia"/>
                <w:spacing w:val="-2"/>
                <w:sz w:val="24"/>
              </w:rPr>
              <w:t>E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t>5</w:t>
            </w:r>
          </w:p>
        </w:tc>
        <w:tc>
          <w:tcPr>
            <w:tcW w:w="1296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005358</w:t>
            </w:r>
          </w:p>
        </w:tc>
        <w:tc>
          <w:tcPr>
            <w:tcW w:w="3735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东方阿尔法精选灵活配置混合型发起式证券投资基金A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16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005359</w:t>
            </w:r>
          </w:p>
        </w:tc>
        <w:tc>
          <w:tcPr>
            <w:tcW w:w="373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16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东方阿尔法精选灵活配置混合型发起式证券投资基金C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</w:tcPr>
          <w:p>
            <w:pPr>
              <w:pStyle w:val="16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</w:tc>
      </w:tr>
    </w:tbl>
    <w:p>
      <w:pPr>
        <w:rPr>
          <w:sz w:val="2"/>
          <w:szCs w:val="2"/>
        </w:rPr>
        <w:sectPr>
          <w:type w:val="continuous"/>
          <w:pgSz w:w="12240" w:h="15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>
      <w:pPr>
        <w:rPr>
          <w:sz w:val="2"/>
          <w:szCs w:val="2"/>
        </w:rPr>
        <w:sectPr>
          <w:type w:val="continuous"/>
          <w:pgSz w:w="12240" w:h="15840"/>
          <w:pgMar w:top="1420" w:right="1080" w:bottom="1449" w:left="1080" w:header="720" w:footer="720" w:gutter="0"/>
          <w:cols w:space="720" w:num="1"/>
        </w:sectPr>
      </w:pPr>
    </w:p>
    <w:p>
      <w:pPr>
        <w:pStyle w:val="4"/>
        <w:spacing w:line="365" w:lineRule="auto"/>
        <w:jc w:val="both"/>
        <w:rPr>
          <w:spacing w:val="4"/>
        </w:rPr>
      </w:pPr>
      <w:r>
        <w:rPr>
          <w:rFonts w:hint="eastAsia"/>
          <w:spacing w:val="4"/>
        </w:rPr>
        <w:t xml:space="preserve"> </w:t>
      </w:r>
      <w:r>
        <w:rPr>
          <w:spacing w:val="4"/>
        </w:rPr>
        <w:t xml:space="preserve">   投资者可登录</w:t>
      </w:r>
      <w:r>
        <w:rPr>
          <w:rFonts w:hint="eastAsia"/>
          <w:spacing w:val="4"/>
        </w:rPr>
        <w:t>本公司网站(</w:t>
      </w:r>
      <w:r>
        <w:rPr>
          <w:spacing w:val="4"/>
        </w:rPr>
        <w:fldChar w:fldCharType="begin"/>
      </w:r>
      <w:r>
        <w:rPr>
          <w:spacing w:val="4"/>
        </w:rPr>
        <w:instrText xml:space="preserve"> HYPERLINK "https://www.dfa66.com/" </w:instrText>
      </w:r>
      <w:r>
        <w:rPr>
          <w:spacing w:val="4"/>
        </w:rPr>
        <w:fldChar w:fldCharType="separate"/>
      </w:r>
      <w:r>
        <w:rPr>
          <w:spacing w:val="4"/>
        </w:rPr>
        <w:t>https://www.dfa66.com/</w:t>
      </w:r>
      <w:r>
        <w:rPr>
          <w:spacing w:val="4"/>
        </w:rPr>
        <w:fldChar w:fldCharType="end"/>
      </w:r>
      <w:r>
        <w:rPr>
          <w:rFonts w:hint="eastAsia"/>
          <w:spacing w:val="4"/>
        </w:rPr>
        <w:t>)查询、了解各基金的风险评级</w:t>
      </w:r>
      <w:r>
        <w:rPr>
          <w:spacing w:val="4"/>
        </w:rPr>
        <w:t>，或拨打本公司客服热线</w:t>
      </w:r>
      <w:r>
        <w:rPr>
          <w:rFonts w:hint="eastAsia"/>
          <w:spacing w:val="4"/>
        </w:rPr>
        <w:t>（4</w:t>
      </w:r>
      <w:r>
        <w:rPr>
          <w:spacing w:val="4"/>
        </w:rPr>
        <w:t>00-930-6677</w:t>
      </w:r>
      <w:bookmarkStart w:id="8" w:name="_GoBack"/>
      <w:bookmarkEnd w:id="8"/>
      <w:r>
        <w:rPr>
          <w:rFonts w:hint="eastAsia"/>
          <w:spacing w:val="4"/>
        </w:rPr>
        <w:t>）咨询详情</w:t>
      </w:r>
      <w:r>
        <w:rPr>
          <w:spacing w:val="4"/>
        </w:rPr>
        <w:t>。</w:t>
      </w:r>
    </w:p>
    <w:p>
      <w:pPr>
        <w:pStyle w:val="4"/>
        <w:spacing w:line="364" w:lineRule="auto"/>
        <w:ind w:right="719"/>
        <w:jc w:val="both"/>
        <w:rPr>
          <w:spacing w:val="-2"/>
        </w:rPr>
      </w:pPr>
    </w:p>
    <w:p>
      <w:pPr>
        <w:pStyle w:val="4"/>
        <w:spacing w:line="364" w:lineRule="auto"/>
        <w:ind w:right="719"/>
        <w:jc w:val="both"/>
        <w:rPr>
          <w:b/>
          <w:spacing w:val="-2"/>
        </w:rPr>
      </w:pPr>
      <w:r>
        <w:rPr>
          <w:b/>
          <w:spacing w:val="-2"/>
        </w:rPr>
        <w:t>重要提示：</w:t>
      </w:r>
    </w:p>
    <w:p>
      <w:pPr>
        <w:pStyle w:val="4"/>
        <w:spacing w:line="365" w:lineRule="auto"/>
        <w:ind w:firstLine="496" w:firstLineChars="200"/>
        <w:jc w:val="both"/>
      </w:pPr>
      <w:r>
        <w:rPr>
          <w:spacing w:val="4"/>
        </w:rPr>
        <w:t>1</w:t>
      </w:r>
      <w:r>
        <w:rPr>
          <w:spacing w:val="6"/>
        </w:rPr>
        <w:t>、销售机构（包括基金管理人直销机构和代销机构</w:t>
      </w:r>
      <w:r>
        <w:rPr>
          <w:spacing w:val="12"/>
        </w:rPr>
        <w:t>）</w:t>
      </w:r>
      <w:r>
        <w:rPr>
          <w:spacing w:val="5"/>
        </w:rPr>
        <w:t>根据投资者适当性</w:t>
      </w:r>
      <w:r>
        <w:t>法律法规对基金进行风险评价，不同的销售机构采用的评价方法不同，因此不同销售机构对基金的风险等级评价结果可能存在不同</w:t>
      </w:r>
      <w:r>
        <w:rPr>
          <w:spacing w:val="3"/>
        </w:rPr>
        <w:t>。</w:t>
      </w:r>
    </w:p>
    <w:p>
      <w:pPr>
        <w:pStyle w:val="4"/>
        <w:spacing w:line="365" w:lineRule="auto"/>
        <w:ind w:firstLine="496" w:firstLineChars="200"/>
        <w:jc w:val="both"/>
      </w:pPr>
      <w:r>
        <w:rPr>
          <w:spacing w:val="4"/>
        </w:rPr>
        <w:t>2</w:t>
      </w:r>
      <w:r>
        <w:rPr>
          <w:spacing w:val="5"/>
        </w:rPr>
        <w:t>、投资者购买基金后，所购买的基金产品风险等级可能因市场或运作情</w:t>
      </w:r>
      <w:r>
        <w:t>况等影响而发生调整，并可能超出投资者自身风险承受能力，从而可能产生不</w:t>
      </w:r>
      <w:r>
        <w:rPr>
          <w:spacing w:val="-1"/>
        </w:rPr>
        <w:t>利后果和损失。请投资者务必及时关注基金风险等级的变化</w:t>
      </w:r>
      <w:r>
        <w:rPr>
          <w:rFonts w:hint="eastAsia"/>
          <w:spacing w:val="-1"/>
        </w:rPr>
        <w:t>并</w:t>
      </w:r>
      <w:r>
        <w:rPr>
          <w:spacing w:val="-1"/>
        </w:rPr>
        <w:t>了解</w:t>
      </w:r>
      <w:r>
        <w:rPr>
          <w:rFonts w:hint="eastAsia"/>
          <w:spacing w:val="-1"/>
        </w:rPr>
        <w:t>本人持有基金</w:t>
      </w:r>
      <w:r>
        <w:rPr>
          <w:spacing w:val="-1"/>
        </w:rPr>
        <w:t>调整后的基金风险等级，并根据自身的投资</w:t>
      </w:r>
      <w:r>
        <w:rPr>
          <w:spacing w:val="-2"/>
        </w:rPr>
        <w:t>目的、投资期限、投资经验、资产状况等判断基金是否与本人的风险承受能力</w:t>
      </w:r>
      <w:r>
        <w:rPr>
          <w:spacing w:val="3"/>
        </w:rPr>
        <w:t>及投资需求相适应。</w:t>
      </w:r>
    </w:p>
    <w:p>
      <w:pPr>
        <w:pStyle w:val="4"/>
        <w:spacing w:line="365" w:lineRule="auto"/>
        <w:ind w:firstLine="488" w:firstLineChars="200"/>
        <w:jc w:val="both"/>
      </w:pPr>
      <w:r>
        <w:rPr>
          <w:spacing w:val="2"/>
        </w:rPr>
        <w:t>3</w:t>
      </w:r>
      <w:r>
        <w:rPr>
          <w:spacing w:val="-3"/>
        </w:rPr>
        <w:t>、本公司承诺以诚实信用、勤勉尽责的原则管理和运用基金资产,</w:t>
      </w:r>
      <w:r>
        <w:rPr>
          <w:rFonts w:hint="eastAsia"/>
          <w:spacing w:val="-3"/>
        </w:rPr>
        <w:t>但</w:t>
      </w:r>
      <w:r>
        <w:rPr>
          <w:spacing w:val="-3"/>
        </w:rPr>
        <w:t>不保</w:t>
      </w:r>
      <w:r>
        <w:rPr>
          <w:spacing w:val="5"/>
        </w:rPr>
        <w:t>证基金一定盈利,也不保证最低收益。基金的过往业绩并不预示其未来业绩表现，</w:t>
      </w:r>
      <w:r>
        <w:t>敬请投资者注意投资风险。基金有风险，投资需谨慎，请投资人在做出投资决</w:t>
      </w:r>
      <w:r>
        <w:rPr>
          <w:spacing w:val="2"/>
        </w:rPr>
        <w:t>策前详阅基金合同、招募说明书</w:t>
      </w:r>
      <w:r>
        <w:rPr>
          <w:spacing w:val="1"/>
        </w:rPr>
        <w:t>、基金产品资料概要</w:t>
      </w:r>
      <w:r>
        <w:rPr>
          <w:spacing w:val="3"/>
        </w:rPr>
        <w:t>等法律</w:t>
      </w:r>
      <w:r>
        <w:rPr>
          <w:spacing w:val="-2"/>
        </w:rPr>
        <w:t>文件</w:t>
      </w:r>
      <w:r>
        <w:rPr>
          <w:rFonts w:hint="eastAsia"/>
          <w:spacing w:val="-2"/>
        </w:rPr>
        <w:t>及其更新</w:t>
      </w:r>
      <w:r>
        <w:rPr>
          <w:spacing w:val="-2"/>
        </w:rPr>
        <w:t>，</w:t>
      </w:r>
      <w:r>
        <w:t>全面认识基金产品的风险收益特征，在了解产品情况及听取销售机构适当性意见的基础上，根据自身的风险承受能力、投资期限和投资目标，对基金投资作出独立决策，选择合适的基金产品。敬请投资者在购买基金前认真考虑、谨慎决策。</w:t>
      </w:r>
    </w:p>
    <w:p>
      <w:pPr>
        <w:pStyle w:val="4"/>
        <w:spacing w:line="305" w:lineRule="exact"/>
        <w:ind w:left="1200"/>
        <w:rPr>
          <w:spacing w:val="-2"/>
        </w:rPr>
      </w:pPr>
    </w:p>
    <w:p>
      <w:pPr>
        <w:pStyle w:val="4"/>
        <w:spacing w:line="305" w:lineRule="exact"/>
        <w:ind w:left="1200"/>
        <w:rPr>
          <w:spacing w:val="-2"/>
        </w:rPr>
      </w:pPr>
    </w:p>
    <w:p>
      <w:pPr>
        <w:pStyle w:val="4"/>
        <w:spacing w:before="160"/>
        <w:ind w:right="719"/>
        <w:jc w:val="right"/>
        <w:rPr>
          <w:spacing w:val="-2"/>
        </w:rPr>
      </w:pPr>
    </w:p>
    <w:p>
      <w:pPr>
        <w:pStyle w:val="4"/>
        <w:spacing w:before="160"/>
        <w:ind w:right="719"/>
        <w:jc w:val="right"/>
        <w:rPr>
          <w:spacing w:val="-2"/>
        </w:rPr>
      </w:pPr>
      <w:r>
        <w:rPr>
          <w:rFonts w:hint="eastAsia"/>
          <w:spacing w:val="-2"/>
        </w:rPr>
        <w:t>东方阿尔法基金管理有限公司</w:t>
      </w:r>
    </w:p>
    <w:p>
      <w:pPr>
        <w:pStyle w:val="4"/>
        <w:spacing w:before="160"/>
        <w:ind w:right="1199"/>
        <w:jc w:val="right"/>
      </w:pPr>
      <w:r>
        <w:t>2025 年 11 月</w:t>
      </w:r>
      <w:r>
        <w:rPr>
          <w:rFonts w:hint="eastAsia"/>
        </w:rPr>
        <w:t xml:space="preserve"> </w:t>
      </w:r>
      <w:r>
        <w:t>28 日</w:t>
      </w:r>
    </w:p>
    <w:sectPr>
      <w:type w:val="continuous"/>
      <w:pgSz w:w="12240" w:h="15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80"/>
    <w:rsid w:val="00064383"/>
    <w:rsid w:val="00100711"/>
    <w:rsid w:val="001052ED"/>
    <w:rsid w:val="00116867"/>
    <w:rsid w:val="0016418A"/>
    <w:rsid w:val="0017113C"/>
    <w:rsid w:val="001800DC"/>
    <w:rsid w:val="0019469D"/>
    <w:rsid w:val="001F5E0A"/>
    <w:rsid w:val="00253C53"/>
    <w:rsid w:val="002661CA"/>
    <w:rsid w:val="002F2843"/>
    <w:rsid w:val="002F4ED4"/>
    <w:rsid w:val="00347ADA"/>
    <w:rsid w:val="00394D53"/>
    <w:rsid w:val="003F1C3E"/>
    <w:rsid w:val="003F2075"/>
    <w:rsid w:val="00414034"/>
    <w:rsid w:val="004B30E2"/>
    <w:rsid w:val="004F2354"/>
    <w:rsid w:val="00536F3E"/>
    <w:rsid w:val="00542E6C"/>
    <w:rsid w:val="00566F65"/>
    <w:rsid w:val="00595969"/>
    <w:rsid w:val="005F5B14"/>
    <w:rsid w:val="0064716E"/>
    <w:rsid w:val="0066789F"/>
    <w:rsid w:val="00677B2B"/>
    <w:rsid w:val="006C0C53"/>
    <w:rsid w:val="00724443"/>
    <w:rsid w:val="00727F5F"/>
    <w:rsid w:val="00750363"/>
    <w:rsid w:val="00765161"/>
    <w:rsid w:val="007910E8"/>
    <w:rsid w:val="007A161A"/>
    <w:rsid w:val="007F5CC7"/>
    <w:rsid w:val="0085029F"/>
    <w:rsid w:val="008E42EC"/>
    <w:rsid w:val="0098141B"/>
    <w:rsid w:val="009D1486"/>
    <w:rsid w:val="009D2580"/>
    <w:rsid w:val="009D671D"/>
    <w:rsid w:val="00A0688F"/>
    <w:rsid w:val="00A67CBA"/>
    <w:rsid w:val="00A96274"/>
    <w:rsid w:val="00AE6A40"/>
    <w:rsid w:val="00B01A1F"/>
    <w:rsid w:val="00B413C2"/>
    <w:rsid w:val="00C764A3"/>
    <w:rsid w:val="00CE2E37"/>
    <w:rsid w:val="00D33898"/>
    <w:rsid w:val="00D338BB"/>
    <w:rsid w:val="00DB2CC2"/>
    <w:rsid w:val="00DC39BC"/>
    <w:rsid w:val="00DD6482"/>
    <w:rsid w:val="00E06949"/>
    <w:rsid w:val="00E75606"/>
    <w:rsid w:val="00E91CA1"/>
    <w:rsid w:val="00ED777D"/>
    <w:rsid w:val="00EF087E"/>
    <w:rsid w:val="00F66E74"/>
    <w:rsid w:val="00FE0442"/>
    <w:rsid w:val="25B836B3"/>
    <w:rsid w:val="4AC248C0"/>
    <w:rsid w:val="5EC6797A"/>
    <w:rsid w:val="715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78" w:lineRule="auto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20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uiPriority w:val="99"/>
  </w:style>
  <w:style w:type="paragraph" w:styleId="4">
    <w:name w:val="Body Text"/>
    <w:basedOn w:val="1"/>
    <w:link w:val="19"/>
    <w:qFormat/>
    <w:uiPriority w:val="1"/>
    <w:rPr>
      <w:sz w:val="24"/>
      <w:szCs w:val="24"/>
    </w:rPr>
  </w:style>
  <w:style w:type="paragraph" w:styleId="5">
    <w:name w:val="Balloon Text"/>
    <w:basedOn w:val="1"/>
    <w:link w:val="23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1"/>
    <w:pPr>
      <w:ind w:right="1"/>
      <w:jc w:val="center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9">
    <w:name w:val="annotation subject"/>
    <w:basedOn w:val="3"/>
    <w:next w:val="3"/>
    <w:link w:val="21"/>
    <w:semiHidden/>
    <w:unhideWhenUsed/>
    <w:uiPriority w:val="99"/>
    <w:rPr>
      <w:b/>
      <w:bCs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  <w:pPr>
      <w:ind w:left="10"/>
    </w:pPr>
  </w:style>
  <w:style w:type="character" w:customStyle="1" w:styleId="17">
    <w:name w:val="页眉 Char"/>
    <w:basedOn w:val="11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8">
    <w:name w:val="页脚 Char"/>
    <w:basedOn w:val="11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9">
    <w:name w:val="正文文本 Char"/>
    <w:basedOn w:val="11"/>
    <w:link w:val="4"/>
    <w:qFormat/>
    <w:uiPriority w:val="1"/>
    <w:rPr>
      <w:rFonts w:ascii="宋体" w:hAnsi="宋体" w:eastAsia="宋体" w:cs="宋体"/>
      <w:sz w:val="24"/>
      <w:szCs w:val="24"/>
      <w:lang w:eastAsia="zh-CN"/>
    </w:rPr>
  </w:style>
  <w:style w:type="character" w:customStyle="1" w:styleId="20">
    <w:name w:val="批注文字 Char"/>
    <w:basedOn w:val="11"/>
    <w:link w:val="3"/>
    <w:uiPriority w:val="99"/>
    <w:rPr>
      <w:rFonts w:ascii="宋体" w:hAnsi="宋体" w:eastAsia="宋体" w:cs="宋体"/>
      <w:sz w:val="22"/>
      <w:szCs w:val="22"/>
    </w:rPr>
  </w:style>
  <w:style w:type="character" w:customStyle="1" w:styleId="21">
    <w:name w:val="批注主题 Char"/>
    <w:basedOn w:val="20"/>
    <w:link w:val="9"/>
    <w:semiHidden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22">
    <w:name w:val="修订1"/>
    <w:hidden/>
    <w:unhideWhenUsed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23">
    <w:name w:val="批注框文本 Char"/>
    <w:basedOn w:val="11"/>
    <w:link w:val="5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AF8E7A-040F-4DC0-B4B4-8E4576E9E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1119</Words>
  <Characters>271</Characters>
  <Lines>2</Lines>
  <Paragraphs>2</Paragraphs>
  <TotalTime>211</TotalTime>
  <ScaleCrop>false</ScaleCrop>
  <LinksUpToDate>false</LinksUpToDate>
  <CharactersWithSpaces>1388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2025-10-23T09:15:00Z</dcterms:created>
  <dc:creator>tiantian 田恬</dc:creator>
  <cp:lastModifiedBy>聪子</cp:lastModifiedBy>
  <dcterms:modified xsi:type="dcterms:W3CDTF">2025-11-27T08:31:16Z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Aspose.Words for Java 22.10.0</vt:lpwstr>
  </property>
  <property fmtid="{D5CDD505-2E9C-101B-9397-08002B2CF9AE}" pid="6" name="KSOProductBuildVer">
    <vt:lpwstr>2052-11.1.0.10314</vt:lpwstr>
  </property>
</Properties>
</file>