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东方阿尔法基金管理有限公司关于旗下基金</w:t>
      </w:r>
    </w:p>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增加</w:t>
      </w:r>
      <w:r>
        <w:rPr>
          <w:rFonts w:hint="eastAsia" w:ascii="Times New Roman" w:hAnsi="Times New Roman" w:eastAsia="宋体" w:cs="Times New Roman"/>
          <w:b/>
          <w:sz w:val="28"/>
          <w:szCs w:val="28"/>
        </w:rPr>
        <w:t>上海万得基金销售有限公司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w:t>
      </w:r>
      <w:r>
        <w:rPr>
          <w:rFonts w:hint="eastAsia" w:ascii="Times New Roman" w:hAnsi="Times New Roman" w:eastAsia="宋体" w:cs="Times New Roman"/>
          <w:sz w:val="24"/>
          <w:szCs w:val="28"/>
        </w:rPr>
        <w:t>“</w:t>
      </w:r>
      <w:r>
        <w:rPr>
          <w:rFonts w:ascii="Times New Roman" w:hAnsi="Times New Roman" w:eastAsia="宋体" w:cs="Times New Roman"/>
          <w:sz w:val="24"/>
          <w:szCs w:val="28"/>
        </w:rPr>
        <w:t>我司</w:t>
      </w:r>
      <w:r>
        <w:rPr>
          <w:rFonts w:hint="eastAsia" w:ascii="Times New Roman" w:hAnsi="Times New Roman" w:eastAsia="宋体" w:cs="Times New Roman"/>
          <w:sz w:val="24"/>
          <w:szCs w:val="28"/>
        </w:rPr>
        <w:t>”</w:t>
      </w:r>
      <w:r>
        <w:rPr>
          <w:rFonts w:ascii="Times New Roman" w:hAnsi="Times New Roman" w:eastAsia="宋体" w:cs="Times New Roman"/>
          <w:sz w:val="24"/>
          <w:szCs w:val="28"/>
        </w:rPr>
        <w:t>）与</w:t>
      </w:r>
      <w:r>
        <w:rPr>
          <w:rFonts w:hint="eastAsia" w:ascii="Times New Roman" w:hAnsi="Times New Roman" w:eastAsia="宋体" w:cs="Times New Roman"/>
          <w:sz w:val="24"/>
          <w:szCs w:val="28"/>
        </w:rPr>
        <w:t>上海万得基金销售有限公司</w:t>
      </w:r>
      <w:r>
        <w:rPr>
          <w:rFonts w:ascii="Times New Roman" w:hAnsi="Times New Roman" w:eastAsia="宋体" w:cs="Times New Roman"/>
          <w:sz w:val="24"/>
          <w:szCs w:val="28"/>
        </w:rPr>
        <w:t>签署的销售服务协议，自2025年12月12日起，我司旗下基金增加</w:t>
      </w:r>
      <w:r>
        <w:rPr>
          <w:rFonts w:hint="eastAsia" w:ascii="Times New Roman" w:hAnsi="Times New Roman" w:eastAsia="宋体" w:cs="Times New Roman"/>
          <w:sz w:val="24"/>
          <w:szCs w:val="28"/>
        </w:rPr>
        <w:t>上海万得基金销售有限公司</w:t>
      </w:r>
      <w:r>
        <w:rPr>
          <w:rFonts w:ascii="Times New Roman" w:hAnsi="Times New Roman" w:eastAsia="宋体" w:cs="Times New Roman"/>
          <w:sz w:val="24"/>
          <w:szCs w:val="28"/>
        </w:rPr>
        <w:t>为销售机构。现将有关事项公告如下</w:t>
      </w:r>
    </w:p>
    <w:p>
      <w:pPr>
        <w:spacing w:line="360" w:lineRule="auto"/>
        <w:rPr>
          <w:rFonts w:ascii="Times New Roman" w:hAnsi="Times New Roman" w:eastAsia="宋体" w:cs="Times New Roman"/>
          <w:sz w:val="24"/>
          <w:szCs w:val="28"/>
        </w:rPr>
      </w:pPr>
    </w:p>
    <w:p>
      <w:pPr>
        <w:pStyle w:val="22"/>
        <w:numPr>
          <w:ilvl w:val="0"/>
          <w:numId w:val="1"/>
        </w:numPr>
        <w:spacing w:line="360" w:lineRule="auto"/>
        <w:ind w:firstLineChars="0"/>
        <w:rPr>
          <w:rFonts w:ascii="Times New Roman" w:hAnsi="Times New Roman" w:eastAsia="宋体" w:cs="Times New Roman"/>
          <w:b/>
          <w:sz w:val="24"/>
          <w:szCs w:val="28"/>
        </w:rPr>
      </w:pPr>
      <w:r>
        <w:rPr>
          <w:rFonts w:ascii="Times New Roman" w:hAnsi="Times New Roman" w:eastAsia="宋体" w:cs="Times New Roman"/>
          <w:b/>
          <w:sz w:val="24"/>
          <w:szCs w:val="28"/>
        </w:rPr>
        <w:t>涉及基金及业务范围</w:t>
      </w:r>
    </w:p>
    <w:tbl>
      <w:tblPr>
        <w:tblStyle w:val="15"/>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4499"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009644</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东方阿尔法优势产业混合型发起式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00964</w:t>
            </w:r>
            <w:r>
              <w:rPr>
                <w:rFonts w:ascii="Times New Roman" w:hAnsi="Times New Roman" w:eastAsia="宋体" w:cs="Times New Roman"/>
                <w:sz w:val="24"/>
                <w:szCs w:val="28"/>
              </w:rPr>
              <w:t>5</w:t>
            </w:r>
          </w:p>
        </w:tc>
        <w:tc>
          <w:tcPr>
            <w:tcW w:w="4499" w:type="dxa"/>
            <w:vMerge w:val="continue"/>
            <w:vAlign w:val="center"/>
          </w:tcPr>
          <w:p>
            <w:pPr>
              <w:spacing w:line="360" w:lineRule="auto"/>
              <w:jc w:val="center"/>
              <w:rPr>
                <w:rFonts w:ascii="Times New Roman" w:hAnsi="Times New Roman" w:eastAsia="宋体" w:cs="Times New Roman"/>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2</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w:t>
            </w:r>
            <w:r>
              <w:rPr>
                <w:rFonts w:hint="eastAsia" w:ascii="Times New Roman" w:hAnsi="Times New Roman" w:eastAsia="宋体" w:cs="Times New Roman"/>
                <w:sz w:val="24"/>
                <w:szCs w:val="28"/>
              </w:rPr>
              <w:t>11184</w:t>
            </w:r>
          </w:p>
        </w:tc>
        <w:tc>
          <w:tcPr>
            <w:tcW w:w="4499" w:type="dxa"/>
            <w:vMerge w:val="restart"/>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w:t>
            </w:r>
            <w:r>
              <w:rPr>
                <w:rFonts w:hint="eastAsia" w:ascii="Times New Roman" w:hAnsi="Times New Roman" w:eastAsia="宋体" w:cs="Times New Roman"/>
                <w:sz w:val="24"/>
                <w:szCs w:val="28"/>
              </w:rPr>
              <w:t>招阳</w:t>
            </w:r>
            <w:r>
              <w:rPr>
                <w:rFonts w:ascii="Times New Roman" w:hAnsi="Times New Roman" w:eastAsia="宋体" w:cs="Times New Roman"/>
                <w:sz w:val="24"/>
                <w:szCs w:val="28"/>
              </w:rPr>
              <w:t>混合型证券投资基金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E类：0</w:t>
            </w:r>
            <w:r>
              <w:rPr>
                <w:rFonts w:hint="eastAsia" w:ascii="Times New Roman" w:hAnsi="Times New Roman" w:eastAsia="宋体" w:cs="Times New Roman"/>
                <w:sz w:val="24"/>
                <w:szCs w:val="28"/>
              </w:rPr>
              <w:t>1</w:t>
            </w:r>
            <w:r>
              <w:rPr>
                <w:rFonts w:ascii="Times New Roman" w:hAnsi="Times New Roman" w:eastAsia="宋体" w:cs="Times New Roman"/>
                <w:sz w:val="24"/>
                <w:szCs w:val="28"/>
              </w:rPr>
              <w:t>7889</w:t>
            </w:r>
          </w:p>
        </w:tc>
        <w:tc>
          <w:tcPr>
            <w:tcW w:w="4499" w:type="dxa"/>
            <w:vMerge w:val="continue"/>
            <w:vAlign w:val="center"/>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3</w:t>
            </w:r>
          </w:p>
        </w:tc>
        <w:tc>
          <w:tcPr>
            <w:tcW w:w="2486" w:type="dxa"/>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011704</w:t>
            </w:r>
          </w:p>
        </w:tc>
        <w:tc>
          <w:tcPr>
            <w:tcW w:w="4499" w:type="dxa"/>
            <w:vMerge w:val="restart"/>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w:t>
            </w:r>
            <w:r>
              <w:rPr>
                <w:rFonts w:hint="eastAsia" w:ascii="Times New Roman" w:hAnsi="Times New Roman" w:eastAsia="宋体" w:cs="Times New Roman"/>
                <w:sz w:val="24"/>
                <w:szCs w:val="28"/>
              </w:rPr>
              <w:t>产业先锋</w:t>
            </w:r>
            <w:r>
              <w:rPr>
                <w:rFonts w:ascii="Times New Roman" w:hAnsi="Times New Roman" w:eastAsia="宋体" w:cs="Times New Roman"/>
                <w:sz w:val="24"/>
                <w:szCs w:val="28"/>
              </w:rPr>
              <w:t>混合型发起式</w:t>
            </w:r>
          </w:p>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sz w:val="24"/>
                <w:szCs w:val="28"/>
              </w:rPr>
            </w:pPr>
          </w:p>
        </w:tc>
        <w:tc>
          <w:tcPr>
            <w:tcW w:w="2486" w:type="dxa"/>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011705</w:t>
            </w:r>
          </w:p>
        </w:tc>
        <w:tc>
          <w:tcPr>
            <w:tcW w:w="4499" w:type="dxa"/>
            <w:vMerge w:val="continue"/>
            <w:vAlign w:val="center"/>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4</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014841</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东方阿尔法医疗健康混合型发起式</w:t>
            </w:r>
          </w:p>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01484</w:t>
            </w:r>
            <w:r>
              <w:rPr>
                <w:rFonts w:ascii="Times New Roman" w:hAnsi="Times New Roman" w:eastAsia="宋体" w:cs="Times New Roman"/>
                <w:sz w:val="24"/>
                <w:szCs w:val="28"/>
              </w:rPr>
              <w:t>2</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5</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005358</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东方阿尔法精选灵活配置混合型发起式证券投资基金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：00535</w:t>
            </w:r>
            <w:r>
              <w:rPr>
                <w:rFonts w:ascii="Times New Roman" w:hAnsi="Times New Roman" w:eastAsia="宋体" w:cs="Times New Roman"/>
                <w:sz w:val="24"/>
                <w:szCs w:val="28"/>
              </w:rPr>
              <w:t>9</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6</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00751</w:t>
            </w:r>
            <w:r>
              <w:rPr>
                <w:rFonts w:ascii="Times New Roman" w:hAnsi="Times New Roman" w:eastAsia="宋体" w:cs="Times New Roman"/>
                <w:sz w:val="24"/>
                <w:szCs w:val="28"/>
              </w:rPr>
              <w:t>8</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东方阿尔法优选混合型发起式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00751</w:t>
            </w:r>
            <w:r>
              <w:rPr>
                <w:rFonts w:ascii="Times New Roman" w:hAnsi="Times New Roman" w:eastAsia="宋体" w:cs="Times New Roman"/>
                <w:sz w:val="24"/>
                <w:szCs w:val="28"/>
              </w:rPr>
              <w:t>9</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7</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015900</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东方阿尔法兴科一年持有期混合型</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w:t>
            </w:r>
            <w:r>
              <w:rPr>
                <w:rFonts w:ascii="Times New Roman" w:hAnsi="Times New Roman" w:eastAsia="宋体" w:cs="Times New Roman"/>
                <w:sz w:val="24"/>
                <w:szCs w:val="28"/>
              </w:rPr>
              <w:t>15901</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8</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w:t>
            </w:r>
            <w:r>
              <w:rPr>
                <w:rFonts w:hint="eastAsia" w:ascii="Times New Roman" w:hAnsi="Times New Roman" w:eastAsia="宋体" w:cs="Times New Roman"/>
                <w:sz w:val="24"/>
                <w:szCs w:val="28"/>
              </w:rPr>
              <w:t>01</w:t>
            </w:r>
            <w:r>
              <w:rPr>
                <w:rFonts w:ascii="Times New Roman" w:hAnsi="Times New Roman" w:eastAsia="宋体" w:cs="Times New Roman"/>
                <w:sz w:val="24"/>
                <w:szCs w:val="28"/>
              </w:rPr>
              <w:t>8362</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东方阿尔法瑞丰混合型发起式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w:t>
            </w:r>
            <w:r>
              <w:rPr>
                <w:rFonts w:hint="eastAsia" w:ascii="Times New Roman" w:hAnsi="Times New Roman" w:eastAsia="宋体" w:cs="Times New Roman"/>
                <w:sz w:val="24"/>
                <w:szCs w:val="28"/>
              </w:rPr>
              <w:t>0</w:t>
            </w:r>
            <w:r>
              <w:rPr>
                <w:rFonts w:ascii="Times New Roman" w:hAnsi="Times New Roman" w:eastAsia="宋体" w:cs="Times New Roman"/>
                <w:sz w:val="24"/>
                <w:szCs w:val="28"/>
              </w:rPr>
              <w:t>18363</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9</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A类：024423</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东方阿尔法科技优选混合型发起式证券投资基金基金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C类：024424</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1</w:t>
            </w:r>
            <w:r>
              <w:rPr>
                <w:rFonts w:ascii="Times New Roman" w:hAnsi="Times New Roman" w:eastAsia="宋体" w:cs="Times New Roman"/>
                <w:b/>
                <w:sz w:val="24"/>
                <w:szCs w:val="28"/>
              </w:rPr>
              <w:t>0</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A类：024357</w:t>
            </w:r>
          </w:p>
        </w:tc>
        <w:tc>
          <w:tcPr>
            <w:tcW w:w="4499" w:type="dxa"/>
            <w:vMerge w:val="restart"/>
          </w:tcPr>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东方阿尔法健康产业混合型发起式证券投资基金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C类：024358</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1</w:t>
            </w:r>
            <w:r>
              <w:rPr>
                <w:rFonts w:ascii="Times New Roman" w:hAnsi="Times New Roman" w:eastAsia="宋体" w:cs="Times New Roman"/>
                <w:b/>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A类：025499</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东方阿尔法科技智选混合型发起式证券投资基金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C类：025500</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1</w:t>
            </w:r>
            <w:r>
              <w:rPr>
                <w:rFonts w:ascii="Times New Roman" w:hAnsi="Times New Roman" w:eastAsia="宋体" w:cs="Times New Roman"/>
                <w:b/>
                <w:sz w:val="24"/>
                <w:szCs w:val="28"/>
              </w:rPr>
              <w:t>2</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A类：025777</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东方阿尔法瑞享混合型发起式</w:t>
            </w:r>
          </w:p>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C类：025778</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1</w:t>
            </w:r>
            <w:r>
              <w:rPr>
                <w:rFonts w:ascii="Times New Roman" w:hAnsi="Times New Roman" w:eastAsia="宋体" w:cs="Times New Roman"/>
                <w:b/>
                <w:sz w:val="24"/>
                <w:szCs w:val="28"/>
              </w:rPr>
              <w:t>3</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A类：025792</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东方阿尔法科技甄选混合型发起式</w:t>
            </w:r>
          </w:p>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C类：025793</w:t>
            </w:r>
          </w:p>
        </w:tc>
        <w:tc>
          <w:tcPr>
            <w:tcW w:w="4499" w:type="dxa"/>
            <w:vMerge w:val="continue"/>
          </w:tcPr>
          <w:p>
            <w:pPr>
              <w:spacing w:line="360" w:lineRule="auto"/>
              <w:jc w:val="center"/>
              <w:rPr>
                <w:rFonts w:ascii="Times New Roman" w:hAnsi="Times New Roman" w:eastAsia="宋体" w:cs="Times New Roman"/>
                <w:sz w:val="24"/>
                <w:szCs w:val="28"/>
              </w:rPr>
            </w:pPr>
          </w:p>
        </w:tc>
      </w:tr>
    </w:tbl>
    <w:p>
      <w:pPr>
        <w:spacing w:line="360" w:lineRule="auto"/>
        <w:ind w:left="482"/>
        <w:rPr>
          <w:rFonts w:ascii="Times New Roman" w:hAnsi="Times New Roman" w:eastAsia="宋体" w:cs="Times New Roman"/>
          <w:b/>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投资人可按照上海万得基金销售有限公司提供的方式办理上述基金的开户、申购、赎回、转换及定投业务。具体业务办理规则请遵循上海万得基金销售有限公司的相关规定。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申</w:t>
      </w:r>
      <w:r>
        <w:rPr>
          <w:rFonts w:ascii="Times New Roman" w:hAnsi="Times New Roman" w:eastAsia="宋体" w:cs="Times New Roman"/>
          <w:sz w:val="24"/>
          <w:szCs w:val="28"/>
        </w:rPr>
        <w:t>购/赎回业务仅适用于处于正常申购、赎回开放日和开放时间的基金。基金封闭期等特殊期间的有关规定详见对应基金的《基金合同》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上海万得基金销售有限公司申购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上海万得基金销售有限公司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1、上海万得基金销售有限公司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w:t>
      </w:r>
      <w:r>
        <w:rPr>
          <w:rFonts w:hint="eastAsia" w:ascii="Times New Roman" w:hAnsi="Times New Roman" w:eastAsia="宋体" w:cs="Times New Roman"/>
          <w:sz w:val="24"/>
          <w:szCs w:val="28"/>
        </w:rPr>
        <w:t>：</w:t>
      </w:r>
      <w:r>
        <w:rPr>
          <w:rFonts w:ascii="Times New Roman" w:hAnsi="Times New Roman" w:eastAsia="宋体" w:cs="Times New Roman"/>
          <w:sz w:val="24"/>
          <w:szCs w:val="28"/>
        </w:rPr>
        <w:t>021-5</w:t>
      </w:r>
      <w:bookmarkStart w:id="0" w:name="_GoBack"/>
      <w:bookmarkEnd w:id="0"/>
      <w:r>
        <w:rPr>
          <w:rFonts w:ascii="Times New Roman" w:hAnsi="Times New Roman" w:eastAsia="宋体" w:cs="Times New Roman"/>
          <w:sz w:val="24"/>
          <w:szCs w:val="28"/>
        </w:rPr>
        <w:t>0712782</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网址：www.520fund.com.cn</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东方阿尔法基金管理有限公司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客服电话：400-930-6677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fldChar w:fldCharType="begin"/>
      </w:r>
      <w:r>
        <w:instrText xml:space="preserve"> HYPERLINK "http://www.dfa66.com" </w:instrText>
      </w:r>
      <w:r>
        <w:fldChar w:fldCharType="separate"/>
      </w:r>
      <w:r>
        <w:rPr>
          <w:rFonts w:ascii="Times New Roman" w:hAnsi="Times New Roman" w:eastAsia="宋体" w:cs="Times New Roman"/>
          <w:sz w:val="24"/>
          <w:szCs w:val="28"/>
        </w:rPr>
        <w:t>www.dfa66.com</w:t>
      </w:r>
      <w:r>
        <w:rPr>
          <w:rFonts w:ascii="Times New Roman" w:hAnsi="Times New Roman" w:eastAsia="宋体" w:cs="Times New Roman"/>
          <w:sz w:val="24"/>
          <w:szCs w:val="28"/>
        </w:rPr>
        <w:fldChar w:fldCharType="end"/>
      </w:r>
    </w:p>
    <w:p>
      <w:pPr>
        <w:spacing w:line="360" w:lineRule="auto"/>
        <w:ind w:firstLine="480" w:firstLineChars="200"/>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510"/>
        <w:rPr>
          <w:rFonts w:ascii="Times New Roman" w:hAnsi="Times New Roman" w:eastAsia="宋体" w:cs="Times New Roman"/>
          <w:sz w:val="24"/>
          <w:szCs w:val="28"/>
        </w:rPr>
      </w:pPr>
      <w:r>
        <w:rPr>
          <w:rFonts w:hint="eastAsia" w:ascii="Times New Roman" w:hAnsi="Times New Roman" w:eastAsia="宋体" w:cs="Times New Roman"/>
          <w:sz w:val="24"/>
          <w:szCs w:val="28"/>
        </w:rPr>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jc w:val="right"/>
        <w:rPr>
          <w:rFonts w:ascii="Times New Roman" w:hAnsi="Times New Roman" w:eastAsia="宋体" w:cs="Times New Roman"/>
          <w:sz w:val="24"/>
          <w:szCs w:val="28"/>
        </w:rPr>
      </w:pPr>
    </w:p>
    <w:p>
      <w:pPr>
        <w:spacing w:line="360" w:lineRule="auto"/>
        <w:jc w:val="right"/>
        <w:rPr>
          <w:rFonts w:ascii="Times New Roman" w:hAnsi="Times New Roman" w:eastAsia="宋体" w:cs="Times New Roman"/>
          <w:sz w:val="24"/>
          <w:szCs w:val="28"/>
        </w:rPr>
      </w:pPr>
      <w:r>
        <w:rPr>
          <w:rFonts w:ascii="Times New Roman" w:hAnsi="Times New Roman" w:eastAsia="宋体" w:cs="Times New Roman"/>
          <w:sz w:val="24"/>
          <w:szCs w:val="28"/>
        </w:rPr>
        <w:t>东方阿尔法基金管理有限公司</w:t>
      </w: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2025年12月12日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35DB6"/>
    <w:multiLevelType w:val="multilevel"/>
    <w:tmpl w:val="62035DB6"/>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25679D"/>
    <w:rsid w:val="00003DAC"/>
    <w:rsid w:val="0001092F"/>
    <w:rsid w:val="0002411E"/>
    <w:rsid w:val="0004177D"/>
    <w:rsid w:val="000606F2"/>
    <w:rsid w:val="000612A7"/>
    <w:rsid w:val="000644F4"/>
    <w:rsid w:val="0008268A"/>
    <w:rsid w:val="000844DF"/>
    <w:rsid w:val="000924B6"/>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07AFD"/>
    <w:rsid w:val="00233424"/>
    <w:rsid w:val="002354CC"/>
    <w:rsid w:val="00244766"/>
    <w:rsid w:val="0025679D"/>
    <w:rsid w:val="002627FE"/>
    <w:rsid w:val="00263B66"/>
    <w:rsid w:val="0027383A"/>
    <w:rsid w:val="00277A25"/>
    <w:rsid w:val="00280A1D"/>
    <w:rsid w:val="002912F5"/>
    <w:rsid w:val="00296911"/>
    <w:rsid w:val="002A3043"/>
    <w:rsid w:val="002D16FC"/>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533A5"/>
    <w:rsid w:val="0046583E"/>
    <w:rsid w:val="004770D0"/>
    <w:rsid w:val="004A3592"/>
    <w:rsid w:val="004C4731"/>
    <w:rsid w:val="004C4B36"/>
    <w:rsid w:val="004C6EF2"/>
    <w:rsid w:val="00511D40"/>
    <w:rsid w:val="00531C50"/>
    <w:rsid w:val="00540974"/>
    <w:rsid w:val="005457C3"/>
    <w:rsid w:val="00561956"/>
    <w:rsid w:val="005630A5"/>
    <w:rsid w:val="00563445"/>
    <w:rsid w:val="00565BBF"/>
    <w:rsid w:val="005752AE"/>
    <w:rsid w:val="00593387"/>
    <w:rsid w:val="005C5A73"/>
    <w:rsid w:val="005D2601"/>
    <w:rsid w:val="005F15FA"/>
    <w:rsid w:val="005F3399"/>
    <w:rsid w:val="006004E2"/>
    <w:rsid w:val="00616902"/>
    <w:rsid w:val="006654FB"/>
    <w:rsid w:val="006675D3"/>
    <w:rsid w:val="00674B31"/>
    <w:rsid w:val="0067558A"/>
    <w:rsid w:val="00694722"/>
    <w:rsid w:val="006A55B1"/>
    <w:rsid w:val="006B021A"/>
    <w:rsid w:val="006C0F60"/>
    <w:rsid w:val="006D1327"/>
    <w:rsid w:val="006E28A4"/>
    <w:rsid w:val="006F1A9F"/>
    <w:rsid w:val="006F467A"/>
    <w:rsid w:val="006F5807"/>
    <w:rsid w:val="00701039"/>
    <w:rsid w:val="00706FB1"/>
    <w:rsid w:val="00717ABB"/>
    <w:rsid w:val="00723453"/>
    <w:rsid w:val="007358D7"/>
    <w:rsid w:val="00745385"/>
    <w:rsid w:val="00745A69"/>
    <w:rsid w:val="00745BD9"/>
    <w:rsid w:val="00761DBB"/>
    <w:rsid w:val="007675D9"/>
    <w:rsid w:val="00770919"/>
    <w:rsid w:val="00773CE1"/>
    <w:rsid w:val="00774FFA"/>
    <w:rsid w:val="00782739"/>
    <w:rsid w:val="00787CBE"/>
    <w:rsid w:val="007946E0"/>
    <w:rsid w:val="007A24CC"/>
    <w:rsid w:val="007C20E6"/>
    <w:rsid w:val="007C65C6"/>
    <w:rsid w:val="007D0E94"/>
    <w:rsid w:val="007E2506"/>
    <w:rsid w:val="007F6FEB"/>
    <w:rsid w:val="0081719F"/>
    <w:rsid w:val="008255E3"/>
    <w:rsid w:val="00830F96"/>
    <w:rsid w:val="00881A92"/>
    <w:rsid w:val="00881FB9"/>
    <w:rsid w:val="008B6DA8"/>
    <w:rsid w:val="008D1191"/>
    <w:rsid w:val="009254A9"/>
    <w:rsid w:val="00927530"/>
    <w:rsid w:val="009355DF"/>
    <w:rsid w:val="00990AA2"/>
    <w:rsid w:val="009960EC"/>
    <w:rsid w:val="009A5D4B"/>
    <w:rsid w:val="009C69A0"/>
    <w:rsid w:val="009D7753"/>
    <w:rsid w:val="009E1B49"/>
    <w:rsid w:val="009F553D"/>
    <w:rsid w:val="009F6A81"/>
    <w:rsid w:val="00A0161D"/>
    <w:rsid w:val="00A06F43"/>
    <w:rsid w:val="00A242B0"/>
    <w:rsid w:val="00A32C2A"/>
    <w:rsid w:val="00A44B64"/>
    <w:rsid w:val="00A4651D"/>
    <w:rsid w:val="00A52734"/>
    <w:rsid w:val="00A543BF"/>
    <w:rsid w:val="00A84F6E"/>
    <w:rsid w:val="00A85092"/>
    <w:rsid w:val="00A955B7"/>
    <w:rsid w:val="00AA68BD"/>
    <w:rsid w:val="00AC39BE"/>
    <w:rsid w:val="00AE60D9"/>
    <w:rsid w:val="00B06542"/>
    <w:rsid w:val="00B267E2"/>
    <w:rsid w:val="00B362C4"/>
    <w:rsid w:val="00B52CBC"/>
    <w:rsid w:val="00B55037"/>
    <w:rsid w:val="00B6576C"/>
    <w:rsid w:val="00B72A06"/>
    <w:rsid w:val="00B957BC"/>
    <w:rsid w:val="00BC0E97"/>
    <w:rsid w:val="00BC2CE6"/>
    <w:rsid w:val="00BC3F16"/>
    <w:rsid w:val="00C108BC"/>
    <w:rsid w:val="00C155C1"/>
    <w:rsid w:val="00C56C57"/>
    <w:rsid w:val="00C62F48"/>
    <w:rsid w:val="00C77FBC"/>
    <w:rsid w:val="00C816DA"/>
    <w:rsid w:val="00D17844"/>
    <w:rsid w:val="00D26BB9"/>
    <w:rsid w:val="00D34703"/>
    <w:rsid w:val="00D37ABA"/>
    <w:rsid w:val="00D451CB"/>
    <w:rsid w:val="00D47C80"/>
    <w:rsid w:val="00D62B52"/>
    <w:rsid w:val="00D632E2"/>
    <w:rsid w:val="00D674D1"/>
    <w:rsid w:val="00D73B10"/>
    <w:rsid w:val="00D73CFA"/>
    <w:rsid w:val="00DB2993"/>
    <w:rsid w:val="00DC4D3D"/>
    <w:rsid w:val="00DE4886"/>
    <w:rsid w:val="00DF18DD"/>
    <w:rsid w:val="00E24B23"/>
    <w:rsid w:val="00E27BD1"/>
    <w:rsid w:val="00E30B48"/>
    <w:rsid w:val="00E31013"/>
    <w:rsid w:val="00E316BF"/>
    <w:rsid w:val="00E33E14"/>
    <w:rsid w:val="00E35158"/>
    <w:rsid w:val="00E400E2"/>
    <w:rsid w:val="00E43BE3"/>
    <w:rsid w:val="00E91ABC"/>
    <w:rsid w:val="00E93EA7"/>
    <w:rsid w:val="00EA3A0B"/>
    <w:rsid w:val="00F30C2C"/>
    <w:rsid w:val="00F62750"/>
    <w:rsid w:val="00F65435"/>
    <w:rsid w:val="00F7249B"/>
    <w:rsid w:val="00FA7B21"/>
    <w:rsid w:val="00FB6C68"/>
    <w:rsid w:val="00FC4933"/>
    <w:rsid w:val="09656309"/>
    <w:rsid w:val="0BFE642C"/>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uiPriority w:val="99"/>
    <w:rPr>
      <w:sz w:val="18"/>
      <w:szCs w:val="18"/>
    </w:rPr>
  </w:style>
  <w:style w:type="table" w:customStyle="1" w:styleId="15">
    <w:name w:val="网格型1"/>
    <w:basedOn w:val="8"/>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0"/>
    <w:link w:val="5"/>
    <w:qFormat/>
    <w:uiPriority w:val="99"/>
    <w:rPr>
      <w:sz w:val="18"/>
      <w:szCs w:val="18"/>
    </w:rPr>
  </w:style>
  <w:style w:type="character" w:customStyle="1" w:styleId="17">
    <w:name w:val="fontstyle01"/>
    <w:basedOn w:val="10"/>
    <w:qFormat/>
    <w:uiPriority w:val="0"/>
    <w:rPr>
      <w:rFonts w:hint="eastAsia" w:ascii="宋体" w:hAnsi="宋体" w:eastAsia="宋体"/>
      <w:color w:val="000000"/>
      <w:sz w:val="28"/>
      <w:szCs w:val="28"/>
    </w:rPr>
  </w:style>
  <w:style w:type="character" w:customStyle="1" w:styleId="18">
    <w:name w:val="fontstyle21"/>
    <w:basedOn w:val="10"/>
    <w:uiPriority w:val="0"/>
    <w:rPr>
      <w:rFonts w:hint="default" w:ascii="Calibri" w:hAnsi="Calibri" w:cs="Calibri"/>
      <w:color w:val="000000"/>
      <w:sz w:val="28"/>
      <w:szCs w:val="28"/>
    </w:rPr>
  </w:style>
  <w:style w:type="character" w:customStyle="1" w:styleId="19">
    <w:name w:val="批注文字 Char"/>
    <w:basedOn w:val="10"/>
    <w:link w:val="3"/>
    <w:semiHidden/>
    <w:qFormat/>
    <w:uiPriority w:val="99"/>
    <w:rPr>
      <w:szCs w:val="22"/>
    </w:rPr>
  </w:style>
  <w:style w:type="character" w:customStyle="1" w:styleId="20">
    <w:name w:val="批注主题 Char"/>
    <w:basedOn w:val="19"/>
    <w:link w:val="7"/>
    <w:semiHidden/>
    <w:qFormat/>
    <w:uiPriority w:val="99"/>
    <w:rPr>
      <w:b/>
      <w:bCs/>
      <w:szCs w:val="22"/>
    </w:rPr>
  </w:style>
  <w:style w:type="character" w:customStyle="1" w:styleId="21">
    <w:name w:val="批注框文本 Char"/>
    <w:basedOn w:val="10"/>
    <w:link w:val="4"/>
    <w:semiHidden/>
    <w:uiPriority w:val="99"/>
    <w:rPr>
      <w:sz w:val="18"/>
      <w:szCs w:val="18"/>
    </w:rPr>
  </w:style>
  <w:style w:type="paragraph" w:styleId="22">
    <w:name w:val="List Paragraph"/>
    <w:basedOn w:val="1"/>
    <w:qFormat/>
    <w:uiPriority w:val="99"/>
    <w:pPr>
      <w:ind w:firstLine="420" w:firstLineChars="200"/>
    </w:pPr>
  </w:style>
  <w:style w:type="character" w:customStyle="1" w:styleId="23">
    <w:name w:val="标题 2 Char"/>
    <w:basedOn w:val="10"/>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094C7-06E7-41FC-91DB-DD47031C4A92}">
  <ds:schemaRefs/>
</ds:datastoreItem>
</file>

<file path=docProps/app.xml><?xml version="1.0" encoding="utf-8"?>
<Properties xmlns="http://schemas.openxmlformats.org/officeDocument/2006/extended-properties" xmlns:vt="http://schemas.openxmlformats.org/officeDocument/2006/docPropsVTypes">
  <Template>Normal</Template>
  <Pages>3</Pages>
  <Words>1104</Words>
  <Characters>413</Characters>
  <Lines>3</Lines>
  <Paragraphs>3</Paragraphs>
  <TotalTime>113</TotalTime>
  <ScaleCrop>false</ScaleCrop>
  <LinksUpToDate>false</LinksUpToDate>
  <CharactersWithSpaces>1514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2023-02-21T05:00:00Z</dcterms:created>
  <dc:creator>Microsoft Office User</dc:creator>
  <cp:lastModifiedBy>聪子</cp:lastModifiedBy>
  <dcterms:modified xsi:type="dcterms:W3CDTF">2025-12-08T09:25:32Z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C58B8B987F2A4D49ADF120C7D9B72C2E_12</vt:lpwstr>
  </property>
</Properties>
</file>