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东方阿尔法科技甄选混合型发起式证券投资基金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2026年01月16日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基金托管人招商银行股份有限公司根据本基金合同规定，于2026年01月15日复核了本报告中的财务指标、净值表现和投资组合报告等内容，保证复核内容不存在虚假记载、误导性陈述或者重大遗漏。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本报告期自2025年10月30日（基金合同生效日）起至2025年12月31日止。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东方阿尔法科技甄选混合发起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025792</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2025年10月30日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25,495,889.22份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本基金主要投资科技主题相关的上市公司股票，采用积极主动的投资策略，在有效控制投资组合风险的前提下，力争获取超越业绩比较基准的投资回报，实现基金资产的长期稳健增值。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本基金将根据国内外宏观经济情况、国内外证券市场估值水平阶段性不断调整权益类资产和其他资产之间的大类资产配置比例。</w:t>
              <w:br/>
            </w:r>
            <w:r>
              <w:rPr>
                <w:rFonts w:ascii="宋体" w:hAnsi="宋体" w:cs="宋体" w:eastAsia="宋体"/>
                <w:b w:val="false"/>
              </w:rPr>
              <w:t>2、股票投资策略</w:t>
              <w:br/>
            </w:r>
            <w:r>
              <w:rPr>
                <w:rFonts w:ascii="宋体" w:hAnsi="宋体" w:cs="宋体" w:eastAsia="宋体"/>
                <w:b w:val="false"/>
              </w:rPr>
              <w:t>本基金通过定性与定量相结合的积极投资策略，自下而上地精选价值被低估并且具有良好基本面的符合科技主题的股票构建投资组合。</w:t>
              <w:br/>
            </w:r>
            <w:r>
              <w:rPr>
                <w:rFonts w:ascii="宋体" w:hAnsi="宋体" w:cs="宋体" w:eastAsia="宋体"/>
                <w:b w:val="false"/>
              </w:rPr>
              <w:t>3、存托凭证投资策略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 xml:space="preserve">5、港股投资策略 </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如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10、国债期货投资策略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东方阿尔法科技甄选混合发起A</w:t>
            </w:r>
          </w:p>
        </w:tc>
        <w:tc>
          <w:tcPr>
            <w:tcW w:type="pct" w:w="1500"/>
            <w:vAlign w:val="center"/>
          </w:tcPr>
          <w:p>
            <w:pPr>
              <w:spacing w:line="240" w:lineRule="auto"/>
              <w:jc w:val="left"/>
            </w:pPr>
            <w:r>
              <w:rPr>
                <w:rFonts w:ascii="宋体" w:hAnsi="宋体" w:cs="宋体" w:eastAsia="宋体"/>
                <w:b w:val="false"/>
              </w:rPr>
              <w:t>东方阿尔法科技甄选混合发起C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025792</w:t>
            </w:r>
          </w:p>
        </w:tc>
        <w:tc>
          <w:tcPr>
            <w:tcW w:type="pct" w:w="1500"/>
            <w:vAlign w:val="center"/>
          </w:tcPr>
          <w:p>
            <w:pPr>
              <w:spacing w:line="240" w:lineRule="auto"/>
              <w:jc w:val="left"/>
            </w:pPr>
            <w:r>
              <w:rPr>
                <w:rFonts w:ascii="宋体" w:hAnsi="宋体" w:cs="宋体" w:eastAsia="宋体"/>
                <w:b w:val="false"/>
              </w:rPr>
              <w:t>025793</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15,899,534.58份</w:t>
            </w:r>
          </w:p>
        </w:tc>
        <w:tc>
          <w:tcPr>
            <w:tcW w:type="pct" w:w="1500"/>
            <w:vAlign w:val="center"/>
          </w:tcPr>
          <w:p>
            <w:pPr>
              <w:spacing w:line="240" w:lineRule="auto"/>
              <w:jc w:val="left"/>
            </w:pPr>
            <w:r>
              <w:rPr>
                <w:rFonts w:ascii="宋体" w:hAnsi="宋体" w:cs="宋体" w:eastAsia="宋体"/>
                <w:b w:val="false"/>
              </w:rPr>
              <w:t>9,596,354.64份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报告期（2025年10月30日（基金合同生效日）-2025年12月31日）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东方阿尔法科技甄选混合发起A</w:t>
            </w:r>
          </w:p>
        </w:tc>
        <w:tc>
          <w:tcPr>
            <w:tcW w:type="pct" w:w="1500"/>
            <w:vAlign w:val="center"/>
          </w:tcPr>
          <w:tcPr>
            <w:shd w:fill="d9d9d9"/>
          </w:tcPr>
          <w:p>
            <w:pPr>
              <w:spacing w:line="240" w:lineRule="auto"/>
              <w:jc w:val="center"/>
            </w:pPr>
            <w:r>
              <w:rPr>
                <w:rFonts w:ascii="宋体" w:hAnsi="宋体" w:cs="宋体" w:eastAsia="宋体"/>
                <w:b w:val="false"/>
              </w:rPr>
              <w:t>东方阿尔法科技甄选混合发起C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-1,201,911.78</w:t>
            </w:r>
          </w:p>
        </w:tc>
        <w:tc>
          <w:tcPr>
            <w:tcW w:type="pct" w:w="1500"/>
            <w:vAlign w:val="center"/>
          </w:tcPr>
          <w:p>
            <w:pPr>
              <w:spacing w:line="240" w:lineRule="auto"/>
              <w:jc w:val="right"/>
            </w:pPr>
            <w:r>
              <w:rPr>
                <w:rFonts w:ascii="宋体" w:hAnsi="宋体" w:cs="宋体" w:eastAsia="宋体"/>
                <w:b w:val="false"/>
              </w:rPr>
              <w:t>-1,036,995.25</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561,329.19</w:t>
            </w:r>
          </w:p>
        </w:tc>
        <w:tc>
          <w:tcPr>
            <w:tcW w:type="pct" w:w="1500"/>
            <w:vAlign w:val="center"/>
          </w:tcPr>
          <w:p>
            <w:pPr>
              <w:spacing w:line="240" w:lineRule="auto"/>
              <w:jc w:val="right"/>
            </w:pPr>
            <w:r>
              <w:rPr>
                <w:rFonts w:ascii="宋体" w:hAnsi="宋体" w:cs="宋体" w:eastAsia="宋体"/>
                <w:b w:val="false"/>
              </w:rPr>
              <w:t>-1,835,766.94</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0.0344</w:t>
            </w:r>
          </w:p>
        </w:tc>
        <w:tc>
          <w:tcPr>
            <w:tcW w:type="pct" w:w="1500"/>
            <w:vAlign w:val="center"/>
          </w:tcPr>
          <w:p>
            <w:pPr>
              <w:spacing w:line="240" w:lineRule="auto"/>
              <w:jc w:val="right"/>
            </w:pPr>
            <w:r>
              <w:rPr>
                <w:rFonts w:ascii="宋体" w:hAnsi="宋体" w:cs="宋体" w:eastAsia="宋体"/>
                <w:b w:val="false"/>
              </w:rPr>
              <w:t>-0.1445</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17,569,650.17</w:t>
            </w:r>
          </w:p>
        </w:tc>
        <w:tc>
          <w:tcPr>
            <w:tcW w:type="pct" w:w="1500"/>
            <w:vAlign w:val="center"/>
          </w:tcPr>
          <w:p>
            <w:pPr>
              <w:spacing w:line="240" w:lineRule="auto"/>
              <w:jc w:val="right"/>
            </w:pPr>
            <w:r>
              <w:rPr>
                <w:rFonts w:ascii="宋体" w:hAnsi="宋体" w:cs="宋体" w:eastAsia="宋体"/>
                <w:b w:val="false"/>
              </w:rPr>
              <w:t>10,600,538.55</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1.1050</w:t>
            </w:r>
          </w:p>
        </w:tc>
        <w:tc>
          <w:tcPr>
            <w:tcW w:type="pct" w:w="1500"/>
            <w:vAlign w:val="center"/>
          </w:tcPr>
          <w:p>
            <w:pPr>
              <w:spacing w:line="240" w:lineRule="auto"/>
              <w:jc w:val="right"/>
            </w:pPr>
            <w:r>
              <w:rPr>
                <w:rFonts w:ascii="宋体" w:hAnsi="宋体" w:cs="宋体" w:eastAsia="宋体"/>
                <w:b w:val="false"/>
              </w:rPr>
              <w:t>1.1046</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东方阿尔法科技甄选混合发起A净值表现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10.50%</w:t>
            </w:r>
          </w:p>
        </w:tc>
        <w:tc>
          <w:tcPr>
            <w:tcW/>
            <w:vAlign w:val="center"/>
          </w:tcPr>
          <w:p>
            <w:pPr>
              <w:spacing w:line="240" w:lineRule="auto"/>
              <w:jc w:val="right"/>
            </w:pPr>
            <w:r>
              <w:rPr>
                <w:rFonts w:ascii="宋体" w:hAnsi="宋体" w:cs="宋体" w:eastAsia="宋体"/>
                <w:b w:val="false"/>
              </w:rPr>
              <w:t>2.57%</w:t>
            </w:r>
          </w:p>
        </w:tc>
        <w:tc>
          <w:tcPr>
            <w:tcW/>
            <w:vAlign w:val="center"/>
          </w:tcPr>
          <w:p>
            <w:pPr>
              <w:spacing w:line="240" w:lineRule="auto"/>
              <w:jc w:val="right"/>
            </w:pPr>
            <w:r>
              <w:rPr>
                <w:rFonts w:ascii="宋体" w:hAnsi="宋体" w:cs="宋体" w:eastAsia="宋体"/>
                <w:b w:val="false"/>
              </w:rPr>
              <w:t>-3.96%</w:t>
            </w:r>
          </w:p>
        </w:tc>
        <w:tc>
          <w:tcPr>
            <w:tcW/>
            <w:vAlign w:val="center"/>
          </w:tcPr>
          <w:p>
            <w:pPr>
              <w:spacing w:line="240" w:lineRule="auto"/>
              <w:jc w:val="right"/>
            </w:pPr>
            <w:r>
              <w:rPr>
                <w:rFonts w:ascii="宋体" w:hAnsi="宋体" w:cs="宋体" w:eastAsia="宋体"/>
                <w:b w:val="false"/>
              </w:rPr>
              <w:t>1.32%</w:t>
            </w:r>
          </w:p>
        </w:tc>
        <w:tc>
          <w:tcPr>
            <w:tcW/>
            <w:vAlign w:val="center"/>
          </w:tcPr>
          <w:p>
            <w:pPr>
              <w:spacing w:line="240" w:lineRule="auto"/>
              <w:jc w:val="right"/>
            </w:pPr>
            <w:r>
              <w:rPr>
                <w:rFonts w:ascii="宋体" w:hAnsi="宋体" w:cs="宋体" w:eastAsia="宋体"/>
                <w:b w:val="false"/>
              </w:rPr>
              <w:t>14.46%</w:t>
            </w:r>
          </w:p>
        </w:tc>
        <w:tc>
          <w:tcPr>
            <w:tcW/>
            <w:vAlign w:val="center"/>
          </w:tcPr>
          <w:p>
            <w:pPr>
              <w:spacing w:line="240" w:lineRule="auto"/>
              <w:jc w:val="right"/>
            </w:pPr>
            <w:r>
              <w:rPr>
                <w:rFonts w:ascii="宋体" w:hAnsi="宋体" w:cs="宋体" w:eastAsia="宋体"/>
                <w:b w:val="false"/>
              </w:rPr>
              <w:t>1.25%</w:t>
            </w:r>
          </w:p>
        </w:tc>
      </w:tr>
    </w:tbl>
    <w:p>
      <w:pPr>
        <w:jc w:val="left"/>
      </w:pPr>
      <w:r>
        <w:rPr>
          <w:rFonts w:ascii="宋体" w:hAnsi="宋体" w:cs="宋体" w:eastAsia="宋体"/>
          <w:b w:val="true"/>
        </w:rPr>
        <w:t>东方阿尔法科技甄选混合发起C净值表现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10.46%</w:t>
            </w:r>
          </w:p>
        </w:tc>
        <w:tc>
          <w:tcPr>
            <w:tcW/>
            <w:vAlign w:val="center"/>
          </w:tcPr>
          <w:p>
            <w:pPr>
              <w:spacing w:line="240" w:lineRule="auto"/>
              <w:jc w:val="right"/>
            </w:pPr>
            <w:r>
              <w:rPr>
                <w:rFonts w:ascii="宋体" w:hAnsi="宋体" w:cs="宋体" w:eastAsia="宋体"/>
                <w:b w:val="false"/>
              </w:rPr>
              <w:t>2.57%</w:t>
            </w:r>
          </w:p>
        </w:tc>
        <w:tc>
          <w:tcPr>
            <w:tcW/>
            <w:vAlign w:val="center"/>
          </w:tcPr>
          <w:p>
            <w:pPr>
              <w:spacing w:line="240" w:lineRule="auto"/>
              <w:jc w:val="right"/>
            </w:pPr>
            <w:r>
              <w:rPr>
                <w:rFonts w:ascii="宋体" w:hAnsi="宋体" w:cs="宋体" w:eastAsia="宋体"/>
                <w:b w:val="false"/>
              </w:rPr>
              <w:t>-3.96%</w:t>
            </w:r>
          </w:p>
        </w:tc>
        <w:tc>
          <w:tcPr>
            <w:tcW/>
            <w:vAlign w:val="center"/>
          </w:tcPr>
          <w:p>
            <w:pPr>
              <w:spacing w:line="240" w:lineRule="auto"/>
              <w:jc w:val="right"/>
            </w:pPr>
            <w:r>
              <w:rPr>
                <w:rFonts w:ascii="宋体" w:hAnsi="宋体" w:cs="宋体" w:eastAsia="宋体"/>
                <w:b w:val="false"/>
              </w:rPr>
              <w:t>1.32%</w:t>
            </w:r>
          </w:p>
        </w:tc>
        <w:tc>
          <w:tcPr>
            <w:tcW/>
            <w:vAlign w:val="center"/>
          </w:tcPr>
          <w:p>
            <w:pPr>
              <w:spacing w:line="240" w:lineRule="auto"/>
              <w:jc w:val="right"/>
            </w:pPr>
            <w:r>
              <w:rPr>
                <w:rFonts w:ascii="宋体" w:hAnsi="宋体" w:cs="宋体" w:eastAsia="宋体"/>
                <w:b w:val="false"/>
              </w:rPr>
              <w:t>14.42%</w:t>
            </w:r>
          </w:p>
        </w:tc>
        <w:tc>
          <w:tcPr>
            <w:tcW/>
            <w:vAlign w:val="center"/>
          </w:tcPr>
          <w:p>
            <w:pPr>
              <w:spacing w:line="240" w:lineRule="auto"/>
              <w:jc w:val="right"/>
            </w:pPr>
            <w:r>
              <w:rPr>
                <w:rFonts w:ascii="宋体" w:hAnsi="宋体" w:cs="宋体" w:eastAsia="宋体"/>
                <w:b w:val="false"/>
              </w:rPr>
              <w:t>1.25%</w:t>
            </w:r>
          </w:p>
        </w:tc>
      </w:tr>
    </w:tbl>
    <w:p>
      <w:r>
        <w:rPr>
          <w:rFonts w:ascii="宋体" w:hAnsi="宋体" w:cs="宋体" w:eastAsia="宋体"/>
          <w:b w:val="false"/>
        </w:rPr>
        <w:t>注：1、本基金业绩比较基准为：中国战略新兴产业成份指数收益率*70%+中债-综合指数(全价)收益率*20%+恒生科技指数收益率(按估值汇率折算)*10%。</w:t>
        <w:cr/>
      </w:r>
      <w:r>
        <w:rPr>
          <w:rFonts w:ascii="宋体" w:hAnsi="宋体" w:cs="宋体" w:eastAsia="宋体"/>
          <w:b w:val="false"/>
        </w:rPr>
        <w:t>2、本基金自2025年10月30日成立至今尚未满3个月，无过去三个月、六个月、一年、三年和五年的净值表现。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2025-10-30</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9年</w:t>
            </w:r>
          </w:p>
        </w:tc>
        <w:tc>
          <w:tcPr>
            <w:tcW/>
            <w:vAlign w:val="center"/>
          </w:tcPr>
          <w:p>
            <w:pPr>
              <w:spacing w:line="240" w:lineRule="auto"/>
              <w:jc w:val="left"/>
            </w:pPr>
            <w:r>
              <w:rPr>
                <w:rFonts w:ascii="宋体" w:hAnsi="宋体" w:cs="宋体" w:eastAsia="宋体"/>
                <w:b w:val="false"/>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r>
        <w:tc>
          <w:tcPr>
            <w:tcW/>
            <w:vAlign w:val="center"/>
          </w:tcPr>
          <w:p>
            <w:pPr>
              <w:spacing w:line="240" w:lineRule="auto"/>
              <w:jc w:val="left"/>
            </w:pPr>
            <w:r>
              <w:rPr>
                <w:rFonts w:ascii="宋体" w:hAnsi="宋体" w:cs="宋体" w:eastAsia="宋体"/>
                <w:b w:val="false"/>
              </w:rPr>
              <w:t>程子晴</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2025-11-07</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4年</w:t>
            </w:r>
          </w:p>
        </w:tc>
        <w:tc>
          <w:tcPr>
            <w:tcW/>
            <w:vAlign w:val="center"/>
          </w:tcPr>
          <w:p>
            <w:pPr>
              <w:spacing w:line="240" w:lineRule="auto"/>
              <w:jc w:val="left"/>
            </w:pPr>
            <w:r>
              <w:rPr>
                <w:rFonts w:ascii="宋体" w:hAnsi="宋体" w:cs="宋体" w:eastAsia="宋体"/>
                <w:b w:val="false"/>
              </w:rPr>
              <w:t>程子晴女士，复旦大学管理学学士，香港科技大学理学硕士，于2021年1月入职东方阿尔法基金管理有限公司，历任研究部研究员、基金经理助理。现担任东方阿尔法基金管理有限公司基金经理。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海外AI算力军备竞赛推动电力、算力、存储、散热等需求呈爆发式增长，为中国制造业带来显著溢出效应，催生结构性投资机遇。2025年北美四家云厂商总资本开支达到4000-4500亿美金，同比增长超60%，其中80%以上投资于数据中心建设，拉动电力基建、算力、存储、散热等数据中心产业链各环节需求爆发增长，涨价、缺货、订单饱满、新技术迭代驱动的投资机会层出不穷，中国企业作为全球高端制造高地，确定性受益于全球AI数据中心建设。</w:t>
        <w:cr/>
      </w:r>
      <w:r>
        <w:rPr>
          <w:rFonts w:ascii="宋体" w:hAnsi="宋体" w:cs="宋体" w:eastAsia="宋体"/>
          <w:b w:val="false"/>
        </w:rPr>
        <w:t xml:space="preserve">    电力基建环节是欧美最大痛点。AI数据中心推动电网加速建设，服务器电源需求爆发式增长。AI发展使预期负荷规模显著提升，根据美国能源部及英伟达芯片出货预期，2025-2030年美国夏季峰值负荷CAGR将达2.3%-3.7%。同时AI数据中心负荷波动大，给电网安全带来严峻挑战，电力基建亟待加大投资。随着AI服务器单体功率和集成度提升，大模型落地时效性要求提高，服务器电源的电压等级、集成度、可靠性要求快速提升，需求快速增长且技术门槛不断提高。</w:t>
        <w:cr/>
      </w:r>
      <w:r>
        <w:rPr>
          <w:rFonts w:ascii="宋体" w:hAnsi="宋体" w:cs="宋体" w:eastAsia="宋体"/>
          <w:b w:val="false"/>
        </w:rPr>
        <w:t xml:space="preserve">    中国企业在北美电力基建及服务器电源市场目前份额尚不高，但由于需求井喷，北美扩产速度及工程师空心化无法满足需求，中国企业正陆续承接来自北美的AI电力订单，在变压器、燃气轮机、服务器电源等环节催生一系列投资机会。我们预计2026年将迎来订单与业绩共振的元年，基于中国巨大的工程师红利及电力电子、电力基础设施产业优势，一旦突破北美供应链，2027-2028年中国企业份额将实现从1到10的进一步提升。</w:t>
        <w:cr/>
      </w:r>
      <w:r>
        <w:rPr>
          <w:rFonts w:ascii="宋体" w:hAnsi="宋体" w:cs="宋体" w:eastAsia="宋体"/>
          <w:b w:val="false"/>
        </w:rPr>
        <w:t xml:space="preserve">    我们致力于帮助投资者把握AI电力产业链的确定性机遇，享受需求井喷下中国AI电力出口链的股价弹性。2025年四季度，本基金在服务器电源、燃气轮机、变压器、上游元器件等环节进行全产业链布局，优选并重仓供应链地位确定、渗透率与份额持续提升、管理层积极投入的优质个股，持仓相对集中。展望未来，我们将继续深耕产业链研究，积极把握产业链变化带来的投资机遇，在保证行业β回报的基础上努力提升超额回报。</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科技甄选混合发起A基金份额净值为1.1050元，本报告期内，该类基金份额净值增长率为10.50%，同期业绩比较基准收益率为-3.96%；截至报告期末东方阿尔法科技甄选混合发起C基金份额净值为1.1046元，本报告期内，该类基金份额净值增长率为10.46%，同期业绩比较基准收益率为-3.96%。</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26,395,277.00</w:t>
            </w:r>
          </w:p>
        </w:tc>
        <w:tc>
          <w:tcPr>
            <w:tcW/>
            <w:vAlign w:val="center"/>
          </w:tcPr>
          <w:p>
            <w:pPr>
              <w:spacing w:line="240" w:lineRule="auto"/>
              <w:jc w:val="right"/>
            </w:pPr>
            <w:r>
              <w:rPr>
                <w:rFonts w:ascii="宋体" w:hAnsi="宋体" w:cs="宋体" w:eastAsia="宋体"/>
                <w:b w:val="false"/>
              </w:rPr>
              <w:t>89.15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26,395,277.00</w:t>
            </w:r>
          </w:p>
        </w:tc>
        <w:tc>
          <w:tcPr>
            <w:tcW/>
            <w:vAlign w:val="center"/>
          </w:tcPr>
          <w:p>
            <w:pPr>
              <w:spacing w:line="240" w:lineRule="auto"/>
              <w:jc w:val="right"/>
            </w:pPr>
            <w:r>
              <w:rPr>
                <w:rFonts w:ascii="宋体" w:hAnsi="宋体" w:cs="宋体" w:eastAsia="宋体"/>
                <w:b w:val="false"/>
              </w:rPr>
              <w:t>89.15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1,509,045.21</w:t>
            </w:r>
          </w:p>
        </w:tc>
        <w:tc>
          <w:tcPr>
            <w:tcW/>
            <w:vAlign w:val="center"/>
          </w:tcPr>
          <w:p>
            <w:pPr>
              <w:spacing w:line="240" w:lineRule="auto"/>
              <w:jc w:val="right"/>
            </w:pPr>
            <w:r>
              <w:rPr>
                <w:rFonts w:ascii="宋体" w:hAnsi="宋体" w:cs="宋体" w:eastAsia="宋体"/>
                <w:b w:val="false"/>
              </w:rPr>
              <w:t>5.10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1,509,045.21</w:t>
            </w:r>
          </w:p>
        </w:tc>
        <w:tc>
          <w:tcPr>
            <w:tcW/>
            <w:vAlign w:val="center"/>
          </w:tcPr>
          <w:p>
            <w:pPr>
              <w:spacing w:line="240" w:lineRule="auto"/>
              <w:jc w:val="right"/>
            </w:pPr>
            <w:r>
              <w:rPr>
                <w:rFonts w:ascii="宋体" w:hAnsi="宋体" w:cs="宋体" w:eastAsia="宋体"/>
                <w:b w:val="false"/>
              </w:rPr>
              <w:t>5.10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1,491,107.08</w:t>
            </w:r>
          </w:p>
        </w:tc>
        <w:tc>
          <w:tcPr>
            <w:tcW/>
            <w:vAlign w:val="center"/>
          </w:tcPr>
          <w:p>
            <w:pPr>
              <w:spacing w:line="240" w:lineRule="auto"/>
              <w:jc w:val="right"/>
            </w:pPr>
            <w:r>
              <w:rPr>
                <w:rFonts w:ascii="宋体" w:hAnsi="宋体" w:cs="宋体" w:eastAsia="宋体"/>
                <w:b w:val="false"/>
              </w:rPr>
              <w:t>5.04</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213,829.32</w:t>
            </w:r>
          </w:p>
        </w:tc>
        <w:tc>
          <w:tcPr>
            <w:tcW/>
            <w:vAlign w:val="center"/>
          </w:tcPr>
          <w:p>
            <w:pPr>
              <w:spacing w:line="240" w:lineRule="auto"/>
              <w:jc w:val="right"/>
            </w:pPr>
            <w:r>
              <w:rPr>
                <w:rFonts w:ascii="宋体" w:hAnsi="宋体" w:cs="宋体" w:eastAsia="宋体"/>
                <w:b w:val="false"/>
              </w:rPr>
              <w:t>0.72</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29,609,258.61</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26,395,277.00</w:t>
            </w:r>
          </w:p>
        </w:tc>
        <w:tc>
          <w:tcPr>
            <w:tcW/>
            <w:vAlign w:val="center"/>
          </w:tcPr>
          <w:p>
            <w:pPr>
              <w:spacing w:line="240" w:lineRule="auto"/>
              <w:jc w:val="right"/>
            </w:pPr>
            <w:r>
              <w:rPr>
                <w:rFonts w:ascii="宋体" w:hAnsi="宋体" w:cs="宋体" w:eastAsia="宋体"/>
                <w:b w:val="false"/>
              </w:rPr>
              <w:t>93.70</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26,395,277.00</w:t>
            </w:r>
          </w:p>
        </w:tc>
        <w:tc>
          <w:tcPr>
            <w:tcW/>
            <w:vAlign w:val="center"/>
          </w:tcPr>
          <w:p>
            <w:pPr>
              <w:spacing w:line="240" w:lineRule="auto"/>
              <w:jc w:val="right"/>
            </w:pPr>
            <w:r>
              <w:rPr>
                <w:rFonts w:ascii="宋体" w:hAnsi="宋体" w:cs="宋体" w:eastAsia="宋体"/>
                <w:b w:val="false"/>
              </w:rPr>
              <w:t>93.70</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002851</w:t>
            </w:r>
          </w:p>
        </w:tc>
        <w:tc>
          <w:tcPr>
            <w:tcW/>
            <w:vAlign w:val="center"/>
          </w:tcPr>
          <w:p>
            <w:pPr>
              <w:spacing w:line="240" w:lineRule="auto"/>
              <w:jc w:val="left"/>
            </w:pPr>
            <w:r>
              <w:rPr>
                <w:rFonts w:ascii="宋体" w:hAnsi="宋体" w:cs="宋体" w:eastAsia="宋体"/>
                <w:b w:val="false"/>
              </w:rPr>
              <w:t>麦格米特</w:t>
            </w:r>
          </w:p>
        </w:tc>
        <w:tc>
          <w:tcPr>
            <w:tcW/>
            <w:vAlign w:val="center"/>
          </w:tcPr>
          <w:p>
            <w:pPr>
              <w:spacing w:line="240" w:lineRule="auto"/>
              <w:jc w:val="right"/>
            </w:pPr>
            <w:r>
              <w:rPr>
                <w:rFonts w:ascii="宋体" w:hAnsi="宋体" w:cs="宋体" w:eastAsia="宋体"/>
                <w:b w:val="false"/>
              </w:rPr>
              <w:t>30,600</w:t>
            </w:r>
          </w:p>
        </w:tc>
        <w:tc>
          <w:tcPr>
            <w:tcW/>
            <w:vAlign w:val="center"/>
          </w:tcPr>
          <w:p>
            <w:pPr>
              <w:spacing w:line="240" w:lineRule="auto"/>
              <w:jc w:val="right"/>
            </w:pPr>
            <w:r>
              <w:rPr>
                <w:rFonts w:ascii="宋体" w:hAnsi="宋体" w:cs="宋体" w:eastAsia="宋体"/>
                <w:b w:val="false"/>
              </w:rPr>
              <w:t>2,756,142.00</w:t>
            </w:r>
          </w:p>
        </w:tc>
        <w:tc>
          <w:tcPr>
            <w:tcW/>
            <w:vAlign w:val="center"/>
          </w:tcPr>
          <w:p>
            <w:pPr>
              <w:spacing w:line="240" w:lineRule="auto"/>
              <w:jc w:val="right"/>
            </w:pPr>
            <w:r>
              <w:rPr>
                <w:rFonts w:ascii="宋体" w:hAnsi="宋体" w:cs="宋体" w:eastAsia="宋体"/>
                <w:b w:val="false"/>
              </w:rPr>
              <w:t>9.78</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002922</w:t>
            </w:r>
          </w:p>
        </w:tc>
        <w:tc>
          <w:tcPr>
            <w:tcW/>
            <w:vAlign w:val="center"/>
          </w:tcPr>
          <w:p>
            <w:pPr>
              <w:spacing w:line="240" w:lineRule="auto"/>
              <w:jc w:val="left"/>
            </w:pPr>
            <w:r>
              <w:rPr>
                <w:rFonts w:ascii="宋体" w:hAnsi="宋体" w:cs="宋体" w:eastAsia="宋体"/>
                <w:b w:val="false"/>
              </w:rPr>
              <w:t>伊戈尔</w:t>
            </w:r>
          </w:p>
        </w:tc>
        <w:tc>
          <w:tcPr>
            <w:tcW/>
            <w:vAlign w:val="center"/>
          </w:tcPr>
          <w:p>
            <w:pPr>
              <w:spacing w:line="240" w:lineRule="auto"/>
              <w:jc w:val="right"/>
            </w:pPr>
            <w:r>
              <w:rPr>
                <w:rFonts w:ascii="宋体" w:hAnsi="宋体" w:cs="宋体" w:eastAsia="宋体"/>
                <w:b w:val="false"/>
              </w:rPr>
              <w:t>85,800</w:t>
            </w:r>
          </w:p>
        </w:tc>
        <w:tc>
          <w:tcPr>
            <w:tcW/>
            <w:vAlign w:val="center"/>
          </w:tcPr>
          <w:p>
            <w:pPr>
              <w:spacing w:line="240" w:lineRule="auto"/>
              <w:jc w:val="right"/>
            </w:pPr>
            <w:r>
              <w:rPr>
                <w:rFonts w:ascii="宋体" w:hAnsi="宋体" w:cs="宋体" w:eastAsia="宋体"/>
                <w:b w:val="false"/>
              </w:rPr>
              <w:t>2,627,196.00</w:t>
            </w:r>
          </w:p>
        </w:tc>
        <w:tc>
          <w:tcPr>
            <w:tcW/>
            <w:vAlign w:val="center"/>
          </w:tcPr>
          <w:p>
            <w:pPr>
              <w:spacing w:line="240" w:lineRule="auto"/>
              <w:jc w:val="right"/>
            </w:pPr>
            <w:r>
              <w:rPr>
                <w:rFonts w:ascii="宋体" w:hAnsi="宋体" w:cs="宋体" w:eastAsia="宋体"/>
                <w:b w:val="false"/>
              </w:rPr>
              <w:t>9.33</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688676</w:t>
            </w:r>
          </w:p>
        </w:tc>
        <w:tc>
          <w:tcPr>
            <w:tcW/>
            <w:vAlign w:val="center"/>
          </w:tcPr>
          <w:p>
            <w:pPr>
              <w:spacing w:line="240" w:lineRule="auto"/>
              <w:jc w:val="left"/>
            </w:pPr>
            <w:r>
              <w:rPr>
                <w:rFonts w:ascii="宋体" w:hAnsi="宋体" w:cs="宋体" w:eastAsia="宋体"/>
                <w:b w:val="false"/>
              </w:rPr>
              <w:t>金盘科技</w:t>
            </w:r>
          </w:p>
        </w:tc>
        <w:tc>
          <w:tcPr>
            <w:tcW/>
            <w:vAlign w:val="center"/>
          </w:tcPr>
          <w:p>
            <w:pPr>
              <w:spacing w:line="240" w:lineRule="auto"/>
              <w:jc w:val="right"/>
            </w:pPr>
            <w:r>
              <w:rPr>
                <w:rFonts w:ascii="宋体" w:hAnsi="宋体" w:cs="宋体" w:eastAsia="宋体"/>
                <w:b w:val="false"/>
              </w:rPr>
              <w:t>28,612</w:t>
            </w:r>
          </w:p>
        </w:tc>
        <w:tc>
          <w:tcPr>
            <w:tcW/>
            <w:vAlign w:val="center"/>
          </w:tcPr>
          <w:p>
            <w:pPr>
              <w:spacing w:line="240" w:lineRule="auto"/>
              <w:jc w:val="right"/>
            </w:pPr>
            <w:r>
              <w:rPr>
                <w:rFonts w:ascii="宋体" w:hAnsi="宋体" w:cs="宋体" w:eastAsia="宋体"/>
                <w:b w:val="false"/>
              </w:rPr>
              <w:t>2,584,808.08</w:t>
            </w:r>
          </w:p>
        </w:tc>
        <w:tc>
          <w:tcPr>
            <w:tcW/>
            <w:vAlign w:val="center"/>
          </w:tcPr>
          <w:p>
            <w:pPr>
              <w:spacing w:line="240" w:lineRule="auto"/>
              <w:jc w:val="right"/>
            </w:pPr>
            <w:r>
              <w:rPr>
                <w:rFonts w:ascii="宋体" w:hAnsi="宋体" w:cs="宋体" w:eastAsia="宋体"/>
                <w:b w:val="false"/>
              </w:rPr>
              <w:t>9.18</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002518</w:t>
            </w:r>
          </w:p>
        </w:tc>
        <w:tc>
          <w:tcPr>
            <w:tcW/>
            <w:vAlign w:val="center"/>
          </w:tcPr>
          <w:p>
            <w:pPr>
              <w:spacing w:line="240" w:lineRule="auto"/>
              <w:jc w:val="left"/>
            </w:pPr>
            <w:r>
              <w:rPr>
                <w:rFonts w:ascii="宋体" w:hAnsi="宋体" w:cs="宋体" w:eastAsia="宋体"/>
                <w:b w:val="false"/>
              </w:rPr>
              <w:t>科士达</w:t>
            </w:r>
          </w:p>
        </w:tc>
        <w:tc>
          <w:tcPr>
            <w:tcW/>
            <w:vAlign w:val="center"/>
          </w:tcPr>
          <w:p>
            <w:pPr>
              <w:spacing w:line="240" w:lineRule="auto"/>
              <w:jc w:val="right"/>
            </w:pPr>
            <w:r>
              <w:rPr>
                <w:rFonts w:ascii="宋体" w:hAnsi="宋体" w:cs="宋体" w:eastAsia="宋体"/>
                <w:b w:val="false"/>
              </w:rPr>
              <w:t>49,900</w:t>
            </w:r>
          </w:p>
        </w:tc>
        <w:tc>
          <w:tcPr>
            <w:tcW/>
            <w:vAlign w:val="center"/>
          </w:tcPr>
          <w:p>
            <w:pPr>
              <w:spacing w:line="240" w:lineRule="auto"/>
              <w:jc w:val="right"/>
            </w:pPr>
            <w:r>
              <w:rPr>
                <w:rFonts w:ascii="宋体" w:hAnsi="宋体" w:cs="宋体" w:eastAsia="宋体"/>
                <w:b w:val="false"/>
              </w:rPr>
              <w:t>2,421,148.00</w:t>
            </w:r>
          </w:p>
        </w:tc>
        <w:tc>
          <w:tcPr>
            <w:tcW/>
            <w:vAlign w:val="center"/>
          </w:tcPr>
          <w:p>
            <w:pPr>
              <w:spacing w:line="240" w:lineRule="auto"/>
              <w:jc w:val="right"/>
            </w:pPr>
            <w:r>
              <w:rPr>
                <w:rFonts w:ascii="宋体" w:hAnsi="宋体" w:cs="宋体" w:eastAsia="宋体"/>
                <w:b w:val="false"/>
              </w:rPr>
              <w:t>8.59</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601126</w:t>
            </w:r>
          </w:p>
        </w:tc>
        <w:tc>
          <w:tcPr>
            <w:tcW/>
            <w:vAlign w:val="center"/>
          </w:tcPr>
          <w:p>
            <w:pPr>
              <w:spacing w:line="240" w:lineRule="auto"/>
              <w:jc w:val="left"/>
            </w:pPr>
            <w:r>
              <w:rPr>
                <w:rFonts w:ascii="宋体" w:hAnsi="宋体" w:cs="宋体" w:eastAsia="宋体"/>
                <w:b w:val="false"/>
              </w:rPr>
              <w:t>四方股份</w:t>
            </w:r>
          </w:p>
        </w:tc>
        <w:tc>
          <w:tcPr>
            <w:tcW/>
            <w:vAlign w:val="center"/>
          </w:tcPr>
          <w:p>
            <w:pPr>
              <w:spacing w:line="240" w:lineRule="auto"/>
              <w:jc w:val="right"/>
            </w:pPr>
            <w:r>
              <w:rPr>
                <w:rFonts w:ascii="宋体" w:hAnsi="宋体" w:cs="宋体" w:eastAsia="宋体"/>
                <w:b w:val="false"/>
              </w:rPr>
              <w:t>74,100</w:t>
            </w:r>
          </w:p>
        </w:tc>
        <w:tc>
          <w:tcPr>
            <w:tcW/>
            <w:vAlign w:val="center"/>
          </w:tcPr>
          <w:p>
            <w:pPr>
              <w:spacing w:line="240" w:lineRule="auto"/>
              <w:jc w:val="right"/>
            </w:pPr>
            <w:r>
              <w:rPr>
                <w:rFonts w:ascii="宋体" w:hAnsi="宋体" w:cs="宋体" w:eastAsia="宋体"/>
                <w:b w:val="false"/>
              </w:rPr>
              <w:t>2,228,928.00</w:t>
            </w:r>
          </w:p>
        </w:tc>
        <w:tc>
          <w:tcPr>
            <w:tcW/>
            <w:vAlign w:val="center"/>
          </w:tcPr>
          <w:p>
            <w:pPr>
              <w:spacing w:line="240" w:lineRule="auto"/>
              <w:jc w:val="right"/>
            </w:pPr>
            <w:r>
              <w:rPr>
                <w:rFonts w:ascii="宋体" w:hAnsi="宋体" w:cs="宋体" w:eastAsia="宋体"/>
                <w:b w:val="false"/>
              </w:rPr>
              <w:t>7.91</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603067</w:t>
            </w:r>
          </w:p>
        </w:tc>
        <w:tc>
          <w:tcPr>
            <w:tcW/>
            <w:vAlign w:val="center"/>
          </w:tcPr>
          <w:p>
            <w:pPr>
              <w:spacing w:line="240" w:lineRule="auto"/>
              <w:jc w:val="left"/>
            </w:pPr>
            <w:r>
              <w:rPr>
                <w:rFonts w:ascii="宋体" w:hAnsi="宋体" w:cs="宋体" w:eastAsia="宋体"/>
                <w:b w:val="false"/>
              </w:rPr>
              <w:t>振华股份</w:t>
            </w:r>
          </w:p>
        </w:tc>
        <w:tc>
          <w:tcPr>
            <w:tcW/>
            <w:vAlign w:val="center"/>
          </w:tcPr>
          <w:p>
            <w:pPr>
              <w:spacing w:line="240" w:lineRule="auto"/>
              <w:jc w:val="right"/>
            </w:pPr>
            <w:r>
              <w:rPr>
                <w:rFonts w:ascii="宋体" w:hAnsi="宋体" w:cs="宋体" w:eastAsia="宋体"/>
                <w:b w:val="false"/>
              </w:rPr>
              <w:t>71,200</w:t>
            </w:r>
          </w:p>
        </w:tc>
        <w:tc>
          <w:tcPr>
            <w:tcW/>
            <w:vAlign w:val="center"/>
          </w:tcPr>
          <w:p>
            <w:pPr>
              <w:spacing w:line="240" w:lineRule="auto"/>
              <w:jc w:val="right"/>
            </w:pPr>
            <w:r>
              <w:rPr>
                <w:rFonts w:ascii="宋体" w:hAnsi="宋体" w:cs="宋体" w:eastAsia="宋体"/>
                <w:b w:val="false"/>
              </w:rPr>
              <w:t>2,051,272.00</w:t>
            </w:r>
          </w:p>
        </w:tc>
        <w:tc>
          <w:tcPr>
            <w:tcW/>
            <w:vAlign w:val="center"/>
          </w:tcPr>
          <w:p>
            <w:pPr>
              <w:spacing w:line="240" w:lineRule="auto"/>
              <w:jc w:val="right"/>
            </w:pPr>
            <w:r>
              <w:rPr>
                <w:rFonts w:ascii="宋体" w:hAnsi="宋体" w:cs="宋体" w:eastAsia="宋体"/>
                <w:b w:val="false"/>
              </w:rPr>
              <w:t>7.28</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603308</w:t>
            </w:r>
          </w:p>
        </w:tc>
        <w:tc>
          <w:tcPr>
            <w:tcW/>
            <w:vAlign w:val="center"/>
          </w:tcPr>
          <w:p>
            <w:pPr>
              <w:spacing w:line="240" w:lineRule="auto"/>
              <w:jc w:val="left"/>
            </w:pPr>
            <w:r>
              <w:rPr>
                <w:rFonts w:ascii="宋体" w:hAnsi="宋体" w:cs="宋体" w:eastAsia="宋体"/>
                <w:b w:val="false"/>
              </w:rPr>
              <w:t>应流股份</w:t>
            </w:r>
          </w:p>
        </w:tc>
        <w:tc>
          <w:tcPr>
            <w:tcW/>
            <w:vAlign w:val="center"/>
          </w:tcPr>
          <w:p>
            <w:pPr>
              <w:spacing w:line="240" w:lineRule="auto"/>
              <w:jc w:val="right"/>
            </w:pPr>
            <w:r>
              <w:rPr>
                <w:rFonts w:ascii="宋体" w:hAnsi="宋体" w:cs="宋体" w:eastAsia="宋体"/>
                <w:b w:val="false"/>
              </w:rPr>
              <w:t>39,500</w:t>
            </w:r>
          </w:p>
        </w:tc>
        <w:tc>
          <w:tcPr>
            <w:tcW/>
            <w:vAlign w:val="center"/>
          </w:tcPr>
          <w:p>
            <w:pPr>
              <w:spacing w:line="240" w:lineRule="auto"/>
              <w:jc w:val="right"/>
            </w:pPr>
            <w:r>
              <w:rPr>
                <w:rFonts w:ascii="宋体" w:hAnsi="宋体" w:cs="宋体" w:eastAsia="宋体"/>
                <w:b w:val="false"/>
              </w:rPr>
              <w:t>1,649,125.00</w:t>
            </w:r>
          </w:p>
        </w:tc>
        <w:tc>
          <w:tcPr>
            <w:tcW/>
            <w:vAlign w:val="center"/>
          </w:tcPr>
          <w:p>
            <w:pPr>
              <w:spacing w:line="240" w:lineRule="auto"/>
              <w:jc w:val="right"/>
            </w:pPr>
            <w:r>
              <w:rPr>
                <w:rFonts w:ascii="宋体" w:hAnsi="宋体" w:cs="宋体" w:eastAsia="宋体"/>
                <w:b w:val="false"/>
              </w:rPr>
              <w:t>5.85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688234</w:t>
            </w:r>
          </w:p>
        </w:tc>
        <w:tc>
          <w:tcPr>
            <w:tcW/>
            <w:vAlign w:val="center"/>
          </w:tcPr>
          <w:p>
            <w:pPr>
              <w:spacing w:line="240" w:lineRule="auto"/>
              <w:jc w:val="left"/>
            </w:pPr>
            <w:r>
              <w:rPr>
                <w:rFonts w:ascii="宋体" w:hAnsi="宋体" w:cs="宋体" w:eastAsia="宋体"/>
                <w:b w:val="false"/>
              </w:rPr>
              <w:t>天岳先进</w:t>
            </w:r>
          </w:p>
        </w:tc>
        <w:tc>
          <w:tcPr>
            <w:tcW/>
            <w:vAlign w:val="center"/>
          </w:tcPr>
          <w:p>
            <w:pPr>
              <w:spacing w:line="240" w:lineRule="auto"/>
              <w:jc w:val="right"/>
            </w:pPr>
            <w:r>
              <w:rPr>
                <w:rFonts w:ascii="宋体" w:hAnsi="宋体" w:cs="宋体" w:eastAsia="宋体"/>
                <w:b w:val="false"/>
              </w:rPr>
              <w:t>18,000</w:t>
            </w:r>
          </w:p>
        </w:tc>
        <w:tc>
          <w:tcPr>
            <w:tcW/>
            <w:vAlign w:val="center"/>
          </w:tcPr>
          <w:p>
            <w:pPr>
              <w:spacing w:line="240" w:lineRule="auto"/>
              <w:jc w:val="right"/>
            </w:pPr>
            <w:r>
              <w:rPr>
                <w:rFonts w:ascii="宋体" w:hAnsi="宋体" w:cs="宋体" w:eastAsia="宋体"/>
                <w:b w:val="false"/>
              </w:rPr>
              <w:t>1,599,840.00</w:t>
            </w:r>
          </w:p>
        </w:tc>
        <w:tc>
          <w:tcPr>
            <w:tcW/>
            <w:vAlign w:val="center"/>
          </w:tcPr>
          <w:p>
            <w:pPr>
              <w:spacing w:line="240" w:lineRule="auto"/>
              <w:jc w:val="right"/>
            </w:pPr>
            <w:r>
              <w:rPr>
                <w:rFonts w:ascii="宋体" w:hAnsi="宋体" w:cs="宋体" w:eastAsia="宋体"/>
                <w:b w:val="false"/>
              </w:rPr>
              <w:t>5.68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688239</w:t>
            </w:r>
          </w:p>
        </w:tc>
        <w:tc>
          <w:tcPr>
            <w:tcW/>
            <w:vAlign w:val="center"/>
          </w:tcPr>
          <w:p>
            <w:pPr>
              <w:spacing w:line="240" w:lineRule="auto"/>
              <w:jc w:val="left"/>
            </w:pPr>
            <w:r>
              <w:rPr>
                <w:rFonts w:ascii="宋体" w:hAnsi="宋体" w:cs="宋体" w:eastAsia="宋体"/>
                <w:b w:val="false"/>
              </w:rPr>
              <w:t>航宇科技</w:t>
            </w:r>
          </w:p>
        </w:tc>
        <w:tc>
          <w:tcPr>
            <w:tcW/>
            <w:vAlign w:val="center"/>
          </w:tcPr>
          <w:p>
            <w:pPr>
              <w:spacing w:line="240" w:lineRule="auto"/>
              <w:jc w:val="right"/>
            </w:pPr>
            <w:r>
              <w:rPr>
                <w:rFonts w:ascii="宋体" w:hAnsi="宋体" w:cs="宋体" w:eastAsia="宋体"/>
                <w:b w:val="false"/>
              </w:rPr>
              <w:t>22,800</w:t>
            </w:r>
          </w:p>
        </w:tc>
        <w:tc>
          <w:tcPr>
            <w:tcW/>
            <w:vAlign w:val="center"/>
          </w:tcPr>
          <w:p>
            <w:pPr>
              <w:spacing w:line="240" w:lineRule="auto"/>
              <w:jc w:val="right"/>
            </w:pPr>
            <w:r>
              <w:rPr>
                <w:rFonts w:ascii="宋体" w:hAnsi="宋体" w:cs="宋体" w:eastAsia="宋体"/>
                <w:b w:val="false"/>
              </w:rPr>
              <w:t>1,542,876.00</w:t>
            </w:r>
          </w:p>
        </w:tc>
        <w:tc>
          <w:tcPr>
            <w:tcW/>
            <w:vAlign w:val="center"/>
          </w:tcPr>
          <w:p>
            <w:pPr>
              <w:spacing w:line="240" w:lineRule="auto"/>
              <w:jc w:val="right"/>
            </w:pPr>
            <w:r>
              <w:rPr>
                <w:rFonts w:ascii="宋体" w:hAnsi="宋体" w:cs="宋体" w:eastAsia="宋体"/>
                <w:b w:val="false"/>
              </w:rPr>
              <w:t>5.48</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300593</w:t>
            </w:r>
          </w:p>
        </w:tc>
        <w:tc>
          <w:tcPr>
            <w:tcW/>
            <w:vAlign w:val="center"/>
          </w:tcPr>
          <w:p>
            <w:pPr>
              <w:spacing w:line="240" w:lineRule="auto"/>
              <w:jc w:val="left"/>
            </w:pPr>
            <w:r>
              <w:rPr>
                <w:rFonts w:ascii="宋体" w:hAnsi="宋体" w:cs="宋体" w:eastAsia="宋体"/>
                <w:b w:val="false"/>
              </w:rPr>
              <w:t>新雷能</w:t>
            </w:r>
          </w:p>
        </w:tc>
        <w:tc>
          <w:tcPr>
            <w:tcW/>
            <w:vAlign w:val="center"/>
          </w:tcPr>
          <w:p>
            <w:pPr>
              <w:spacing w:line="240" w:lineRule="auto"/>
              <w:jc w:val="right"/>
            </w:pPr>
            <w:r>
              <w:rPr>
                <w:rFonts w:ascii="宋体" w:hAnsi="宋体" w:cs="宋体" w:eastAsia="宋体"/>
                <w:b w:val="false"/>
              </w:rPr>
              <w:t>47,800</w:t>
            </w:r>
          </w:p>
        </w:tc>
        <w:tc>
          <w:tcPr>
            <w:tcW/>
            <w:vAlign w:val="center"/>
          </w:tcPr>
          <w:p>
            <w:pPr>
              <w:spacing w:line="240" w:lineRule="auto"/>
              <w:jc w:val="right"/>
            </w:pPr>
            <w:r>
              <w:rPr>
                <w:rFonts w:ascii="宋体" w:hAnsi="宋体" w:cs="宋体" w:eastAsia="宋体"/>
                <w:b w:val="false"/>
              </w:rPr>
              <w:t>1,422,528.00</w:t>
            </w:r>
          </w:p>
        </w:tc>
        <w:tc>
          <w:tcPr>
            <w:tcW/>
            <w:vAlign w:val="center"/>
          </w:tcPr>
          <w:p>
            <w:pPr>
              <w:spacing w:line="240" w:lineRule="auto"/>
              <w:jc w:val="right"/>
            </w:pPr>
            <w:r>
              <w:rPr>
                <w:rFonts w:ascii="宋体" w:hAnsi="宋体" w:cs="宋体" w:eastAsia="宋体"/>
                <w:b w:val="false"/>
              </w:rPr>
              <w:t>5.05</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1,509,045.21</w:t>
            </w:r>
          </w:p>
        </w:tc>
        <w:tc>
          <w:tcPr>
            <w:tcW/>
            <w:vAlign w:val="center"/>
          </w:tcPr>
          <w:p>
            <w:pPr>
              <w:spacing w:line="240" w:lineRule="auto"/>
              <w:jc w:val="right"/>
            </w:pPr>
            <w:r>
              <w:rPr>
                <w:rFonts w:ascii="宋体" w:hAnsi="宋体" w:cs="宋体" w:eastAsia="宋体"/>
                <w:b w:val="false"/>
              </w:rPr>
              <w:t>5.36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1,509,045.21</w:t>
            </w:r>
          </w:p>
        </w:tc>
        <w:tc>
          <w:tcPr>
            <w:tcW/>
            <w:vAlign w:val="center"/>
          </w:tcPr>
          <w:p>
            <w:pPr>
              <w:spacing w:line="240" w:lineRule="auto"/>
              <w:jc w:val="right"/>
            </w:pPr>
            <w:r>
              <w:rPr>
                <w:rFonts w:ascii="宋体" w:hAnsi="宋体" w:cs="宋体" w:eastAsia="宋体"/>
                <w:b w:val="false"/>
              </w:rPr>
              <w:t>5.36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15,000</w:t>
            </w:r>
          </w:p>
        </w:tc>
        <w:tc>
          <w:tcPr>
            <w:tcW/>
            <w:vAlign w:val="center"/>
          </w:tcPr>
          <w:p>
            <w:pPr>
              <w:spacing w:line="240" w:lineRule="auto"/>
              <w:jc w:val="right"/>
            </w:pPr>
            <w:r>
              <w:rPr>
                <w:rFonts w:ascii="宋体" w:hAnsi="宋体" w:cs="宋体" w:eastAsia="宋体"/>
                <w:b w:val="false"/>
              </w:rPr>
              <w:t>1,509,045.21</w:t>
            </w:r>
          </w:p>
        </w:tc>
        <w:tc>
          <w:tcPr>
            <w:tcW/>
            <w:vAlign w:val="center"/>
          </w:tcPr>
          <w:p>
            <w:pPr>
              <w:spacing w:line="240" w:lineRule="auto"/>
              <w:jc w:val="right"/>
            </w:pPr>
            <w:r>
              <w:rPr>
                <w:rFonts w:ascii="宋体" w:hAnsi="宋体" w:cs="宋体" w:eastAsia="宋体"/>
                <w:b w:val="false"/>
              </w:rPr>
              <w:t>5.36</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213,829.32</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213,829.32</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东方阿尔法科技甄选混合发起A</w:t>
            </w:r>
          </w:p>
        </w:tc>
        <w:tc>
          <w:tcPr>
            <w:tcW w:type="pct" w:w="1300"/>
            <w:vAlign w:val="center"/>
          </w:tcPr>
          <w:p>
            <w:pPr>
              <w:spacing w:line="240" w:lineRule="auto"/>
              <w:jc w:val="center"/>
            </w:pPr>
            <w:r>
              <w:rPr>
                <w:rFonts w:ascii="宋体" w:hAnsi="宋体" w:cs="宋体" w:eastAsia="宋体"/>
                <w:b w:val="false"/>
              </w:rPr>
              <w:t>东方阿尔法科技甄选混合发起C</w:t>
            </w:r>
          </w:p>
        </w:tc>
      </w:tr>
      <w:tr>
        <w:tc>
          <w:tcPr>
            <w:tcW/>
            <w:vAlign w:val="center"/>
          </w:tcPr>
          <w:p>
            <w:pPr>
              <w:spacing w:line="240" w:lineRule="auto"/>
              <w:jc w:val="left"/>
            </w:pPr>
            <w:r>
              <w:rPr>
                <w:rFonts w:ascii="宋体" w:hAnsi="宋体" w:cs="宋体" w:eastAsia="宋体"/>
                <w:b w:val="false"/>
              </w:rPr>
              <w:t>基金合同生效日（2025年10月30日）基金份额总额</w:t>
            </w:r>
          </w:p>
        </w:tc>
        <w:tc>
          <w:tcPr>
            <w:tcW w:type="pct" w:w="1300"/>
            <w:vAlign w:val="center"/>
          </w:tcPr>
          <w:p>
            <w:pPr>
              <w:spacing w:line="240" w:lineRule="auto"/>
              <w:jc w:val="right"/>
            </w:pPr>
            <w:r>
              <w:rPr>
                <w:rFonts w:ascii="宋体" w:hAnsi="宋体" w:cs="宋体" w:eastAsia="宋体"/>
                <w:b w:val="false"/>
              </w:rPr>
              <w:t>10,187,708.82</w:t>
            </w:r>
          </w:p>
        </w:tc>
        <w:tc>
          <w:tcPr>
            <w:tcW w:type="pct" w:w="1300"/>
            <w:vAlign w:val="center"/>
          </w:tcPr>
          <w:p>
            <w:pPr>
              <w:spacing w:line="240" w:lineRule="auto"/>
              <w:jc w:val="right"/>
            </w:pPr>
            <w:r>
              <w:rPr>
                <w:rFonts w:ascii="宋体" w:hAnsi="宋体" w:cs="宋体" w:eastAsia="宋体"/>
                <w:b w:val="false"/>
              </w:rPr>
              <w:t>204,530.00</w:t>
            </w:r>
          </w:p>
        </w:tc>
      </w:tr>
      <w:tr>
        <w:tc>
          <w:tcPr>
            <w:tcW/>
            <w:vAlign w:val="center"/>
          </w:tcPr>
          <w:p>
            <w:pPr>
              <w:spacing w:line="240" w:lineRule="auto"/>
              <w:jc w:val="left"/>
            </w:pPr>
            <w:r>
              <w:rPr>
                <w:rFonts w:ascii="宋体" w:hAnsi="宋体" w:cs="宋体" w:eastAsia="宋体"/>
                <w:b w:val="false"/>
              </w:rPr>
              <w:t>基金合同生效日起至报告期期末基金总申购份额</w:t>
            </w:r>
          </w:p>
        </w:tc>
        <w:tc>
          <w:tcPr>
            <w:tcW w:type="pct" w:w="1300"/>
            <w:vAlign w:val="center"/>
          </w:tcPr>
          <w:p>
            <w:pPr>
              <w:spacing w:line="240" w:lineRule="auto"/>
              <w:jc w:val="right"/>
            </w:pPr>
            <w:r>
              <w:rPr>
                <w:rFonts w:ascii="宋体" w:hAnsi="宋体" w:cs="宋体" w:eastAsia="宋体"/>
                <w:b w:val="false"/>
              </w:rPr>
              <w:t>12,190,760.45</w:t>
            </w:r>
          </w:p>
        </w:tc>
        <w:tc>
          <w:tcPr>
            <w:tcW w:type="pct" w:w="1300"/>
            <w:vAlign w:val="center"/>
          </w:tcPr>
          <w:p>
            <w:pPr>
              <w:spacing w:line="240" w:lineRule="auto"/>
              <w:jc w:val="right"/>
            </w:pPr>
            <w:r>
              <w:rPr>
                <w:rFonts w:ascii="宋体" w:hAnsi="宋体" w:cs="宋体" w:eastAsia="宋体"/>
                <w:b w:val="false"/>
              </w:rPr>
              <w:t>39,287,365.83</w:t>
            </w:r>
          </w:p>
        </w:tc>
      </w:tr>
      <w:tr>
        <w:tc>
          <w:tcPr>
            <w:tcW/>
            <w:vAlign w:val="center"/>
          </w:tcPr>
          <w:p>
            <w:pPr>
              <w:spacing w:line="240" w:lineRule="auto"/>
              <w:jc w:val="left"/>
            </w:pPr>
            <w:r>
              <w:rPr>
                <w:rFonts w:ascii="宋体" w:hAnsi="宋体" w:cs="宋体" w:eastAsia="宋体"/>
                <w:b w:val="false"/>
              </w:rPr>
              <w:t>减：基金合同生效日起至报告期期末基金总赎回份额</w:t>
            </w:r>
          </w:p>
        </w:tc>
        <w:tc>
          <w:tcPr>
            <w:tcW w:type="pct" w:w="1300"/>
            <w:vAlign w:val="center"/>
          </w:tcPr>
          <w:p>
            <w:pPr>
              <w:spacing w:line="240" w:lineRule="auto"/>
              <w:jc w:val="right"/>
            </w:pPr>
            <w:r>
              <w:rPr>
                <w:rFonts w:ascii="宋体" w:hAnsi="宋体" w:cs="宋体" w:eastAsia="宋体"/>
                <w:b w:val="false"/>
              </w:rPr>
              <w:t>6,478,934.69</w:t>
            </w:r>
          </w:p>
        </w:tc>
        <w:tc>
          <w:tcPr>
            <w:tcW w:type="pct" w:w="1300"/>
            <w:vAlign w:val="center"/>
          </w:tcPr>
          <w:p>
            <w:pPr>
              <w:spacing w:line="240" w:lineRule="auto"/>
              <w:jc w:val="right"/>
            </w:pPr>
            <w:r>
              <w:rPr>
                <w:rFonts w:ascii="宋体" w:hAnsi="宋体" w:cs="宋体" w:eastAsia="宋体"/>
                <w:b w:val="false"/>
              </w:rPr>
              <w:t>29,895,541.19</w:t>
            </w:r>
          </w:p>
        </w:tc>
      </w:tr>
      <w:tr>
        <w:tc>
          <w:tcPr>
            <w:tcW/>
            <w:vAlign w:val="center"/>
          </w:tcPr>
          <w:p>
            <w:pPr>
              <w:spacing w:line="240" w:lineRule="auto"/>
              <w:jc w:val="left"/>
            </w:pPr>
            <w:r>
              <w:rPr>
                <w:rFonts w:ascii="宋体" w:hAnsi="宋体" w:cs="宋体" w:eastAsia="宋体"/>
                <w:b w:val="false"/>
              </w:rPr>
              <w:t>基金合同生效日起至报告期期末基金拆分变动份额（份额减少以“-”填列）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15,899,534.58</w:t>
            </w:r>
          </w:p>
        </w:tc>
        <w:tc>
          <w:tcPr>
            <w:tcW w:type="pct" w:w="1300"/>
            <w:vAlign w:val="center"/>
          </w:tcPr>
          <w:p>
            <w:pPr>
              <w:spacing w:line="240" w:lineRule="auto"/>
              <w:jc w:val="right"/>
            </w:pPr>
            <w:r>
              <w:rPr>
                <w:rFonts w:ascii="宋体" w:hAnsi="宋体" w:cs="宋体" w:eastAsia="宋体"/>
                <w:b w:val="false"/>
              </w:rPr>
              <w:t>9,596,354.64</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39.22%</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39.22%</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39.22%</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39.22%</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2025年10月30日-2025年12月31日</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39.22%</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1、中国证券监督管理委员会批准的东方阿尔法科技甄选混合型发起式证券投资基金设立的文件；</w:t>
        <w:cr/>
      </w:r>
      <w:r>
        <w:rPr>
          <w:rFonts w:ascii="宋体" w:hAnsi="宋体" w:cs="宋体" w:eastAsia="宋体"/>
          <w:b w:val="false"/>
        </w:rPr>
        <w:t xml:space="preserve">    2、《东方阿尔法科技甄选混合型发起式证券投资基金基金合同》；</w:t>
        <w:cr/>
      </w:r>
      <w:r>
        <w:rPr>
          <w:rFonts w:ascii="宋体" w:hAnsi="宋体" w:cs="宋体" w:eastAsia="宋体"/>
          <w:b w:val="false"/>
        </w:rPr>
        <w:t xml:space="preserve">    3、《东方阿尔法科技甄选混合型发起式证券投资基金托管协议》；</w:t>
        <w:cr/>
      </w:r>
      <w:r>
        <w:rPr>
          <w:rFonts w:ascii="宋体" w:hAnsi="宋体" w:cs="宋体" w:eastAsia="宋体"/>
          <w:b w:val="false"/>
        </w:rPr>
        <w:t xml:space="preserve">    4、《东方阿尔法科技甄选混合型发起式证券投资基金招募说明书》（含更新）；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二〇二六年一月十六日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东方阿尔法科技甄选混合型发起式证券投资基金2025年第4季度报告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