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东方阿尔法科技智选混合型发起式证券投资基金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2026年01月16日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基金托管人招商银行股份有限公司根据本基金合同规定，于2026年01月15日复核了本报告中的财务指标、净值表现和投资组合报告等内容，保证复核内容不存在虚假记载、误导性陈述或者重大遗漏。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东方阿尔法科技智选混合发起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025499</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2025年09月12日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369,299,451.97份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本基金重点关注科技主题上市公司的投资机会,在有效控制组合风险并保持良好流动性的前提下,精选个股,追求超越业绩比较基准的投资回报。</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本基金将根据国内外宏观经济情况、国内外证券市场估值水平阶段性不断调整权益类资产和其他资产之间的大类资产配置比例。</w:t>
              <w:br/>
            </w:r>
            <w:r>
              <w:rPr>
                <w:rFonts w:ascii="宋体" w:hAnsi="宋体" w:cs="宋体" w:eastAsia="宋体"/>
                <w:b w:val="false"/>
              </w:rPr>
              <w:t>2、股票投资策略</w:t>
              <w:br/>
            </w:r>
            <w:r>
              <w:rPr>
                <w:rFonts w:ascii="宋体" w:hAnsi="宋体" w:cs="宋体" w:eastAsia="宋体"/>
                <w:b w:val="false"/>
              </w:rPr>
              <w:t>本基金通过定性与定量相结合的积极投资策略，自下而上地精选价值被低估并且具有良好基本面的符合科技主题的股票构建投资组合。</w:t>
              <w:br/>
            </w:r>
            <w:r>
              <w:rPr>
                <w:rFonts w:ascii="宋体" w:hAnsi="宋体" w:cs="宋体" w:eastAsia="宋体"/>
                <w:b w:val="false"/>
              </w:rPr>
              <w:t xml:space="preserve">3、港股投资策略 </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如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10、股票期权投资策略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东方阿尔法科技智选混合发起A</w:t>
            </w:r>
          </w:p>
        </w:tc>
        <w:tc>
          <w:tcPr>
            <w:tcW w:type="pct" w:w="1500"/>
            <w:vAlign w:val="center"/>
          </w:tcPr>
          <w:p>
            <w:pPr>
              <w:spacing w:line="240" w:lineRule="auto"/>
              <w:jc w:val="left"/>
            </w:pPr>
            <w:r>
              <w:rPr>
                <w:rFonts w:ascii="宋体" w:hAnsi="宋体" w:cs="宋体" w:eastAsia="宋体"/>
                <w:b w:val="false"/>
              </w:rPr>
              <w:t>东方阿尔法科技智选混合发起C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025499</w:t>
            </w:r>
          </w:p>
        </w:tc>
        <w:tc>
          <w:tcPr>
            <w:tcW w:type="pct" w:w="1500"/>
            <w:vAlign w:val="center"/>
          </w:tcPr>
          <w:p>
            <w:pPr>
              <w:spacing w:line="240" w:lineRule="auto"/>
              <w:jc w:val="left"/>
            </w:pPr>
            <w:r>
              <w:rPr>
                <w:rFonts w:ascii="宋体" w:hAnsi="宋体" w:cs="宋体" w:eastAsia="宋体"/>
                <w:b w:val="false"/>
              </w:rPr>
              <w:t>025500</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16,925,727.52份</w:t>
            </w:r>
          </w:p>
        </w:tc>
        <w:tc>
          <w:tcPr>
            <w:tcW w:type="pct" w:w="1500"/>
            <w:vAlign w:val="center"/>
          </w:tcPr>
          <w:p>
            <w:pPr>
              <w:spacing w:line="240" w:lineRule="auto"/>
              <w:jc w:val="left"/>
            </w:pPr>
            <w:r>
              <w:rPr>
                <w:rFonts w:ascii="宋体" w:hAnsi="宋体" w:cs="宋体" w:eastAsia="宋体"/>
                <w:b w:val="false"/>
              </w:rPr>
              <w:t>352,373,724.45份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东方阿尔法科技智选混合发起A</w:t>
            </w:r>
          </w:p>
        </w:tc>
        <w:tc>
          <w:tcPr>
            <w:tcW w:type="pct" w:w="1500"/>
            <w:vAlign w:val="center"/>
          </w:tcPr>
          <w:tcPr>
            <w:shd w:fill="d9d9d9"/>
          </w:tcPr>
          <w:p>
            <w:pPr>
              <w:spacing w:line="240" w:lineRule="auto"/>
              <w:jc w:val="center"/>
            </w:pPr>
            <w:r>
              <w:rPr>
                <w:rFonts w:ascii="宋体" w:hAnsi="宋体" w:cs="宋体" w:eastAsia="宋体"/>
                <w:b w:val="false"/>
              </w:rPr>
              <w:t>东方阿尔法科技智选混合发起C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-387,494.15</w:t>
            </w:r>
          </w:p>
        </w:tc>
        <w:tc>
          <w:tcPr>
            <w:tcW w:type="pct" w:w="1500"/>
            <w:vAlign w:val="center"/>
          </w:tcPr>
          <w:p>
            <w:pPr>
              <w:spacing w:line="240" w:lineRule="auto"/>
              <w:jc w:val="right"/>
            </w:pPr>
            <w:r>
              <w:rPr>
                <w:rFonts w:ascii="宋体" w:hAnsi="宋体" w:cs="宋体" w:eastAsia="宋体"/>
                <w:b w:val="false"/>
              </w:rPr>
              <w:t>2,001,780.62</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-160,110.83</w:t>
            </w:r>
          </w:p>
        </w:tc>
        <w:tc>
          <w:tcPr>
            <w:tcW w:type="pct" w:w="1500"/>
            <w:vAlign w:val="center"/>
          </w:tcPr>
          <w:p>
            <w:pPr>
              <w:spacing w:line="240" w:lineRule="auto"/>
              <w:jc w:val="right"/>
            </w:pPr>
            <w:r>
              <w:rPr>
                <w:rFonts w:ascii="宋体" w:hAnsi="宋体" w:cs="宋体" w:eastAsia="宋体"/>
                <w:b w:val="false"/>
              </w:rPr>
              <w:t>-8,778,655.85</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-0.0097</w:t>
            </w:r>
          </w:p>
        </w:tc>
        <w:tc>
          <w:tcPr>
            <w:tcW w:type="pct" w:w="1500"/>
            <w:vAlign w:val="center"/>
          </w:tcPr>
          <w:p>
            <w:pPr>
              <w:spacing w:line="240" w:lineRule="auto"/>
              <w:jc w:val="right"/>
            </w:pPr>
            <w:r>
              <w:rPr>
                <w:rFonts w:ascii="宋体" w:hAnsi="宋体" w:cs="宋体" w:eastAsia="宋体"/>
                <w:b w:val="false"/>
              </w:rPr>
              <w:t>-0.0262</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18,069,522.36</w:t>
            </w:r>
          </w:p>
        </w:tc>
        <w:tc>
          <w:tcPr>
            <w:tcW w:type="pct" w:w="1500"/>
            <w:vAlign w:val="center"/>
          </w:tcPr>
          <w:p>
            <w:pPr>
              <w:spacing w:line="240" w:lineRule="auto"/>
              <w:jc w:val="right"/>
            </w:pPr>
            <w:r>
              <w:rPr>
                <w:rFonts w:ascii="宋体" w:hAnsi="宋体" w:cs="宋体" w:eastAsia="宋体"/>
                <w:b w:val="false"/>
              </w:rPr>
              <w:t>375,905,474.46</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1.0676</w:t>
            </w:r>
          </w:p>
        </w:tc>
        <w:tc>
          <w:tcPr>
            <w:tcW w:type="pct" w:w="1500"/>
            <w:vAlign w:val="center"/>
          </w:tcPr>
          <w:p>
            <w:pPr>
              <w:spacing w:line="240" w:lineRule="auto"/>
              <w:jc w:val="right"/>
            </w:pPr>
            <w:r>
              <w:rPr>
                <w:rFonts w:ascii="宋体" w:hAnsi="宋体" w:cs="宋体" w:eastAsia="宋体"/>
                <w:b w:val="false"/>
              </w:rPr>
              <w:t>1.0668</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东方阿尔法科技智选混合发起A净值表现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6.83%</w:t>
            </w:r>
          </w:p>
        </w:tc>
        <w:tc>
          <w:tcPr>
            <w:tcW/>
            <w:vAlign w:val="center"/>
          </w:tcPr>
          <w:p>
            <w:pPr>
              <w:spacing w:line="240" w:lineRule="auto"/>
              <w:jc w:val="right"/>
            </w:pPr>
            <w:r>
              <w:rPr>
                <w:rFonts w:ascii="宋体" w:hAnsi="宋体" w:cs="宋体" w:eastAsia="宋体"/>
                <w:b w:val="false"/>
              </w:rPr>
              <w:t>3.04%</w:t>
            </w:r>
          </w:p>
        </w:tc>
        <w:tc>
          <w:tcPr>
            <w:tcW/>
            <w:vAlign w:val="center"/>
          </w:tcPr>
          <w:p>
            <w:pPr>
              <w:spacing w:line="240" w:lineRule="auto"/>
              <w:jc w:val="right"/>
            </w:pPr>
            <w:r>
              <w:rPr>
                <w:rFonts w:ascii="宋体" w:hAnsi="宋体" w:cs="宋体" w:eastAsia="宋体"/>
                <w:b w:val="false"/>
              </w:rPr>
              <w:t>-2.39%</w:t>
            </w:r>
          </w:p>
        </w:tc>
        <w:tc>
          <w:tcPr>
            <w:tcW/>
            <w:vAlign w:val="center"/>
          </w:tcPr>
          <w:p>
            <w:pPr>
              <w:spacing w:line="240" w:lineRule="auto"/>
              <w:jc w:val="right"/>
            </w:pPr>
            <w:r>
              <w:rPr>
                <w:rFonts w:ascii="宋体" w:hAnsi="宋体" w:cs="宋体" w:eastAsia="宋体"/>
                <w:b w:val="false"/>
              </w:rPr>
              <w:t>1.51%</w:t>
            </w:r>
          </w:p>
        </w:tc>
        <w:tc>
          <w:tcPr>
            <w:tcW/>
            <w:vAlign w:val="center"/>
          </w:tcPr>
          <w:p>
            <w:pPr>
              <w:spacing w:line="240" w:lineRule="auto"/>
              <w:jc w:val="right"/>
            </w:pPr>
            <w:r>
              <w:rPr>
                <w:rFonts w:ascii="宋体" w:hAnsi="宋体" w:cs="宋体" w:eastAsia="宋体"/>
                <w:b w:val="false"/>
              </w:rPr>
              <w:t>9.22%</w:t>
            </w:r>
          </w:p>
        </w:tc>
        <w:tc>
          <w:tcPr>
            <w:tcW/>
            <w:vAlign w:val="center"/>
          </w:tcPr>
          <w:p>
            <w:pPr>
              <w:spacing w:line="240" w:lineRule="auto"/>
              <w:jc w:val="right"/>
            </w:pPr>
            <w:r>
              <w:rPr>
                <w:rFonts w:ascii="宋体" w:hAnsi="宋体" w:cs="宋体" w:eastAsia="宋体"/>
                <w:b w:val="false"/>
              </w:rPr>
              <w:t>1.53%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6.76%</w:t>
            </w:r>
          </w:p>
        </w:tc>
        <w:tc>
          <w:tcPr>
            <w:tcW/>
            <w:vAlign w:val="center"/>
          </w:tcPr>
          <w:p>
            <w:pPr>
              <w:spacing w:line="240" w:lineRule="auto"/>
              <w:jc w:val="right"/>
            </w:pPr>
            <w:r>
              <w:rPr>
                <w:rFonts w:ascii="宋体" w:hAnsi="宋体" w:cs="宋体" w:eastAsia="宋体"/>
                <w:b w:val="false"/>
              </w:rPr>
              <w:t>2.89%</w:t>
            </w:r>
          </w:p>
        </w:tc>
        <w:tc>
          <w:tcPr>
            <w:tcW/>
            <w:vAlign w:val="center"/>
          </w:tcPr>
          <w:p>
            <w:pPr>
              <w:spacing w:line="240" w:lineRule="auto"/>
              <w:jc w:val="right"/>
            </w:pPr>
            <w:r>
              <w:rPr>
                <w:rFonts w:ascii="宋体" w:hAnsi="宋体" w:cs="宋体" w:eastAsia="宋体"/>
                <w:b w:val="false"/>
              </w:rPr>
              <w:t>1.98%</w:t>
            </w:r>
          </w:p>
        </w:tc>
        <w:tc>
          <w:tcPr>
            <w:tcW/>
            <w:vAlign w:val="center"/>
          </w:tcPr>
          <w:p>
            <w:pPr>
              <w:spacing w:line="240" w:lineRule="auto"/>
              <w:jc w:val="right"/>
            </w:pPr>
            <w:r>
              <w:rPr>
                <w:rFonts w:ascii="宋体" w:hAnsi="宋体" w:cs="宋体" w:eastAsia="宋体"/>
                <w:b w:val="false"/>
              </w:rPr>
              <w:t>1.44%</w:t>
            </w:r>
          </w:p>
        </w:tc>
        <w:tc>
          <w:tcPr>
            <w:tcW/>
            <w:vAlign w:val="center"/>
          </w:tcPr>
          <w:p>
            <w:pPr>
              <w:spacing w:line="240" w:lineRule="auto"/>
              <w:jc w:val="right"/>
            </w:pPr>
            <w:r>
              <w:rPr>
                <w:rFonts w:ascii="宋体" w:hAnsi="宋体" w:cs="宋体" w:eastAsia="宋体"/>
                <w:b w:val="false"/>
              </w:rPr>
              <w:t>4.78%</w:t>
            </w:r>
          </w:p>
        </w:tc>
        <w:tc>
          <w:tcPr>
            <w:tcW/>
            <w:vAlign w:val="center"/>
          </w:tcPr>
          <w:p>
            <w:pPr>
              <w:spacing w:line="240" w:lineRule="auto"/>
              <w:jc w:val="right"/>
            </w:pPr>
            <w:r>
              <w:rPr>
                <w:rFonts w:ascii="宋体" w:hAnsi="宋体" w:cs="宋体" w:eastAsia="宋体"/>
                <w:b w:val="false"/>
              </w:rPr>
              <w:t>1.45%</w:t>
            </w:r>
          </w:p>
        </w:tc>
      </w:tr>
    </w:tbl>
    <w:p>
      <w:pPr>
        <w:jc w:val="left"/>
      </w:pPr>
      <w:r>
        <w:rPr>
          <w:rFonts w:ascii="宋体" w:hAnsi="宋体" w:cs="宋体" w:eastAsia="宋体"/>
          <w:b w:val="true"/>
        </w:rPr>
        <w:t>东方阿尔法科技智选混合发起C净值表现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6.77%</w:t>
            </w:r>
          </w:p>
        </w:tc>
        <w:tc>
          <w:tcPr>
            <w:tcW/>
            <w:vAlign w:val="center"/>
          </w:tcPr>
          <w:p>
            <w:pPr>
              <w:spacing w:line="240" w:lineRule="auto"/>
              <w:jc w:val="right"/>
            </w:pPr>
            <w:r>
              <w:rPr>
                <w:rFonts w:ascii="宋体" w:hAnsi="宋体" w:cs="宋体" w:eastAsia="宋体"/>
                <w:b w:val="false"/>
              </w:rPr>
              <w:t>3.04%</w:t>
            </w:r>
          </w:p>
        </w:tc>
        <w:tc>
          <w:tcPr>
            <w:tcW/>
            <w:vAlign w:val="center"/>
          </w:tcPr>
          <w:p>
            <w:pPr>
              <w:spacing w:line="240" w:lineRule="auto"/>
              <w:jc w:val="right"/>
            </w:pPr>
            <w:r>
              <w:rPr>
                <w:rFonts w:ascii="宋体" w:hAnsi="宋体" w:cs="宋体" w:eastAsia="宋体"/>
                <w:b w:val="false"/>
              </w:rPr>
              <w:t>-2.39%</w:t>
            </w:r>
          </w:p>
        </w:tc>
        <w:tc>
          <w:tcPr>
            <w:tcW/>
            <w:vAlign w:val="center"/>
          </w:tcPr>
          <w:p>
            <w:pPr>
              <w:spacing w:line="240" w:lineRule="auto"/>
              <w:jc w:val="right"/>
            </w:pPr>
            <w:r>
              <w:rPr>
                <w:rFonts w:ascii="宋体" w:hAnsi="宋体" w:cs="宋体" w:eastAsia="宋体"/>
                <w:b w:val="false"/>
              </w:rPr>
              <w:t>1.51%</w:t>
            </w:r>
          </w:p>
        </w:tc>
        <w:tc>
          <w:tcPr>
            <w:tcW/>
            <w:vAlign w:val="center"/>
          </w:tcPr>
          <w:p>
            <w:pPr>
              <w:spacing w:line="240" w:lineRule="auto"/>
              <w:jc w:val="right"/>
            </w:pPr>
            <w:r>
              <w:rPr>
                <w:rFonts w:ascii="宋体" w:hAnsi="宋体" w:cs="宋体" w:eastAsia="宋体"/>
                <w:b w:val="false"/>
              </w:rPr>
              <w:t>9.16%</w:t>
            </w:r>
          </w:p>
        </w:tc>
        <w:tc>
          <w:tcPr>
            <w:tcW/>
            <w:vAlign w:val="center"/>
          </w:tcPr>
          <w:p>
            <w:pPr>
              <w:spacing w:line="240" w:lineRule="auto"/>
              <w:jc w:val="right"/>
            </w:pPr>
            <w:r>
              <w:rPr>
                <w:rFonts w:ascii="宋体" w:hAnsi="宋体" w:cs="宋体" w:eastAsia="宋体"/>
                <w:b w:val="false"/>
              </w:rPr>
              <w:t>1.53%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6.68%</w:t>
            </w:r>
          </w:p>
        </w:tc>
        <w:tc>
          <w:tcPr>
            <w:tcW/>
            <w:vAlign w:val="center"/>
          </w:tcPr>
          <w:p>
            <w:pPr>
              <w:spacing w:line="240" w:lineRule="auto"/>
              <w:jc w:val="right"/>
            </w:pPr>
            <w:r>
              <w:rPr>
                <w:rFonts w:ascii="宋体" w:hAnsi="宋体" w:cs="宋体" w:eastAsia="宋体"/>
                <w:b w:val="false"/>
              </w:rPr>
              <w:t>2.89%</w:t>
            </w:r>
          </w:p>
        </w:tc>
        <w:tc>
          <w:tcPr>
            <w:tcW/>
            <w:vAlign w:val="center"/>
          </w:tcPr>
          <w:p>
            <w:pPr>
              <w:spacing w:line="240" w:lineRule="auto"/>
              <w:jc w:val="right"/>
            </w:pPr>
            <w:r>
              <w:rPr>
                <w:rFonts w:ascii="宋体" w:hAnsi="宋体" w:cs="宋体" w:eastAsia="宋体"/>
                <w:b w:val="false"/>
              </w:rPr>
              <w:t>1.98%</w:t>
            </w:r>
          </w:p>
        </w:tc>
        <w:tc>
          <w:tcPr>
            <w:tcW/>
            <w:vAlign w:val="center"/>
          </w:tcPr>
          <w:p>
            <w:pPr>
              <w:spacing w:line="240" w:lineRule="auto"/>
              <w:jc w:val="right"/>
            </w:pPr>
            <w:r>
              <w:rPr>
                <w:rFonts w:ascii="宋体" w:hAnsi="宋体" w:cs="宋体" w:eastAsia="宋体"/>
                <w:b w:val="false"/>
              </w:rPr>
              <w:t>1.44%</w:t>
            </w:r>
          </w:p>
        </w:tc>
        <w:tc>
          <w:tcPr>
            <w:tcW/>
            <w:vAlign w:val="center"/>
          </w:tcPr>
          <w:p>
            <w:pPr>
              <w:spacing w:line="240" w:lineRule="auto"/>
              <w:jc w:val="right"/>
            </w:pPr>
            <w:r>
              <w:rPr>
                <w:rFonts w:ascii="宋体" w:hAnsi="宋体" w:cs="宋体" w:eastAsia="宋体"/>
                <w:b w:val="false"/>
              </w:rPr>
              <w:t>4.70%</w:t>
            </w:r>
          </w:p>
        </w:tc>
        <w:tc>
          <w:tcPr>
            <w:tcW/>
            <w:vAlign w:val="center"/>
          </w:tcPr>
          <w:p>
            <w:pPr>
              <w:spacing w:line="240" w:lineRule="auto"/>
              <w:jc w:val="right"/>
            </w:pPr>
            <w:r>
              <w:rPr>
                <w:rFonts w:ascii="宋体" w:hAnsi="宋体" w:cs="宋体" w:eastAsia="宋体"/>
                <w:b w:val="false"/>
              </w:rPr>
              <w:t>1.45%</w:t>
            </w:r>
          </w:p>
        </w:tc>
      </w:tr>
    </w:tbl>
    <w:p>
      <w:r>
        <w:rPr>
          <w:rFonts w:ascii="宋体" w:hAnsi="宋体" w:cs="宋体" w:eastAsia="宋体"/>
          <w:b w:val="false"/>
        </w:rPr>
        <w:t>注：1、本基金业绩比较基准为：中国战略新兴产业成份指数收益率*70%+中债-综合指数(全价)收益率*20%+恒生科技指数收益率(按估值汇率折算)*10%。</w:t>
        <w:cr/>
      </w:r>
      <w:r>
        <w:rPr>
          <w:rFonts w:ascii="宋体" w:hAnsi="宋体" w:cs="宋体" w:eastAsia="宋体"/>
          <w:b w:val="false"/>
        </w:rPr>
        <w:t>2、本基金自2025年09月12日成立至今尚未满6个月，无过去六个月、过去一年、过去三年和过去五年的净值表现。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梁少文</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2025-12-01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4年</w:t>
            </w:r>
          </w:p>
        </w:tc>
        <w:tc>
          <w:tcPr>
            <w:tcW/>
            <w:vAlign w:val="center"/>
          </w:tcPr>
          <w:p>
            <w:pPr>
              <w:spacing w:line="240" w:lineRule="auto"/>
              <w:jc w:val="left"/>
            </w:pPr>
            <w:r>
              <w:rPr>
                <w:rFonts w:ascii="宋体" w:hAnsi="宋体" w:cs="宋体" w:eastAsia="宋体"/>
                <w:b w:val="false"/>
              </w:rPr>
              <w:t>梁少文先生，华中科技大学工学学士，华中科技大学金融硕士，于2021年11月入职东方阿尔法基金管理有限公司，历任研究员、基金经理助理。现任东方阿尔法基金管理有限公司基金经理。</w:t>
            </w:r>
          </w:p>
        </w:tc>
      </w:tr>
      <w:tr>
        <w:tc>
          <w:tcPr>
            <w:tcW/>
            <w:vAlign w:val="center"/>
          </w:tcPr>
          <w:p>
            <w:pPr>
              <w:spacing w:line="240" w:lineRule="auto"/>
              <w:jc w:val="left"/>
            </w:pPr>
            <w:r>
              <w:rPr>
                <w:rFonts w:ascii="宋体" w:hAnsi="宋体" w:cs="宋体" w:eastAsia="宋体"/>
                <w:b w:val="false"/>
              </w:rPr>
              <w:t>唐雷</w:t>
            </w:r>
          </w:p>
        </w:tc>
        <w:tc>
          <w:tcPr>
            <w:tcW/>
            <w:vAlign w:val="center"/>
          </w:tcPr>
          <w:p>
            <w:pPr>
              <w:spacing w:line="240" w:lineRule="auto"/>
              <w:jc w:val="left"/>
            </w:pPr>
            <w:r>
              <w:rPr>
                <w:rFonts w:ascii="宋体" w:hAnsi="宋体" w:cs="宋体" w:eastAsia="宋体"/>
                <w:b w:val="false"/>
              </w:rPr>
              <w:t>基金经理（已离任）</w:t>
            </w:r>
          </w:p>
        </w:tc>
        <w:tc>
          <w:tcPr>
            <w:tcW/>
            <w:vAlign w:val="center"/>
          </w:tcPr>
          <w:p>
            <w:pPr>
              <w:spacing w:line="240" w:lineRule="auto"/>
              <w:jc w:val="center"/>
            </w:pPr>
            <w:r>
              <w:rPr>
                <w:rFonts w:ascii="宋体" w:hAnsi="宋体" w:cs="宋体" w:eastAsia="宋体"/>
                <w:b w:val="false"/>
              </w:rPr>
              <w:t>2025-09-12</w:t>
            </w:r>
          </w:p>
        </w:tc>
        <w:tc>
          <w:tcPr>
            <w:tcW/>
            <w:vAlign w:val="center"/>
          </w:tcPr>
          <w:p>
            <w:pPr>
              <w:spacing w:line="240" w:lineRule="auto"/>
              <w:jc w:val="center"/>
            </w:pPr>
            <w:r>
              <w:rPr>
                <w:rFonts w:ascii="宋体" w:hAnsi="宋体" w:cs="宋体" w:eastAsia="宋体"/>
                <w:b w:val="false"/>
              </w:rPr>
              <w:t>2025-12-04</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唐雷先生，武汉大学物理学理学学士，北京大学光华管理学院工商管理硕士。曾先后任职于民生加银基金、安信证券资产管理部、金信基金、东方阿尔法基金。</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从需求侧来看，随着人工智能技术的快速发展，全球在AI大模型训练、推理侧算力等领域的投资金额不断增加，带动AI服务器出货量快速增长，是拉动相关半导体产品增长的核心驱动因素之一。随着大模型的参数提升，以及大模型在应用推理端tokens的快速增长，对于算力需求变得更加迫切，同时在推理过程中产生了大量的中间数据，这些中间数据都需要放在存储芯片中，显著增加了对存储的需求。而伴随GPU的性能规格不断提升，与其配套的存储芯片规格也显著增长。</w:t>
        <w:cr/>
      </w:r>
      <w:r>
        <w:rPr>
          <w:rFonts w:ascii="宋体" w:hAnsi="宋体" w:cs="宋体" w:eastAsia="宋体"/>
          <w:b w:val="false"/>
        </w:rPr>
        <w:t xml:space="preserve">    从供给侧来看，上一轮存储芯片的周期在2024年二季度见顶后进入价格下行趋势，持续到2025年一季度价格见底，海外头部存储厂商减少新产能投资，并把产能转向AI拉动更明显的HBM、DDR5和LPDDR5等领域，同时开始控制产能稼动率减少市场供给，导致在2025年三季度末存储需求持续增长的情况下产生了明显的供需差，带来显著的价格上涨。根据各大存储芯片厂商对2026年需求和供给的预测，判断2026年存储行业会保持高景气度，芯片价格仍在上涨的通道中，其中存储相关的芯片设计、制造、模组、分销等各个环节都将受益。</w:t>
        <w:cr/>
      </w:r>
      <w:r>
        <w:rPr>
          <w:rFonts w:ascii="宋体" w:hAnsi="宋体" w:cs="宋体" w:eastAsia="宋体"/>
          <w:b w:val="false"/>
        </w:rPr>
        <w:t xml:space="preserve">    展望2026年一季度，我们认为存储行业将有良好的投资机会，一方面存储芯片价格上涨趋势仍在延续，相关公司的业绩也将释放出来；另一方面，全球AI推理侧需求快速增长，短期供给释放较少，供需差仍在扩大，涨价幅度仍有超预期的空间。</w:t>
        <w:cr/>
      </w:r>
      <w:r>
        <w:rPr>
          <w:rFonts w:ascii="宋体" w:hAnsi="宋体" w:cs="宋体" w:eastAsia="宋体"/>
          <w:b w:val="false"/>
        </w:rPr>
        <w:t xml:space="preserve">    基于以上分析，本基金持续关注半导体存储产业链，重点聚焦景气度持续提升、价格具备上涨弹性的环节，以及国产存储供应链实现突破的关键环节，致力于把握存储相关的投资机会，伴随国家存储产业链共同成长。</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科技智选混合发起A基金份额净值为1.0676元，本报告期内，该类基金份额净值增长率为6.83%，同期业绩比较基准收益率为-2.39%；截至报告期末东方阿尔法科技智选混合发起C基金份额净值为1.0668元，本报告期内，该类基金份额净值增长率为6.77%，同期业绩比较基准收益率为-2.39%。</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357,918,013.13</w:t>
            </w:r>
          </w:p>
        </w:tc>
        <w:tc>
          <w:tcPr>
            <w:tcW/>
            <w:vAlign w:val="center"/>
          </w:tcPr>
          <w:p>
            <w:pPr>
              <w:spacing w:line="240" w:lineRule="auto"/>
              <w:jc w:val="right"/>
            </w:pPr>
            <w:r>
              <w:rPr>
                <w:rFonts w:ascii="宋体" w:hAnsi="宋体" w:cs="宋体" w:eastAsia="宋体"/>
                <w:b w:val="false"/>
              </w:rPr>
              <w:t>87.93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357,918,013.13</w:t>
            </w:r>
          </w:p>
        </w:tc>
        <w:tc>
          <w:tcPr>
            <w:tcW/>
            <w:vAlign w:val="center"/>
          </w:tcPr>
          <w:p>
            <w:pPr>
              <w:spacing w:line="240" w:lineRule="auto"/>
              <w:jc w:val="right"/>
            </w:pPr>
            <w:r>
              <w:rPr>
                <w:rFonts w:ascii="宋体" w:hAnsi="宋体" w:cs="宋体" w:eastAsia="宋体"/>
                <w:b w:val="false"/>
              </w:rPr>
              <w:t>87.93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24,648,144.98</w:t>
            </w:r>
          </w:p>
        </w:tc>
        <w:tc>
          <w:tcPr>
            <w:tcW/>
            <w:vAlign w:val="center"/>
          </w:tcPr>
          <w:p>
            <w:pPr>
              <w:spacing w:line="240" w:lineRule="auto"/>
              <w:jc w:val="right"/>
            </w:pPr>
            <w:r>
              <w:rPr>
                <w:rFonts w:ascii="宋体" w:hAnsi="宋体" w:cs="宋体" w:eastAsia="宋体"/>
                <w:b w:val="false"/>
              </w:rPr>
              <w:t>6.06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24,648,144.98</w:t>
            </w:r>
          </w:p>
        </w:tc>
        <w:tc>
          <w:tcPr>
            <w:tcW/>
            <w:vAlign w:val="center"/>
          </w:tcPr>
          <w:p>
            <w:pPr>
              <w:spacing w:line="240" w:lineRule="auto"/>
              <w:jc w:val="right"/>
            </w:pPr>
            <w:r>
              <w:rPr>
                <w:rFonts w:ascii="宋体" w:hAnsi="宋体" w:cs="宋体" w:eastAsia="宋体"/>
                <w:b w:val="false"/>
              </w:rPr>
              <w:t>6.06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3,638,276.96</w:t>
            </w:r>
          </w:p>
        </w:tc>
        <w:tc>
          <w:tcPr>
            <w:tcW/>
            <w:vAlign w:val="center"/>
          </w:tcPr>
          <w:p>
            <w:pPr>
              <w:spacing w:line="240" w:lineRule="auto"/>
              <w:jc w:val="right"/>
            </w:pPr>
            <w:r>
              <w:rPr>
                <w:rFonts w:ascii="宋体" w:hAnsi="宋体" w:cs="宋体" w:eastAsia="宋体"/>
                <w:b w:val="false"/>
              </w:rPr>
              <w:t>0.89</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20,831,154.14</w:t>
            </w:r>
          </w:p>
        </w:tc>
        <w:tc>
          <w:tcPr>
            <w:tcW/>
            <w:vAlign w:val="center"/>
          </w:tcPr>
          <w:p>
            <w:pPr>
              <w:spacing w:line="240" w:lineRule="auto"/>
              <w:jc w:val="right"/>
            </w:pPr>
            <w:r>
              <w:rPr>
                <w:rFonts w:ascii="宋体" w:hAnsi="宋体" w:cs="宋体" w:eastAsia="宋体"/>
                <w:b w:val="false"/>
              </w:rPr>
              <w:t>5.12</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407,035,589.21</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309,584,507.60</w:t>
            </w:r>
          </w:p>
        </w:tc>
        <w:tc>
          <w:tcPr>
            <w:tcW/>
            <w:vAlign w:val="center"/>
          </w:tcPr>
          <w:p>
            <w:pPr>
              <w:spacing w:line="240" w:lineRule="auto"/>
              <w:jc w:val="right"/>
            </w:pPr>
            <w:r>
              <w:rPr>
                <w:rFonts w:ascii="宋体" w:hAnsi="宋体" w:cs="宋体" w:eastAsia="宋体"/>
                <w:b w:val="false"/>
              </w:rPr>
              <w:t>78.58</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34,423,069.24</w:t>
            </w:r>
          </w:p>
        </w:tc>
        <w:tc>
          <w:tcPr>
            <w:tcW/>
            <w:vAlign w:val="center"/>
          </w:tcPr>
          <w:p>
            <w:pPr>
              <w:spacing w:line="240" w:lineRule="auto"/>
              <w:jc w:val="right"/>
            </w:pPr>
            <w:r>
              <w:rPr>
                <w:rFonts w:ascii="宋体" w:hAnsi="宋体" w:cs="宋体" w:eastAsia="宋体"/>
                <w:b w:val="false"/>
              </w:rPr>
              <w:t>8.74</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13,894,180.95</w:t>
            </w:r>
          </w:p>
        </w:tc>
        <w:tc>
          <w:tcPr>
            <w:tcW/>
            <w:vAlign w:val="center"/>
          </w:tcPr>
          <w:p>
            <w:pPr>
              <w:spacing w:line="240" w:lineRule="auto"/>
              <w:jc w:val="right"/>
            </w:pPr>
            <w:r>
              <w:rPr>
                <w:rFonts w:ascii="宋体" w:hAnsi="宋体" w:cs="宋体" w:eastAsia="宋体"/>
                <w:b w:val="false"/>
              </w:rPr>
              <w:t>3.53</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16,255.34</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357,918,013.13</w:t>
            </w:r>
          </w:p>
        </w:tc>
        <w:tc>
          <w:tcPr>
            <w:tcW/>
            <w:vAlign w:val="center"/>
          </w:tcPr>
          <w:p>
            <w:pPr>
              <w:spacing w:line="240" w:lineRule="auto"/>
              <w:jc w:val="right"/>
            </w:pPr>
            <w:r>
              <w:rPr>
                <w:rFonts w:ascii="宋体" w:hAnsi="宋体" w:cs="宋体" w:eastAsia="宋体"/>
                <w:b w:val="false"/>
              </w:rPr>
              <w:t>90.85</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688525</w:t>
            </w:r>
          </w:p>
        </w:tc>
        <w:tc>
          <w:tcPr>
            <w:tcW/>
            <w:vAlign w:val="center"/>
          </w:tcPr>
          <w:p>
            <w:pPr>
              <w:spacing w:line="240" w:lineRule="auto"/>
              <w:jc w:val="left"/>
            </w:pPr>
            <w:r>
              <w:rPr>
                <w:rFonts w:ascii="宋体" w:hAnsi="宋体" w:cs="宋体" w:eastAsia="宋体"/>
                <w:b w:val="false"/>
              </w:rPr>
              <w:t>佰维存储</w:t>
            </w:r>
          </w:p>
        </w:tc>
        <w:tc>
          <w:tcPr>
            <w:tcW/>
            <w:vAlign w:val="center"/>
          </w:tcPr>
          <w:p>
            <w:pPr>
              <w:spacing w:line="240" w:lineRule="auto"/>
              <w:jc w:val="right"/>
            </w:pPr>
            <w:r>
              <w:rPr>
                <w:rFonts w:ascii="宋体" w:hAnsi="宋体" w:cs="宋体" w:eastAsia="宋体"/>
                <w:b w:val="false"/>
              </w:rPr>
              <w:t>313,559</w:t>
            </w:r>
          </w:p>
        </w:tc>
        <w:tc>
          <w:tcPr>
            <w:tcW/>
            <w:vAlign w:val="center"/>
          </w:tcPr>
          <w:p>
            <w:pPr>
              <w:spacing w:line="240" w:lineRule="auto"/>
              <w:jc w:val="right"/>
            </w:pPr>
            <w:r>
              <w:rPr>
                <w:rFonts w:ascii="宋体" w:hAnsi="宋体" w:cs="宋体" w:eastAsia="宋体"/>
                <w:b w:val="false"/>
              </w:rPr>
              <w:t>35,993,437.61</w:t>
            </w:r>
          </w:p>
        </w:tc>
        <w:tc>
          <w:tcPr>
            <w:tcW/>
            <w:vAlign w:val="center"/>
          </w:tcPr>
          <w:p>
            <w:pPr>
              <w:spacing w:line="240" w:lineRule="auto"/>
              <w:jc w:val="right"/>
            </w:pPr>
            <w:r>
              <w:rPr>
                <w:rFonts w:ascii="宋体" w:hAnsi="宋体" w:cs="宋体" w:eastAsia="宋体"/>
                <w:b w:val="false"/>
              </w:rPr>
              <w:t>9.14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603986</w:t>
            </w:r>
          </w:p>
        </w:tc>
        <w:tc>
          <w:tcPr>
            <w:tcW/>
            <w:vAlign w:val="center"/>
          </w:tcPr>
          <w:p>
            <w:pPr>
              <w:spacing w:line="240" w:lineRule="auto"/>
              <w:jc w:val="left"/>
            </w:pPr>
            <w:r>
              <w:rPr>
                <w:rFonts w:ascii="宋体" w:hAnsi="宋体" w:cs="宋体" w:eastAsia="宋体"/>
                <w:b w:val="false"/>
              </w:rPr>
              <w:t>兆易创新</w:t>
            </w:r>
          </w:p>
        </w:tc>
        <w:tc>
          <w:tcPr>
            <w:tcW/>
            <w:vAlign w:val="center"/>
          </w:tcPr>
          <w:p>
            <w:pPr>
              <w:spacing w:line="240" w:lineRule="auto"/>
              <w:jc w:val="right"/>
            </w:pPr>
            <w:r>
              <w:rPr>
                <w:rFonts w:ascii="宋体" w:hAnsi="宋体" w:cs="宋体" w:eastAsia="宋体"/>
                <w:b w:val="false"/>
              </w:rPr>
              <w:t>166,600</w:t>
            </w:r>
          </w:p>
        </w:tc>
        <w:tc>
          <w:tcPr>
            <w:tcW/>
            <w:vAlign w:val="center"/>
          </w:tcPr>
          <w:p>
            <w:pPr>
              <w:spacing w:line="240" w:lineRule="auto"/>
              <w:jc w:val="right"/>
            </w:pPr>
            <w:r>
              <w:rPr>
                <w:rFonts w:ascii="宋体" w:hAnsi="宋体" w:cs="宋体" w:eastAsia="宋体"/>
                <w:b w:val="false"/>
              </w:rPr>
              <w:t>35,694,050.00</w:t>
            </w:r>
          </w:p>
        </w:tc>
        <w:tc>
          <w:tcPr>
            <w:tcW/>
            <w:vAlign w:val="center"/>
          </w:tcPr>
          <w:p>
            <w:pPr>
              <w:spacing w:line="240" w:lineRule="auto"/>
              <w:jc w:val="right"/>
            </w:pPr>
            <w:r>
              <w:rPr>
                <w:rFonts w:ascii="宋体" w:hAnsi="宋体" w:cs="宋体" w:eastAsia="宋体"/>
                <w:b w:val="false"/>
              </w:rPr>
              <w:t>9.06</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001309</w:t>
            </w:r>
          </w:p>
        </w:tc>
        <w:tc>
          <w:tcPr>
            <w:tcW/>
            <w:vAlign w:val="center"/>
          </w:tcPr>
          <w:p>
            <w:pPr>
              <w:spacing w:line="240" w:lineRule="auto"/>
              <w:jc w:val="left"/>
            </w:pPr>
            <w:r>
              <w:rPr>
                <w:rFonts w:ascii="宋体" w:hAnsi="宋体" w:cs="宋体" w:eastAsia="宋体"/>
                <w:b w:val="false"/>
              </w:rPr>
              <w:t>德明利</w:t>
            </w:r>
          </w:p>
        </w:tc>
        <w:tc>
          <w:tcPr>
            <w:tcW/>
            <w:vAlign w:val="center"/>
          </w:tcPr>
          <w:p>
            <w:pPr>
              <w:spacing w:line="240" w:lineRule="auto"/>
              <w:jc w:val="right"/>
            </w:pPr>
            <w:r>
              <w:rPr>
                <w:rFonts w:ascii="宋体" w:hAnsi="宋体" w:cs="宋体" w:eastAsia="宋体"/>
                <w:b w:val="false"/>
              </w:rPr>
              <w:t>149,300</w:t>
            </w:r>
          </w:p>
        </w:tc>
        <w:tc>
          <w:tcPr>
            <w:tcW/>
            <w:vAlign w:val="center"/>
          </w:tcPr>
          <w:p>
            <w:pPr>
              <w:spacing w:line="240" w:lineRule="auto"/>
              <w:jc w:val="right"/>
            </w:pPr>
            <w:r>
              <w:rPr>
                <w:rFonts w:ascii="宋体" w:hAnsi="宋体" w:cs="宋体" w:eastAsia="宋体"/>
                <w:b w:val="false"/>
              </w:rPr>
              <w:t>34,621,177.00</w:t>
            </w:r>
          </w:p>
        </w:tc>
        <w:tc>
          <w:tcPr>
            <w:tcW/>
            <w:vAlign w:val="center"/>
          </w:tcPr>
          <w:p>
            <w:pPr>
              <w:spacing w:line="240" w:lineRule="auto"/>
              <w:jc w:val="right"/>
            </w:pPr>
            <w:r>
              <w:rPr>
                <w:rFonts w:ascii="宋体" w:hAnsi="宋体" w:cs="宋体" w:eastAsia="宋体"/>
                <w:b w:val="false"/>
              </w:rPr>
              <w:t>8.79</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300475</w:t>
            </w:r>
          </w:p>
        </w:tc>
        <w:tc>
          <w:tcPr>
            <w:tcW/>
            <w:vAlign w:val="center"/>
          </w:tcPr>
          <w:p>
            <w:pPr>
              <w:spacing w:line="240" w:lineRule="auto"/>
              <w:jc w:val="left"/>
            </w:pPr>
            <w:r>
              <w:rPr>
                <w:rFonts w:ascii="宋体" w:hAnsi="宋体" w:cs="宋体" w:eastAsia="宋体"/>
                <w:b w:val="false"/>
              </w:rPr>
              <w:t>香农芯创</w:t>
            </w:r>
          </w:p>
        </w:tc>
        <w:tc>
          <w:tcPr>
            <w:tcW/>
            <w:vAlign w:val="center"/>
          </w:tcPr>
          <w:p>
            <w:pPr>
              <w:spacing w:line="240" w:lineRule="auto"/>
              <w:jc w:val="right"/>
            </w:pPr>
            <w:r>
              <w:rPr>
                <w:rFonts w:ascii="宋体" w:hAnsi="宋体" w:cs="宋体" w:eastAsia="宋体"/>
                <w:b w:val="false"/>
              </w:rPr>
              <w:t>238,486</w:t>
            </w:r>
          </w:p>
        </w:tc>
        <w:tc>
          <w:tcPr>
            <w:tcW/>
            <w:vAlign w:val="center"/>
          </w:tcPr>
          <w:p>
            <w:pPr>
              <w:spacing w:line="240" w:lineRule="auto"/>
              <w:jc w:val="right"/>
            </w:pPr>
            <w:r>
              <w:rPr>
                <w:rFonts w:ascii="宋体" w:hAnsi="宋体" w:cs="宋体" w:eastAsia="宋体"/>
                <w:b w:val="false"/>
              </w:rPr>
              <w:t>34,423,069.24</w:t>
            </w:r>
          </w:p>
        </w:tc>
        <w:tc>
          <w:tcPr>
            <w:tcW/>
            <w:vAlign w:val="center"/>
          </w:tcPr>
          <w:p>
            <w:pPr>
              <w:spacing w:line="240" w:lineRule="auto"/>
              <w:jc w:val="right"/>
            </w:pPr>
            <w:r>
              <w:rPr>
                <w:rFonts w:ascii="宋体" w:hAnsi="宋体" w:cs="宋体" w:eastAsia="宋体"/>
                <w:b w:val="false"/>
              </w:rPr>
              <w:t>8.74</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301308</w:t>
            </w:r>
          </w:p>
        </w:tc>
        <w:tc>
          <w:tcPr>
            <w:tcW/>
            <w:vAlign w:val="center"/>
          </w:tcPr>
          <w:p>
            <w:pPr>
              <w:spacing w:line="240" w:lineRule="auto"/>
              <w:jc w:val="left"/>
            </w:pPr>
            <w:r>
              <w:rPr>
                <w:rFonts w:ascii="宋体" w:hAnsi="宋体" w:cs="宋体" w:eastAsia="宋体"/>
                <w:b w:val="false"/>
              </w:rPr>
              <w:t>江波龙</w:t>
            </w:r>
          </w:p>
        </w:tc>
        <w:tc>
          <w:tcPr>
            <w:tcW/>
            <w:vAlign w:val="center"/>
          </w:tcPr>
          <w:p>
            <w:pPr>
              <w:spacing w:line="240" w:lineRule="auto"/>
              <w:jc w:val="right"/>
            </w:pPr>
            <w:r>
              <w:rPr>
                <w:rFonts w:ascii="宋体" w:hAnsi="宋体" w:cs="宋体" w:eastAsia="宋体"/>
                <w:b w:val="false"/>
              </w:rPr>
              <w:t>128,300</w:t>
            </w:r>
          </w:p>
        </w:tc>
        <w:tc>
          <w:tcPr>
            <w:tcW/>
            <w:vAlign w:val="center"/>
          </w:tcPr>
          <w:p>
            <w:pPr>
              <w:spacing w:line="240" w:lineRule="auto"/>
              <w:jc w:val="right"/>
            </w:pPr>
            <w:r>
              <w:rPr>
                <w:rFonts w:ascii="宋体" w:hAnsi="宋体" w:cs="宋体" w:eastAsia="宋体"/>
                <w:b w:val="false"/>
              </w:rPr>
              <w:t>31,412,972.00</w:t>
            </w:r>
          </w:p>
        </w:tc>
        <w:tc>
          <w:tcPr>
            <w:tcW/>
            <w:vAlign w:val="center"/>
          </w:tcPr>
          <w:p>
            <w:pPr>
              <w:spacing w:line="240" w:lineRule="auto"/>
              <w:jc w:val="right"/>
            </w:pPr>
            <w:r>
              <w:rPr>
                <w:rFonts w:ascii="宋体" w:hAnsi="宋体" w:cs="宋体" w:eastAsia="宋体"/>
                <w:b w:val="false"/>
              </w:rPr>
              <w:t>7.97</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688766</w:t>
            </w:r>
          </w:p>
        </w:tc>
        <w:tc>
          <w:tcPr>
            <w:tcW/>
            <w:vAlign w:val="center"/>
          </w:tcPr>
          <w:p>
            <w:pPr>
              <w:spacing w:line="240" w:lineRule="auto"/>
              <w:jc w:val="left"/>
            </w:pPr>
            <w:r>
              <w:rPr>
                <w:rFonts w:ascii="宋体" w:hAnsi="宋体" w:cs="宋体" w:eastAsia="宋体"/>
                <w:b w:val="false"/>
              </w:rPr>
              <w:t>普冉股份</w:t>
            </w:r>
          </w:p>
        </w:tc>
        <w:tc>
          <w:tcPr>
            <w:tcW/>
            <w:vAlign w:val="center"/>
          </w:tcPr>
          <w:p>
            <w:pPr>
              <w:spacing w:line="240" w:lineRule="auto"/>
              <w:jc w:val="right"/>
            </w:pPr>
            <w:r>
              <w:rPr>
                <w:rFonts w:ascii="宋体" w:hAnsi="宋体" w:cs="宋体" w:eastAsia="宋体"/>
                <w:b w:val="false"/>
              </w:rPr>
              <w:t>244,521</w:t>
            </w:r>
          </w:p>
        </w:tc>
        <w:tc>
          <w:tcPr>
            <w:tcW/>
            <w:vAlign w:val="center"/>
          </w:tcPr>
          <w:p>
            <w:pPr>
              <w:spacing w:line="240" w:lineRule="auto"/>
              <w:jc w:val="right"/>
            </w:pPr>
            <w:r>
              <w:rPr>
                <w:rFonts w:ascii="宋体" w:hAnsi="宋体" w:cs="宋体" w:eastAsia="宋体"/>
                <w:b w:val="false"/>
              </w:rPr>
              <w:t>31,105,516.41</w:t>
            </w:r>
          </w:p>
        </w:tc>
        <w:tc>
          <w:tcPr>
            <w:tcW/>
            <w:vAlign w:val="center"/>
          </w:tcPr>
          <w:p>
            <w:pPr>
              <w:spacing w:line="240" w:lineRule="auto"/>
              <w:jc w:val="right"/>
            </w:pPr>
            <w:r>
              <w:rPr>
                <w:rFonts w:ascii="宋体" w:hAnsi="宋体" w:cs="宋体" w:eastAsia="宋体"/>
                <w:b w:val="false"/>
              </w:rPr>
              <w:t>7.90</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688123</w:t>
            </w:r>
          </w:p>
        </w:tc>
        <w:tc>
          <w:tcPr>
            <w:tcW/>
            <w:vAlign w:val="center"/>
          </w:tcPr>
          <w:p>
            <w:pPr>
              <w:spacing w:line="240" w:lineRule="auto"/>
              <w:jc w:val="left"/>
            </w:pPr>
            <w:r>
              <w:rPr>
                <w:rFonts w:ascii="宋体" w:hAnsi="宋体" w:cs="宋体" w:eastAsia="宋体"/>
                <w:b w:val="false"/>
              </w:rPr>
              <w:t>聚辰股份</w:t>
            </w:r>
          </w:p>
        </w:tc>
        <w:tc>
          <w:tcPr>
            <w:tcW/>
            <w:vAlign w:val="center"/>
          </w:tcPr>
          <w:p>
            <w:pPr>
              <w:spacing w:line="240" w:lineRule="auto"/>
              <w:jc w:val="right"/>
            </w:pPr>
            <w:r>
              <w:rPr>
                <w:rFonts w:ascii="宋体" w:hAnsi="宋体" w:cs="宋体" w:eastAsia="宋体"/>
                <w:b w:val="false"/>
              </w:rPr>
              <w:t>240,014</w:t>
            </w:r>
          </w:p>
        </w:tc>
        <w:tc>
          <w:tcPr>
            <w:tcW/>
            <w:vAlign w:val="center"/>
          </w:tcPr>
          <w:p>
            <w:pPr>
              <w:spacing w:line="240" w:lineRule="auto"/>
              <w:jc w:val="right"/>
            </w:pPr>
            <w:r>
              <w:rPr>
                <w:rFonts w:ascii="宋体" w:hAnsi="宋体" w:cs="宋体" w:eastAsia="宋体"/>
                <w:b w:val="false"/>
              </w:rPr>
              <w:t>30,140,958.12</w:t>
            </w:r>
          </w:p>
        </w:tc>
        <w:tc>
          <w:tcPr>
            <w:tcW/>
            <w:vAlign w:val="center"/>
          </w:tcPr>
          <w:p>
            <w:pPr>
              <w:spacing w:line="240" w:lineRule="auto"/>
              <w:jc w:val="right"/>
            </w:pPr>
            <w:r>
              <w:rPr>
                <w:rFonts w:ascii="宋体" w:hAnsi="宋体" w:cs="宋体" w:eastAsia="宋体"/>
                <w:b w:val="false"/>
              </w:rPr>
              <w:t>7.65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300223</w:t>
            </w:r>
          </w:p>
        </w:tc>
        <w:tc>
          <w:tcPr>
            <w:tcW/>
            <w:vAlign w:val="center"/>
          </w:tcPr>
          <w:p>
            <w:pPr>
              <w:spacing w:line="240" w:lineRule="auto"/>
              <w:jc w:val="left"/>
            </w:pPr>
            <w:r>
              <w:rPr>
                <w:rFonts w:ascii="宋体" w:hAnsi="宋体" w:cs="宋体" w:eastAsia="宋体"/>
                <w:b w:val="false"/>
              </w:rPr>
              <w:t>北京君正</w:t>
            </w:r>
          </w:p>
        </w:tc>
        <w:tc>
          <w:tcPr>
            <w:tcW/>
            <w:vAlign w:val="center"/>
          </w:tcPr>
          <w:p>
            <w:pPr>
              <w:spacing w:line="240" w:lineRule="auto"/>
              <w:jc w:val="right"/>
            </w:pPr>
            <w:r>
              <w:rPr>
                <w:rFonts w:ascii="宋体" w:hAnsi="宋体" w:cs="宋体" w:eastAsia="宋体"/>
                <w:b w:val="false"/>
              </w:rPr>
              <w:t>230,100</w:t>
            </w:r>
          </w:p>
        </w:tc>
        <w:tc>
          <w:tcPr>
            <w:tcW/>
            <w:vAlign w:val="center"/>
          </w:tcPr>
          <w:p>
            <w:pPr>
              <w:spacing w:line="240" w:lineRule="auto"/>
              <w:jc w:val="right"/>
            </w:pPr>
            <w:r>
              <w:rPr>
                <w:rFonts w:ascii="宋体" w:hAnsi="宋体" w:cs="宋体" w:eastAsia="宋体"/>
                <w:b w:val="false"/>
              </w:rPr>
              <w:t>24,399,804.00</w:t>
            </w:r>
          </w:p>
        </w:tc>
        <w:tc>
          <w:tcPr>
            <w:tcW/>
            <w:vAlign w:val="center"/>
          </w:tcPr>
          <w:p>
            <w:pPr>
              <w:spacing w:line="240" w:lineRule="auto"/>
              <w:jc w:val="right"/>
            </w:pPr>
            <w:r>
              <w:rPr>
                <w:rFonts w:ascii="宋体" w:hAnsi="宋体" w:cs="宋体" w:eastAsia="宋体"/>
                <w:b w:val="false"/>
              </w:rPr>
              <w:t>6.19</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688110</w:t>
            </w:r>
          </w:p>
        </w:tc>
        <w:tc>
          <w:tcPr>
            <w:tcW/>
            <w:vAlign w:val="center"/>
          </w:tcPr>
          <w:p>
            <w:pPr>
              <w:spacing w:line="240" w:lineRule="auto"/>
              <w:jc w:val="left"/>
            </w:pPr>
            <w:r>
              <w:rPr>
                <w:rFonts w:ascii="宋体" w:hAnsi="宋体" w:cs="宋体" w:eastAsia="宋体"/>
                <w:b w:val="false"/>
              </w:rPr>
              <w:t>东芯股份</w:t>
            </w:r>
          </w:p>
        </w:tc>
        <w:tc>
          <w:tcPr>
            <w:tcW/>
            <w:vAlign w:val="center"/>
          </w:tcPr>
          <w:p>
            <w:pPr>
              <w:spacing w:line="240" w:lineRule="auto"/>
              <w:jc w:val="right"/>
            </w:pPr>
            <w:r>
              <w:rPr>
                <w:rFonts w:ascii="宋体" w:hAnsi="宋体" w:cs="宋体" w:eastAsia="宋体"/>
                <w:b w:val="false"/>
              </w:rPr>
              <w:t>173,905</w:t>
            </w:r>
          </w:p>
        </w:tc>
        <w:tc>
          <w:tcPr>
            <w:tcW/>
            <w:vAlign w:val="center"/>
          </w:tcPr>
          <w:p>
            <w:pPr>
              <w:spacing w:line="240" w:lineRule="auto"/>
              <w:jc w:val="right"/>
            </w:pPr>
            <w:r>
              <w:rPr>
                <w:rFonts w:ascii="宋体" w:hAnsi="宋体" w:cs="宋体" w:eastAsia="宋体"/>
                <w:b w:val="false"/>
              </w:rPr>
              <w:t>22,842,421.75</w:t>
            </w:r>
          </w:p>
        </w:tc>
        <w:tc>
          <w:tcPr>
            <w:tcW/>
            <w:vAlign w:val="center"/>
          </w:tcPr>
          <w:p>
            <w:pPr>
              <w:spacing w:line="240" w:lineRule="auto"/>
              <w:jc w:val="right"/>
            </w:pPr>
            <w:r>
              <w:rPr>
                <w:rFonts w:ascii="宋体" w:hAnsi="宋体" w:cs="宋体" w:eastAsia="宋体"/>
                <w:b w:val="false"/>
              </w:rPr>
              <w:t>5.80</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688249</w:t>
            </w:r>
          </w:p>
        </w:tc>
        <w:tc>
          <w:tcPr>
            <w:tcW/>
            <w:vAlign w:val="center"/>
          </w:tcPr>
          <w:p>
            <w:pPr>
              <w:spacing w:line="240" w:lineRule="auto"/>
              <w:jc w:val="left"/>
            </w:pPr>
            <w:r>
              <w:rPr>
                <w:rFonts w:ascii="宋体" w:hAnsi="宋体" w:cs="宋体" w:eastAsia="宋体"/>
                <w:b w:val="false"/>
              </w:rPr>
              <w:t>晶合集成</w:t>
            </w:r>
          </w:p>
        </w:tc>
        <w:tc>
          <w:tcPr>
            <w:tcW/>
            <w:vAlign w:val="center"/>
          </w:tcPr>
          <w:p>
            <w:pPr>
              <w:spacing w:line="240" w:lineRule="auto"/>
              <w:jc w:val="right"/>
            </w:pPr>
            <w:r>
              <w:rPr>
                <w:rFonts w:ascii="宋体" w:hAnsi="宋体" w:cs="宋体" w:eastAsia="宋体"/>
                <w:b w:val="false"/>
              </w:rPr>
              <w:t>659,931</w:t>
            </w:r>
          </w:p>
        </w:tc>
        <w:tc>
          <w:tcPr>
            <w:tcW/>
            <w:vAlign w:val="center"/>
          </w:tcPr>
          <w:p>
            <w:pPr>
              <w:spacing w:line="240" w:lineRule="auto"/>
              <w:jc w:val="right"/>
            </w:pPr>
            <w:r>
              <w:rPr>
                <w:rFonts w:ascii="宋体" w:hAnsi="宋体" w:cs="宋体" w:eastAsia="宋体"/>
                <w:b w:val="false"/>
              </w:rPr>
              <w:t>21,903,109.89</w:t>
            </w:r>
          </w:p>
        </w:tc>
        <w:tc>
          <w:tcPr>
            <w:tcW/>
            <w:vAlign w:val="center"/>
          </w:tcPr>
          <w:p>
            <w:pPr>
              <w:spacing w:line="240" w:lineRule="auto"/>
              <w:jc w:val="right"/>
            </w:pPr>
            <w:r>
              <w:rPr>
                <w:rFonts w:ascii="宋体" w:hAnsi="宋体" w:cs="宋体" w:eastAsia="宋体"/>
                <w:b w:val="false"/>
              </w:rPr>
              <w:t>5.56</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24,648,144.98</w:t>
            </w:r>
          </w:p>
        </w:tc>
        <w:tc>
          <w:tcPr>
            <w:tcW/>
            <w:vAlign w:val="center"/>
          </w:tcPr>
          <w:p>
            <w:pPr>
              <w:spacing w:line="240" w:lineRule="auto"/>
              <w:jc w:val="right"/>
            </w:pPr>
            <w:r>
              <w:rPr>
                <w:rFonts w:ascii="宋体" w:hAnsi="宋体" w:cs="宋体" w:eastAsia="宋体"/>
                <w:b w:val="false"/>
              </w:rPr>
              <w:t>6.26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24,648,144.98</w:t>
            </w:r>
          </w:p>
        </w:tc>
        <w:tc>
          <w:tcPr>
            <w:tcW/>
            <w:vAlign w:val="center"/>
          </w:tcPr>
          <w:p>
            <w:pPr>
              <w:spacing w:line="240" w:lineRule="auto"/>
              <w:jc w:val="right"/>
            </w:pPr>
            <w:r>
              <w:rPr>
                <w:rFonts w:ascii="宋体" w:hAnsi="宋体" w:cs="宋体" w:eastAsia="宋体"/>
                <w:b w:val="false"/>
              </w:rPr>
              <w:t>6.26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244,000</w:t>
            </w:r>
          </w:p>
        </w:tc>
        <w:tc>
          <w:tcPr>
            <w:tcW/>
            <w:vAlign w:val="center"/>
          </w:tcPr>
          <w:p>
            <w:pPr>
              <w:spacing w:line="240" w:lineRule="auto"/>
              <w:jc w:val="right"/>
            </w:pPr>
            <w:r>
              <w:rPr>
                <w:rFonts w:ascii="宋体" w:hAnsi="宋体" w:cs="宋体" w:eastAsia="宋体"/>
                <w:b w:val="false"/>
              </w:rPr>
              <w:t>24,547,135.34</w:t>
            </w:r>
          </w:p>
        </w:tc>
        <w:tc>
          <w:tcPr>
            <w:tcW/>
            <w:vAlign w:val="center"/>
          </w:tcPr>
          <w:p>
            <w:pPr>
              <w:spacing w:line="240" w:lineRule="auto"/>
              <w:jc w:val="right"/>
            </w:pPr>
            <w:r>
              <w:rPr>
                <w:rFonts w:ascii="宋体" w:hAnsi="宋体" w:cs="宋体" w:eastAsia="宋体"/>
                <w:b w:val="false"/>
              </w:rPr>
              <w:t>6.23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1,000</w:t>
            </w:r>
          </w:p>
        </w:tc>
        <w:tc>
          <w:tcPr>
            <w:tcW/>
            <w:vAlign w:val="center"/>
          </w:tcPr>
          <w:p>
            <w:pPr>
              <w:spacing w:line="240" w:lineRule="auto"/>
              <w:jc w:val="right"/>
            </w:pPr>
            <w:r>
              <w:rPr>
                <w:rFonts w:ascii="宋体" w:hAnsi="宋体" w:cs="宋体" w:eastAsia="宋体"/>
                <w:b w:val="false"/>
              </w:rPr>
              <w:t>101,009.64</w:t>
            </w:r>
          </w:p>
        </w:tc>
        <w:tc>
          <w:tcPr>
            <w:tcW/>
            <w:vAlign w:val="center"/>
          </w:tcPr>
          <w:p>
            <w:pPr>
              <w:spacing w:line="240" w:lineRule="auto"/>
              <w:jc w:val="right"/>
            </w:pPr>
            <w:r>
              <w:rPr>
                <w:rFonts w:ascii="宋体" w:hAnsi="宋体" w:cs="宋体" w:eastAsia="宋体"/>
                <w:b w:val="false"/>
              </w:rPr>
              <w:t>0.03</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20,831,154.14</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20,831,154.14</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东方阿尔法科技智选混合发起A</w:t>
            </w:r>
          </w:p>
        </w:tc>
        <w:tc>
          <w:tcPr>
            <w:tcW w:type="pct" w:w="1300"/>
            <w:vAlign w:val="center"/>
          </w:tcPr>
          <w:p>
            <w:pPr>
              <w:spacing w:line="240" w:lineRule="auto"/>
              <w:jc w:val="center"/>
            </w:pPr>
            <w:r>
              <w:rPr>
                <w:rFonts w:ascii="宋体" w:hAnsi="宋体" w:cs="宋体" w:eastAsia="宋体"/>
                <w:b w:val="false"/>
              </w:rPr>
              <w:t>东方阿尔法科技智选混合发起C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11,540,253.20</w:t>
            </w:r>
          </w:p>
        </w:tc>
        <w:tc>
          <w:tcPr>
            <w:tcW w:type="pct" w:w="1300"/>
            <w:vAlign w:val="center"/>
          </w:tcPr>
          <w:p>
            <w:pPr>
              <w:spacing w:line="240" w:lineRule="auto"/>
              <w:jc w:val="right"/>
            </w:pPr>
            <w:r>
              <w:rPr>
                <w:rFonts w:ascii="宋体" w:hAnsi="宋体" w:cs="宋体" w:eastAsia="宋体"/>
                <w:b w:val="false"/>
              </w:rPr>
              <w:t>6,493,677.81</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16,172,558.39</w:t>
            </w:r>
          </w:p>
        </w:tc>
        <w:tc>
          <w:tcPr>
            <w:tcW w:type="pct" w:w="1300"/>
            <w:vAlign w:val="center"/>
          </w:tcPr>
          <w:p>
            <w:pPr>
              <w:spacing w:line="240" w:lineRule="auto"/>
              <w:jc w:val="right"/>
            </w:pPr>
            <w:r>
              <w:rPr>
                <w:rFonts w:ascii="宋体" w:hAnsi="宋体" w:cs="宋体" w:eastAsia="宋体"/>
                <w:b w:val="false"/>
              </w:rPr>
              <w:t>1,105,275,452.38</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10,787,084.07</w:t>
            </w:r>
          </w:p>
        </w:tc>
        <w:tc>
          <w:tcPr>
            <w:tcW w:type="pct" w:w="1300"/>
            <w:vAlign w:val="center"/>
          </w:tcPr>
          <w:p>
            <w:pPr>
              <w:spacing w:line="240" w:lineRule="auto"/>
              <w:jc w:val="right"/>
            </w:pPr>
            <w:r>
              <w:rPr>
                <w:rFonts w:ascii="宋体" w:hAnsi="宋体" w:cs="宋体" w:eastAsia="宋体"/>
                <w:b w:val="false"/>
              </w:rPr>
              <w:t>759,395,405.74</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16,925,727.52</w:t>
            </w:r>
          </w:p>
        </w:tc>
        <w:tc>
          <w:tcPr>
            <w:tcW w:type="pct" w:w="1300"/>
            <w:vAlign w:val="center"/>
          </w:tcPr>
          <w:p>
            <w:pPr>
              <w:spacing w:line="240" w:lineRule="auto"/>
              <w:jc w:val="right"/>
            </w:pPr>
            <w:r>
              <w:rPr>
                <w:rFonts w:ascii="宋体" w:hAnsi="宋体" w:cs="宋体" w:eastAsia="宋体"/>
                <w:b w:val="false"/>
              </w:rPr>
              <w:t>352,373,724.45</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东方阿尔法科技智选混合发起A</w:t>
            </w:r>
          </w:p>
        </w:tc>
        <w:tc>
          <w:tcPr>
            <w:tcW w:type="pct" w:w="950"/>
            <w:vAlign w:val="center"/>
          </w:tcPr>
          <w:p>
            <w:pPr>
              <w:spacing w:line="240" w:lineRule="auto"/>
              <w:jc w:val="center"/>
            </w:pPr>
            <w:r>
              <w:rPr>
                <w:rFonts w:ascii="宋体" w:hAnsi="宋体" w:cs="宋体" w:eastAsia="宋体"/>
                <w:b w:val="false"/>
              </w:rPr>
              <w:t>东方阿尔法科技智选混合发起C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7,500,291.70</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7,500,291.70</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2.03</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7,500,291.70</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right"/>
            </w:pPr>
            <w:r>
              <w:rPr>
                <w:rFonts w:ascii="宋体" w:hAnsi="宋体" w:cs="宋体" w:eastAsia="宋体"/>
                <w:b w:val="false"/>
              </w:rPr>
              <w:t>7,500,291.70</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2,505,491.04</w:t>
            </w:r>
          </w:p>
        </w:tc>
        <w:tc>
          <w:tcPr>
            <w:tcW/>
            <w:vAlign w:val="center"/>
          </w:tcPr>
          <w:p>
            <w:pPr>
              <w:spacing w:line="240" w:lineRule="auto"/>
              <w:jc w:val="right"/>
            </w:pPr>
            <w:r>
              <w:rPr>
                <w:rFonts w:ascii="宋体" w:hAnsi="宋体" w:cs="宋体" w:eastAsia="宋体"/>
                <w:b w:val="false"/>
              </w:rPr>
              <w:t>0.68%</w:t>
            </w:r>
          </w:p>
        </w:tc>
        <w:tc>
          <w:tcPr>
            <w:tcW/>
            <w:vAlign w:val="center"/>
          </w:tcPr>
          <w:p>
            <w:pPr>
              <w:spacing w:line="240" w:lineRule="auto"/>
              <w:jc w:val="right"/>
            </w:pPr>
            <w:r>
              <w:rPr>
                <w:rFonts w:ascii="宋体" w:hAnsi="宋体" w:cs="宋体" w:eastAsia="宋体"/>
                <w:b w:val="false"/>
              </w:rPr>
              <w:t>2,505,491.04</w:t>
            </w:r>
          </w:p>
        </w:tc>
        <w:tc>
          <w:tcPr>
            <w:tcW/>
            <w:vAlign w:val="center"/>
          </w:tcPr>
          <w:p>
            <w:pPr>
              <w:spacing w:line="240" w:lineRule="auto"/>
              <w:jc w:val="right"/>
            </w:pPr>
            <w:r>
              <w:rPr>
                <w:rFonts w:ascii="宋体" w:hAnsi="宋体" w:cs="宋体" w:eastAsia="宋体"/>
                <w:b w:val="false"/>
              </w:rPr>
              <w:t>0.68%</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10,005,782.74</w:t>
            </w:r>
          </w:p>
        </w:tc>
        <w:tc>
          <w:tcPr>
            <w:tcW/>
            <w:vAlign w:val="center"/>
          </w:tcPr>
          <w:p>
            <w:pPr>
              <w:spacing w:line="240" w:lineRule="auto"/>
              <w:jc w:val="right"/>
            </w:pPr>
            <w:r>
              <w:rPr>
                <w:rFonts w:ascii="宋体" w:hAnsi="宋体" w:cs="宋体" w:eastAsia="宋体"/>
                <w:b w:val="false"/>
              </w:rPr>
              <w:t>2.71%</w:t>
            </w:r>
          </w:p>
        </w:tc>
        <w:tc>
          <w:tcPr>
            <w:tcW/>
            <w:vAlign w:val="center"/>
          </w:tcPr>
          <w:p>
            <w:pPr>
              <w:spacing w:line="240" w:lineRule="auto"/>
              <w:jc w:val="right"/>
            </w:pPr>
            <w:r>
              <w:rPr>
                <w:rFonts w:ascii="宋体" w:hAnsi="宋体" w:cs="宋体" w:eastAsia="宋体"/>
                <w:b w:val="false"/>
              </w:rPr>
              <w:t>10,005,782.74</w:t>
            </w:r>
          </w:p>
        </w:tc>
        <w:tc>
          <w:tcPr>
            <w:tcW/>
            <w:vAlign w:val="center"/>
          </w:tcPr>
          <w:p>
            <w:pPr>
              <w:spacing w:line="240" w:lineRule="auto"/>
              <w:jc w:val="right"/>
            </w:pPr>
            <w:r>
              <w:rPr>
                <w:rFonts w:ascii="宋体" w:hAnsi="宋体" w:cs="宋体" w:eastAsia="宋体"/>
                <w:b w:val="false"/>
              </w:rPr>
              <w:t>2.71%</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2025年10月01日-2025年10月26日</w:t>
            </w:r>
          </w:p>
        </w:tc>
        <w:tc>
          <w:tcPr>
            <w:tcW/>
            <w:vAlign w:val="center"/>
          </w:tcPr>
          <w:p>
            <w:pPr>
              <w:spacing w:line="240" w:lineRule="auto"/>
              <w:jc w:val="right"/>
            </w:pPr>
            <w:r>
              <w:rPr>
                <w:rFonts w:ascii="宋体" w:hAnsi="宋体" w:cs="宋体" w:eastAsia="宋体"/>
                <w:b w:val="false"/>
              </w:rPr>
              <w:t>7,500,291.70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7,500,291.70</w:t>
            </w:r>
          </w:p>
        </w:tc>
        <w:tc>
          <w:tcPr>
            <w:tcW/>
            <w:vAlign w:val="center"/>
          </w:tcPr>
          <w:p>
            <w:pPr>
              <w:spacing w:line="240" w:lineRule="auto"/>
              <w:jc w:val="right"/>
            </w:pPr>
            <w:r>
              <w:rPr>
                <w:rFonts w:ascii="宋体" w:hAnsi="宋体" w:cs="宋体" w:eastAsia="宋体"/>
                <w:b w:val="false"/>
              </w:rPr>
              <w:t>2.03%</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1、中国证券监督管理委员会批准的东方阿尔法科技智选混合型发起式证券投资基金设立的文件；</w:t>
        <w:cr/>
      </w:r>
      <w:r>
        <w:rPr>
          <w:rFonts w:ascii="宋体" w:hAnsi="宋体" w:cs="宋体" w:eastAsia="宋体"/>
          <w:b w:val="false"/>
        </w:rPr>
        <w:t xml:space="preserve">    2、《东方阿尔法科技智选混合型发起式证券投资基金基金合同》；</w:t>
        <w:cr/>
      </w:r>
      <w:r>
        <w:rPr>
          <w:rFonts w:ascii="宋体" w:hAnsi="宋体" w:cs="宋体" w:eastAsia="宋体"/>
          <w:b w:val="false"/>
        </w:rPr>
        <w:t xml:space="preserve">    3、《东方阿尔法科技智选混合型发起式证券投资基金托管协议》；</w:t>
        <w:cr/>
      </w:r>
      <w:r>
        <w:rPr>
          <w:rFonts w:ascii="宋体" w:hAnsi="宋体" w:cs="宋体" w:eastAsia="宋体"/>
          <w:b w:val="false"/>
        </w:rPr>
        <w:t xml:space="preserve">    4、《东方阿尔法科技智选混合型发起式证券投资基金招募说明书》（含更新）；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二〇二六年一月十六日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东方阿尔法科技智选混合型发起式证券投资基金2025年第4季度报告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