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东方阿尔法瑞丰混合型发起式证券投资基金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2025年第4季度报告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2025年12月31日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中国农业银行股份有限公司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2026年01月16日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基金托管人中国农业银行股份有限公司根据本基金合同规定，于2026年01月15日复核了本报告中的财务指标、净值表现和投资组合报告等内容，保证复核内容不存在虚假记载、误导性陈述或者重大遗漏。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本报告期自2025年10月01日起至2025年12月31日止。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东方阿尔法瑞丰混合发起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018362</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2023年05月12日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112,030,223.68份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本基金在严格控制风险的基础之上，通过深入研究、优选个股、主动的投资管理方式力求实现组合资产的稳健增值。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 xml:space="preserve">3、港股投资策略 </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6、股指期货投资策略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7、融资业务投资策略</w:t>
              <w:br/>
            </w:r>
            <w:r>
              <w:rPr>
                <w:rFonts w:ascii="宋体" w:hAnsi="宋体" w:cs="宋体" w:eastAsia="宋体"/>
                <w:b w:val="false"/>
              </w:rPr>
              <w:t>本基金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8、国债期货投资策略</w:t>
              <w:br/>
            </w:r>
            <w:r>
              <w:rPr>
                <w:rFonts w:ascii="宋体" w:hAnsi="宋体" w:cs="宋体" w:eastAsia="宋体"/>
                <w:b w:val="false"/>
              </w:rPr>
              <w:t>本基金将按照风险管理的原则，以套期保值为主要目的，参与国债期货的投资，管理市场风险，故国债期货空头的合约价值主要与债券组合的多头价值相对应。</w:t>
              <w:br/>
            </w:r>
            <w:r>
              <w:rPr>
                <w:rFonts w:ascii="宋体" w:hAnsi="宋体" w:cs="宋体" w:eastAsia="宋体"/>
                <w:b w:val="false"/>
              </w:rPr>
              <w:t>9、资产支持证券投资策略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11、存托凭证投资策略</w:t>
              <w:br/>
            </w:r>
            <w:r>
              <w:rPr>
                <w:rFonts w:ascii="宋体" w:hAnsi="宋体" w:cs="宋体" w:eastAsia="宋体"/>
                <w:b w:val="false"/>
              </w:rPr>
              <w:t>本基金在深入研究的基础上，通过定性分析和定量分析相结合的方式，选择投资价值高的存托凭证进行投资。</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中证800指数收益率×60%+中证综合债券指数收益率×20%+恒生指数收益率×20%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中国农业银行股份有限公司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东方阿尔法瑞丰混合发起A</w:t>
            </w:r>
          </w:p>
        </w:tc>
        <w:tc>
          <w:tcPr>
            <w:tcW w:type="pct" w:w="1500"/>
            <w:vAlign w:val="center"/>
          </w:tcPr>
          <w:p>
            <w:pPr>
              <w:spacing w:line="240" w:lineRule="auto"/>
              <w:jc w:val="left"/>
            </w:pPr>
            <w:r>
              <w:rPr>
                <w:rFonts w:ascii="宋体" w:hAnsi="宋体" w:cs="宋体" w:eastAsia="宋体"/>
                <w:b w:val="false"/>
              </w:rPr>
              <w:t>东方阿尔法瑞丰混合发起C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018362</w:t>
            </w:r>
          </w:p>
        </w:tc>
        <w:tc>
          <w:tcPr>
            <w:tcW w:type="pct" w:w="1500"/>
            <w:vAlign w:val="center"/>
          </w:tcPr>
          <w:p>
            <w:pPr>
              <w:spacing w:line="240" w:lineRule="auto"/>
              <w:jc w:val="left"/>
            </w:pPr>
            <w:r>
              <w:rPr>
                <w:rFonts w:ascii="宋体" w:hAnsi="宋体" w:cs="宋体" w:eastAsia="宋体"/>
                <w:b w:val="false"/>
              </w:rPr>
              <w:t>018363</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56,281,419.64份</w:t>
            </w:r>
          </w:p>
        </w:tc>
        <w:tc>
          <w:tcPr>
            <w:tcW w:type="pct" w:w="1500"/>
            <w:vAlign w:val="center"/>
          </w:tcPr>
          <w:p>
            <w:pPr>
              <w:spacing w:line="240" w:lineRule="auto"/>
              <w:jc w:val="left"/>
            </w:pPr>
            <w:r>
              <w:rPr>
                <w:rFonts w:ascii="宋体" w:hAnsi="宋体" w:cs="宋体" w:eastAsia="宋体"/>
                <w:b w:val="false"/>
              </w:rPr>
              <w:t>55,748,804.04份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报告期（2025年10月01日-2025年12月31日）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东方阿尔法瑞丰混合发起A</w:t>
            </w:r>
          </w:p>
        </w:tc>
        <w:tc>
          <w:tcPr>
            <w:tcW w:type="pct" w:w="1500"/>
            <w:vAlign w:val="center"/>
          </w:tcPr>
          <w:tcPr>
            <w:shd w:fill="d9d9d9"/>
          </w:tcPr>
          <w:p>
            <w:pPr>
              <w:spacing w:line="240" w:lineRule="auto"/>
              <w:jc w:val="center"/>
            </w:pPr>
            <w:r>
              <w:rPr>
                <w:rFonts w:ascii="宋体" w:hAnsi="宋体" w:cs="宋体" w:eastAsia="宋体"/>
                <w:b w:val="false"/>
              </w:rPr>
              <w:t>东方阿尔法瑞丰混合发起C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-11,635,656.36</w:t>
            </w:r>
          </w:p>
        </w:tc>
        <w:tc>
          <w:tcPr>
            <w:tcW w:type="pct" w:w="1500"/>
            <w:vAlign w:val="center"/>
          </w:tcPr>
          <w:p>
            <w:pPr>
              <w:spacing w:line="240" w:lineRule="auto"/>
              <w:jc w:val="right"/>
            </w:pPr>
            <w:r>
              <w:rPr>
                <w:rFonts w:ascii="宋体" w:hAnsi="宋体" w:cs="宋体" w:eastAsia="宋体"/>
                <w:b w:val="false"/>
              </w:rPr>
              <w:t>-12,615,688.74</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-10,167,627.46</w:t>
            </w:r>
          </w:p>
        </w:tc>
        <w:tc>
          <w:tcPr>
            <w:tcW w:type="pct" w:w="1500"/>
            <w:vAlign w:val="center"/>
          </w:tcPr>
          <w:p>
            <w:pPr>
              <w:spacing w:line="240" w:lineRule="auto"/>
              <w:jc w:val="right"/>
            </w:pPr>
            <w:r>
              <w:rPr>
                <w:rFonts w:ascii="宋体" w:hAnsi="宋体" w:cs="宋体" w:eastAsia="宋体"/>
                <w:b w:val="false"/>
              </w:rPr>
              <w:t>-21,303,083.53</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-0.1813</w:t>
            </w:r>
          </w:p>
        </w:tc>
        <w:tc>
          <w:tcPr>
            <w:tcW w:type="pct" w:w="1500"/>
            <w:vAlign w:val="center"/>
          </w:tcPr>
          <w:p>
            <w:pPr>
              <w:spacing w:line="240" w:lineRule="auto"/>
              <w:jc w:val="right"/>
            </w:pPr>
            <w:r>
              <w:rPr>
                <w:rFonts w:ascii="宋体" w:hAnsi="宋体" w:cs="宋体" w:eastAsia="宋体"/>
                <w:b w:val="false"/>
              </w:rPr>
              <w:t>-0.2456</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56,221,062.21</w:t>
            </w:r>
          </w:p>
        </w:tc>
        <w:tc>
          <w:tcPr>
            <w:tcW w:type="pct" w:w="1500"/>
            <w:vAlign w:val="center"/>
          </w:tcPr>
          <w:p>
            <w:pPr>
              <w:spacing w:line="240" w:lineRule="auto"/>
              <w:jc w:val="right"/>
            </w:pPr>
            <w:r>
              <w:rPr>
                <w:rFonts w:ascii="宋体" w:hAnsi="宋体" w:cs="宋体" w:eastAsia="宋体"/>
                <w:b w:val="false"/>
              </w:rPr>
              <w:t>55,120,171.40</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0.9989</w:t>
            </w:r>
          </w:p>
        </w:tc>
        <w:tc>
          <w:tcPr>
            <w:tcW w:type="pct" w:w="1500"/>
            <w:vAlign w:val="center"/>
          </w:tcPr>
          <w:p>
            <w:pPr>
              <w:spacing w:line="240" w:lineRule="auto"/>
              <w:jc w:val="right"/>
            </w:pPr>
            <w:r>
              <w:rPr>
                <w:rFonts w:ascii="宋体" w:hAnsi="宋体" w:cs="宋体" w:eastAsia="宋体"/>
                <w:b w:val="false"/>
              </w:rPr>
              <w:t>0.9887</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东方阿尔法瑞丰混合发起A净值表现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-15.30%</w:t>
            </w:r>
          </w:p>
        </w:tc>
        <w:tc>
          <w:tcPr>
            <w:tcW/>
            <w:vAlign w:val="center"/>
          </w:tcPr>
          <w:p>
            <w:pPr>
              <w:spacing w:line="240" w:lineRule="auto"/>
              <w:jc w:val="right"/>
            </w:pPr>
            <w:r>
              <w:rPr>
                <w:rFonts w:ascii="宋体" w:hAnsi="宋体" w:cs="宋体" w:eastAsia="宋体"/>
                <w:b w:val="false"/>
              </w:rPr>
              <w:t>1.86%</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-14.35%</w:t>
            </w:r>
          </w:p>
        </w:tc>
        <w:tc>
          <w:tcPr>
            <w:tcW/>
            <w:vAlign w:val="center"/>
          </w:tcPr>
          <w:p>
            <w:pPr>
              <w:spacing w:line="240" w:lineRule="auto"/>
              <w:jc w:val="right"/>
            </w:pPr>
            <w:r>
              <w:rPr>
                <w:rFonts w:ascii="宋体" w:hAnsi="宋体" w:cs="宋体" w:eastAsia="宋体"/>
                <w:b w:val="false"/>
              </w:rPr>
              <w:t>1.08%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4.12%</w:t>
            </w:r>
          </w:p>
        </w:tc>
        <w:tc>
          <w:tcPr>
            <w:tcW/>
            <w:vAlign w:val="center"/>
          </w:tcPr>
          <w:p>
            <w:pPr>
              <w:spacing w:line="240" w:lineRule="auto"/>
              <w:jc w:val="right"/>
            </w:pPr>
            <w:r>
              <w:rPr>
                <w:rFonts w:ascii="宋体" w:hAnsi="宋体" w:cs="宋体" w:eastAsia="宋体"/>
                <w:b w:val="false"/>
              </w:rPr>
              <w:t>1.89%</w:t>
            </w:r>
          </w:p>
        </w:tc>
        <w:tc>
          <w:tcPr>
            <w:tcW/>
            <w:vAlign w:val="center"/>
          </w:tcPr>
          <w:p>
            <w:pPr>
              <w:spacing w:line="240" w:lineRule="auto"/>
              <w:jc w:val="right"/>
            </w:pPr>
            <w:r>
              <w:rPr>
                <w:rFonts w:ascii="宋体" w:hAnsi="宋体" w:cs="宋体" w:eastAsia="宋体"/>
                <w:b w:val="false"/>
              </w:rPr>
              <w:t>12.76%</w:t>
            </w:r>
          </w:p>
        </w:tc>
        <w:tc>
          <w:tcPr>
            <w:tcW/>
            <w:vAlign w:val="center"/>
          </w:tcPr>
          <w:p>
            <w:pPr>
              <w:spacing w:line="240" w:lineRule="auto"/>
              <w:jc w:val="right"/>
            </w:pPr>
            <w:r>
              <w:rPr>
                <w:rFonts w:ascii="宋体" w:hAnsi="宋体" w:cs="宋体" w:eastAsia="宋体"/>
                <w:b w:val="false"/>
              </w:rPr>
              <w:t>0.72%</w:t>
            </w:r>
          </w:p>
        </w:tc>
        <w:tc>
          <w:tcPr>
            <w:tcW/>
            <w:vAlign w:val="center"/>
          </w:tcPr>
          <w:p>
            <w:pPr>
              <w:spacing w:line="240" w:lineRule="auto"/>
              <w:jc w:val="right"/>
            </w:pPr>
            <w:r>
              <w:rPr>
                <w:rFonts w:ascii="宋体" w:hAnsi="宋体" w:cs="宋体" w:eastAsia="宋体"/>
                <w:b w:val="false"/>
              </w:rPr>
              <w:t>-8.64%</w:t>
            </w:r>
          </w:p>
        </w:tc>
        <w:tc>
          <w:tcPr>
            <w:tcW/>
            <w:vAlign w:val="center"/>
          </w:tcPr>
          <w:p>
            <w:pPr>
              <w:spacing w:line="240" w:lineRule="auto"/>
              <w:jc w:val="right"/>
            </w:pPr>
            <w:r>
              <w:rPr>
                <w:rFonts w:ascii="宋体" w:hAnsi="宋体" w:cs="宋体" w:eastAsia="宋体"/>
                <w:b w:val="false"/>
              </w:rPr>
              <w:t>1.17%</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12.95%</w:t>
            </w:r>
          </w:p>
        </w:tc>
        <w:tc>
          <w:tcPr>
            <w:tcW/>
            <w:vAlign w:val="center"/>
          </w:tcPr>
          <w:p>
            <w:pPr>
              <w:spacing w:line="240" w:lineRule="auto"/>
              <w:jc w:val="right"/>
            </w:pPr>
            <w:r>
              <w:rPr>
                <w:rFonts w:ascii="宋体" w:hAnsi="宋体" w:cs="宋体" w:eastAsia="宋体"/>
                <w:b w:val="false"/>
              </w:rPr>
              <w:t>2.19%</w:t>
            </w:r>
          </w:p>
        </w:tc>
        <w:tc>
          <w:tcPr>
            <w:tcW/>
            <w:vAlign w:val="center"/>
          </w:tcPr>
          <w:p>
            <w:pPr>
              <w:spacing w:line="240" w:lineRule="auto"/>
              <w:jc w:val="right"/>
            </w:pPr>
            <w:r>
              <w:rPr>
                <w:rFonts w:ascii="宋体" w:hAnsi="宋体" w:cs="宋体" w:eastAsia="宋体"/>
                <w:b w:val="false"/>
              </w:rPr>
              <w:t>17.79%</w:t>
            </w:r>
          </w:p>
        </w:tc>
        <w:tc>
          <w:tcPr>
            <w:tcW/>
            <w:vAlign w:val="center"/>
          </w:tcPr>
          <w:p>
            <w:pPr>
              <w:spacing w:line="240" w:lineRule="auto"/>
              <w:jc w:val="right"/>
            </w:pPr>
            <w:r>
              <w:rPr>
                <w:rFonts w:ascii="宋体" w:hAnsi="宋体" w:cs="宋体" w:eastAsia="宋体"/>
                <w:b w:val="false"/>
              </w:rPr>
              <w:t>0.85%</w:t>
            </w:r>
          </w:p>
        </w:tc>
        <w:tc>
          <w:tcPr>
            <w:tcW/>
            <w:vAlign w:val="center"/>
          </w:tcPr>
          <w:p>
            <w:pPr>
              <w:spacing w:line="240" w:lineRule="auto"/>
              <w:jc w:val="right"/>
            </w:pPr>
            <w:r>
              <w:rPr>
                <w:rFonts w:ascii="宋体" w:hAnsi="宋体" w:cs="宋体" w:eastAsia="宋体"/>
                <w:b w:val="false"/>
              </w:rPr>
              <w:t>-4.84%</w:t>
            </w:r>
          </w:p>
        </w:tc>
        <w:tc>
          <w:tcPr>
            <w:tcW/>
            <w:vAlign w:val="center"/>
          </w:tcPr>
          <w:p>
            <w:pPr>
              <w:spacing w:line="240" w:lineRule="auto"/>
              <w:jc w:val="right"/>
            </w:pPr>
            <w:r>
              <w:rPr>
                <w:rFonts w:ascii="宋体" w:hAnsi="宋体" w:cs="宋体" w:eastAsia="宋体"/>
                <w:b w:val="false"/>
              </w:rPr>
              <w:t>1.34%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-0.11%</w:t>
            </w:r>
          </w:p>
        </w:tc>
        <w:tc>
          <w:tcPr>
            <w:tcW/>
            <w:vAlign w:val="center"/>
          </w:tcPr>
          <w:p>
            <w:pPr>
              <w:spacing w:line="240" w:lineRule="auto"/>
              <w:jc w:val="right"/>
            </w:pPr>
            <w:r>
              <w:rPr>
                <w:rFonts w:ascii="宋体" w:hAnsi="宋体" w:cs="宋体" w:eastAsia="宋体"/>
                <w:b w:val="false"/>
              </w:rPr>
              <w:t>1.65%</w:t>
            </w:r>
          </w:p>
        </w:tc>
        <w:tc>
          <w:tcPr>
            <w:tcW/>
            <w:vAlign w:val="center"/>
          </w:tcPr>
          <w:p>
            <w:pPr>
              <w:spacing w:line="240" w:lineRule="auto"/>
              <w:jc w:val="right"/>
            </w:pPr>
            <w:r>
              <w:rPr>
                <w:rFonts w:ascii="宋体" w:hAnsi="宋体" w:cs="宋体" w:eastAsia="宋体"/>
                <w:b w:val="false"/>
              </w:rPr>
              <w:t>20.75%</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-20.86%</w:t>
            </w:r>
          </w:p>
        </w:tc>
        <w:tc>
          <w:tcPr>
            <w:tcW/>
            <w:vAlign w:val="center"/>
          </w:tcPr>
          <w:p>
            <w:pPr>
              <w:spacing w:line="240" w:lineRule="auto"/>
              <w:jc w:val="right"/>
            </w:pPr>
            <w:r>
              <w:rPr>
                <w:rFonts w:ascii="宋体" w:hAnsi="宋体" w:cs="宋体" w:eastAsia="宋体"/>
                <w:b w:val="false"/>
              </w:rPr>
              <w:t>0.76%</w:t>
            </w:r>
          </w:p>
        </w:tc>
      </w:tr>
    </w:tbl>
    <w:p>
      <w:pPr>
        <w:jc w:val="left"/>
      </w:pPr>
      <w:r>
        <w:rPr>
          <w:rFonts w:ascii="宋体" w:hAnsi="宋体" w:cs="宋体" w:eastAsia="宋体"/>
          <w:b w:val="true"/>
        </w:rPr>
        <w:t>东方阿尔法瑞丰混合发起C净值表现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-15.43%</w:t>
            </w:r>
          </w:p>
        </w:tc>
        <w:tc>
          <w:tcPr>
            <w:tcW/>
            <w:vAlign w:val="center"/>
          </w:tcPr>
          <w:p>
            <w:pPr>
              <w:spacing w:line="240" w:lineRule="auto"/>
              <w:jc w:val="right"/>
            </w:pPr>
            <w:r>
              <w:rPr>
                <w:rFonts w:ascii="宋体" w:hAnsi="宋体" w:cs="宋体" w:eastAsia="宋体"/>
                <w:b w:val="false"/>
              </w:rPr>
              <w:t>1.86%</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-14.48%</w:t>
            </w:r>
          </w:p>
        </w:tc>
        <w:tc>
          <w:tcPr>
            <w:tcW/>
            <w:vAlign w:val="center"/>
          </w:tcPr>
          <w:p>
            <w:pPr>
              <w:spacing w:line="240" w:lineRule="auto"/>
              <w:jc w:val="right"/>
            </w:pPr>
            <w:r>
              <w:rPr>
                <w:rFonts w:ascii="宋体" w:hAnsi="宋体" w:cs="宋体" w:eastAsia="宋体"/>
                <w:b w:val="false"/>
              </w:rPr>
              <w:t>1.08%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3.82%</w:t>
            </w:r>
          </w:p>
        </w:tc>
        <w:tc>
          <w:tcPr>
            <w:tcW/>
            <w:vAlign w:val="center"/>
          </w:tcPr>
          <w:p>
            <w:pPr>
              <w:spacing w:line="240" w:lineRule="auto"/>
              <w:jc w:val="right"/>
            </w:pPr>
            <w:r>
              <w:rPr>
                <w:rFonts w:ascii="宋体" w:hAnsi="宋体" w:cs="宋体" w:eastAsia="宋体"/>
                <w:b w:val="false"/>
              </w:rPr>
              <w:t>1.89%</w:t>
            </w:r>
          </w:p>
        </w:tc>
        <w:tc>
          <w:tcPr>
            <w:tcW/>
            <w:vAlign w:val="center"/>
          </w:tcPr>
          <w:p>
            <w:pPr>
              <w:spacing w:line="240" w:lineRule="auto"/>
              <w:jc w:val="right"/>
            </w:pPr>
            <w:r>
              <w:rPr>
                <w:rFonts w:ascii="宋体" w:hAnsi="宋体" w:cs="宋体" w:eastAsia="宋体"/>
                <w:b w:val="false"/>
              </w:rPr>
              <w:t>12.76%</w:t>
            </w:r>
          </w:p>
        </w:tc>
        <w:tc>
          <w:tcPr>
            <w:tcW/>
            <w:vAlign w:val="center"/>
          </w:tcPr>
          <w:p>
            <w:pPr>
              <w:spacing w:line="240" w:lineRule="auto"/>
              <w:jc w:val="right"/>
            </w:pPr>
            <w:r>
              <w:rPr>
                <w:rFonts w:ascii="宋体" w:hAnsi="宋体" w:cs="宋体" w:eastAsia="宋体"/>
                <w:b w:val="false"/>
              </w:rPr>
              <w:t>0.72%</w:t>
            </w:r>
          </w:p>
        </w:tc>
        <w:tc>
          <w:tcPr>
            <w:tcW/>
            <w:vAlign w:val="center"/>
          </w:tcPr>
          <w:p>
            <w:pPr>
              <w:spacing w:line="240" w:lineRule="auto"/>
              <w:jc w:val="right"/>
            </w:pPr>
            <w:r>
              <w:rPr>
                <w:rFonts w:ascii="宋体" w:hAnsi="宋体" w:cs="宋体" w:eastAsia="宋体"/>
                <w:b w:val="false"/>
              </w:rPr>
              <w:t>-8.94%</w:t>
            </w:r>
          </w:p>
        </w:tc>
        <w:tc>
          <w:tcPr>
            <w:tcW/>
            <w:vAlign w:val="center"/>
          </w:tcPr>
          <w:p>
            <w:pPr>
              <w:spacing w:line="240" w:lineRule="auto"/>
              <w:jc w:val="right"/>
            </w:pPr>
            <w:r>
              <w:rPr>
                <w:rFonts w:ascii="宋体" w:hAnsi="宋体" w:cs="宋体" w:eastAsia="宋体"/>
                <w:b w:val="false"/>
              </w:rPr>
              <w:t>1.17%</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12.34%</w:t>
            </w:r>
          </w:p>
        </w:tc>
        <w:tc>
          <w:tcPr>
            <w:tcW/>
            <w:vAlign w:val="center"/>
          </w:tcPr>
          <w:p>
            <w:pPr>
              <w:spacing w:line="240" w:lineRule="auto"/>
              <w:jc w:val="right"/>
            </w:pPr>
            <w:r>
              <w:rPr>
                <w:rFonts w:ascii="宋体" w:hAnsi="宋体" w:cs="宋体" w:eastAsia="宋体"/>
                <w:b w:val="false"/>
              </w:rPr>
              <w:t>2.19%</w:t>
            </w:r>
          </w:p>
        </w:tc>
        <w:tc>
          <w:tcPr>
            <w:tcW/>
            <w:vAlign w:val="center"/>
          </w:tcPr>
          <w:p>
            <w:pPr>
              <w:spacing w:line="240" w:lineRule="auto"/>
              <w:jc w:val="right"/>
            </w:pPr>
            <w:r>
              <w:rPr>
                <w:rFonts w:ascii="宋体" w:hAnsi="宋体" w:cs="宋体" w:eastAsia="宋体"/>
                <w:b w:val="false"/>
              </w:rPr>
              <w:t>17.79%</w:t>
            </w:r>
          </w:p>
        </w:tc>
        <w:tc>
          <w:tcPr>
            <w:tcW/>
            <w:vAlign w:val="center"/>
          </w:tcPr>
          <w:p>
            <w:pPr>
              <w:spacing w:line="240" w:lineRule="auto"/>
              <w:jc w:val="right"/>
            </w:pPr>
            <w:r>
              <w:rPr>
                <w:rFonts w:ascii="宋体" w:hAnsi="宋体" w:cs="宋体" w:eastAsia="宋体"/>
                <w:b w:val="false"/>
              </w:rPr>
              <w:t>0.85%</w:t>
            </w:r>
          </w:p>
        </w:tc>
        <w:tc>
          <w:tcPr>
            <w:tcW/>
            <w:vAlign w:val="center"/>
          </w:tcPr>
          <w:p>
            <w:pPr>
              <w:spacing w:line="240" w:lineRule="auto"/>
              <w:jc w:val="right"/>
            </w:pPr>
            <w:r>
              <w:rPr>
                <w:rFonts w:ascii="宋体" w:hAnsi="宋体" w:cs="宋体" w:eastAsia="宋体"/>
                <w:b w:val="false"/>
              </w:rPr>
              <w:t>-5.45%</w:t>
            </w:r>
          </w:p>
        </w:tc>
        <w:tc>
          <w:tcPr>
            <w:tcW/>
            <w:vAlign w:val="center"/>
          </w:tcPr>
          <w:p>
            <w:pPr>
              <w:spacing w:line="240" w:lineRule="auto"/>
              <w:jc w:val="right"/>
            </w:pPr>
            <w:r>
              <w:rPr>
                <w:rFonts w:ascii="宋体" w:hAnsi="宋体" w:cs="宋体" w:eastAsia="宋体"/>
                <w:b w:val="false"/>
              </w:rPr>
              <w:t>1.34%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-1.13%</w:t>
            </w:r>
          </w:p>
        </w:tc>
        <w:tc>
          <w:tcPr>
            <w:tcW/>
            <w:vAlign w:val="center"/>
          </w:tcPr>
          <w:p>
            <w:pPr>
              <w:spacing w:line="240" w:lineRule="auto"/>
              <w:jc w:val="right"/>
            </w:pPr>
            <w:r>
              <w:rPr>
                <w:rFonts w:ascii="宋体" w:hAnsi="宋体" w:cs="宋体" w:eastAsia="宋体"/>
                <w:b w:val="false"/>
              </w:rPr>
              <w:t>1.65%</w:t>
            </w:r>
          </w:p>
        </w:tc>
        <w:tc>
          <w:tcPr>
            <w:tcW/>
            <w:vAlign w:val="center"/>
          </w:tcPr>
          <w:p>
            <w:pPr>
              <w:spacing w:line="240" w:lineRule="auto"/>
              <w:jc w:val="right"/>
            </w:pPr>
            <w:r>
              <w:rPr>
                <w:rFonts w:ascii="宋体" w:hAnsi="宋体" w:cs="宋体" w:eastAsia="宋体"/>
                <w:b w:val="false"/>
              </w:rPr>
              <w:t>20.75%</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-21.88%</w:t>
            </w:r>
          </w:p>
        </w:tc>
        <w:tc>
          <w:tcPr>
            <w:tcW/>
            <w:vAlign w:val="center"/>
          </w:tcPr>
          <w:p>
            <w:pPr>
              <w:spacing w:line="240" w:lineRule="auto"/>
              <w:jc w:val="right"/>
            </w:pPr>
            <w:r>
              <w:rPr>
                <w:rFonts w:ascii="宋体" w:hAnsi="宋体" w:cs="宋体" w:eastAsia="宋体"/>
                <w:b w:val="false"/>
              </w:rPr>
              <w:t>0.76%</w:t>
            </w:r>
          </w:p>
        </w:tc>
      </w:tr>
    </w:tbl>
    <w:p>
      <w:r>
        <w:rPr>
          <w:rFonts w:ascii="宋体" w:hAnsi="宋体" w:cs="宋体" w:eastAsia="宋体"/>
          <w:b w:val="false"/>
        </w:rPr>
        <w:t>注：1、本基金业绩比较基准为：中证800指数收益率×60%+中证综合债券指数收益率×20%+恒生指数收益率×20%。</w:t>
        <w:cr/>
      </w:r>
      <w:r>
        <w:rPr>
          <w:rFonts w:ascii="宋体" w:hAnsi="宋体" w:cs="宋体" w:eastAsia="宋体"/>
          <w:b w:val="false"/>
        </w:rPr>
        <w:t>2、本基金自2023年05月12日成立至今尚未满三年，无过去三年和过去五年的净值表现。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孙振波</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2023-05-12</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6年</w:t>
            </w:r>
          </w:p>
        </w:tc>
        <w:tc>
          <w:tcPr>
            <w:tcW/>
            <w:vAlign w:val="center"/>
          </w:tcPr>
          <w:p>
            <w:pPr>
              <w:spacing w:line="240" w:lineRule="auto"/>
              <w:jc w:val="left"/>
            </w:pPr>
            <w:r>
              <w:rPr>
                <w:rFonts w:ascii="宋体" w:hAnsi="宋体" w:cs="宋体" w:eastAsia="宋体"/>
                <w:b w:val="false"/>
              </w:rPr>
              <w:t>孙振波先生，中国科学技术大学理学学士，复旦大学理学硕士。在食品饮料、有色、化工、钢铁煤炭等领域有着深入研究。2019年入职东方阿尔法基金管理有限公司。现任东方阿尔法基金公司研究部总监助理、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四季度，全球低轨卫星互联网建设进入加速落地期，商业航天产业在技术突破、政策支持与资本涌入的多重驱动下，从主题探索转向规模化、商业化运营的关键阶段。国内以长征系列商业火箭发射常态化、巨型星座组网计划公布为标志，产业链成熟度显著提升；海外SpaceX星链用户持续高速增长，并推出直连手机服务，验证了全球卫星互联网市场的巨大需求与可行商业模式。商业航天作为“空天地一体化”信息网络的核心基础设施，其战略与商业价值正获得全球资本的重新评估。</w:t>
        <w:cr/>
      </w:r>
      <w:r>
        <w:rPr>
          <w:rFonts w:ascii="宋体" w:hAnsi="宋体" w:cs="宋体" w:eastAsia="宋体"/>
          <w:b w:val="false"/>
        </w:rPr>
        <w:t xml:space="preserve">    基于对航天技术平民化、应用商业化趋势的判断，本基金在2025年四季度对投资组合进行了战略性调整，开始布局商业航天这一新兴高成长方向，核心操作如下：</w:t>
        <w:cr/>
      </w:r>
      <w:r>
        <w:rPr>
          <w:rFonts w:ascii="宋体" w:hAnsi="宋体" w:cs="宋体" w:eastAsia="宋体"/>
          <w:b w:val="false"/>
        </w:rPr>
        <w:t xml:space="preserve">    一、加配商业航天整星及平台龙头公司。 此类公司承担国家重大航天工程任务，技术积淀深厚，同时积极拓展商业卫星平台及载荷研制业务。随着卫星设计走向模块化、批量化，其规模效应与成本下降曲线清晰，有望成为空间基础设施的核心供应商。</w:t>
        <w:cr/>
      </w:r>
      <w:r>
        <w:rPr>
          <w:rFonts w:ascii="宋体" w:hAnsi="宋体" w:cs="宋体" w:eastAsia="宋体"/>
          <w:b w:val="false"/>
        </w:rPr>
        <w:t xml:space="preserve">    二、加配火箭发射与服务公司。 可重复使用火箭技术是实现发射成本数量级下降的关键。国内多家民营火箭公司已成功完成多次回收试验，发射报价显著低于国际传统报价，标志着“中国制造”在航天领域的成本优势开始显现。发射服务的降本是整个产业爆发的基石。</w:t>
        <w:cr/>
      </w:r>
      <w:r>
        <w:rPr>
          <w:rFonts w:ascii="宋体" w:hAnsi="宋体" w:cs="宋体" w:eastAsia="宋体"/>
          <w:b w:val="false"/>
        </w:rPr>
        <w:t xml:space="preserve">    三、关注上游核心元器件及材料公司。 卫星的批量生产与星座组网，对相控阵天线、星载计算机、特种航天材料等上游环节带来确定性的需求放量。具备技术壁垒和先发优势的零部件企业将优先受益于行业贝塔。</w:t>
        <w:cr/>
      </w:r>
      <w:r>
        <w:rPr>
          <w:rFonts w:ascii="宋体" w:hAnsi="宋体" w:cs="宋体" w:eastAsia="宋体"/>
          <w:b w:val="false"/>
        </w:rPr>
        <w:t xml:space="preserve">    总结来看， AI技术的爆发性增长已验证了前沿科技投资的巨大潜力。商业航天作为下一个可能被AI与信息技术深刻改造的万亿级赛道，正处在爆发前夜。其逻辑与2025年我们投资AI应用一脉相承：即技术突破驱动成本下降，成本下降激发应用需求，最终形成“制造-发射-应用”的正向循环。管理人看好商业航天在通信、遥感、导航等领域的长期应用潜力，将持续跟踪技术进展与商业化节奏，努力为投资人布局未来。</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瑞丰混合发起A基金份额净值为0.9989元，本报告期内，该类基金份额净值增长率为-15.30%，同期业绩比较基准收益率为-0.95%；截至报告期末东方阿尔法瑞丰混合发起C基金份额净值为0.9887元，本报告期内，该类基金份额净值增长率为-15.43%，同期业绩比较基准收益率为-0.95%。</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无。</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89,401,065.67</w:t>
            </w:r>
          </w:p>
        </w:tc>
        <w:tc>
          <w:tcPr>
            <w:tcW/>
            <w:vAlign w:val="center"/>
          </w:tcPr>
          <w:p>
            <w:pPr>
              <w:spacing w:line="240" w:lineRule="auto"/>
              <w:jc w:val="right"/>
            </w:pPr>
            <w:r>
              <w:rPr>
                <w:rFonts w:ascii="宋体" w:hAnsi="宋体" w:cs="宋体" w:eastAsia="宋体"/>
                <w:b w:val="false"/>
              </w:rPr>
              <w:t>78.81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89,401,065.67</w:t>
            </w:r>
          </w:p>
        </w:tc>
        <w:tc>
          <w:tcPr>
            <w:tcW/>
            <w:vAlign w:val="center"/>
          </w:tcPr>
          <w:p>
            <w:pPr>
              <w:spacing w:line="240" w:lineRule="auto"/>
              <w:jc w:val="right"/>
            </w:pPr>
            <w:r>
              <w:rPr>
                <w:rFonts w:ascii="宋体" w:hAnsi="宋体" w:cs="宋体" w:eastAsia="宋体"/>
                <w:b w:val="false"/>
              </w:rPr>
              <w:t>78.81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5,858,559.34</w:t>
            </w:r>
          </w:p>
        </w:tc>
        <w:tc>
          <w:tcPr>
            <w:tcW/>
            <w:vAlign w:val="center"/>
          </w:tcPr>
          <w:p>
            <w:pPr>
              <w:spacing w:line="240" w:lineRule="auto"/>
              <w:jc w:val="right"/>
            </w:pPr>
            <w:r>
              <w:rPr>
                <w:rFonts w:ascii="宋体" w:hAnsi="宋体" w:cs="宋体" w:eastAsia="宋体"/>
                <w:b w:val="false"/>
              </w:rPr>
              <w:t>5.16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5,858,559.34</w:t>
            </w:r>
          </w:p>
        </w:tc>
        <w:tc>
          <w:tcPr>
            <w:tcW/>
            <w:vAlign w:val="center"/>
          </w:tcPr>
          <w:p>
            <w:pPr>
              <w:spacing w:line="240" w:lineRule="auto"/>
              <w:jc w:val="right"/>
            </w:pPr>
            <w:r>
              <w:rPr>
                <w:rFonts w:ascii="宋体" w:hAnsi="宋体" w:cs="宋体" w:eastAsia="宋体"/>
                <w:b w:val="false"/>
              </w:rPr>
              <w:t>5.16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1,202,540.82</w:t>
            </w:r>
          </w:p>
        </w:tc>
        <w:tc>
          <w:tcPr>
            <w:tcW/>
            <w:vAlign w:val="center"/>
          </w:tcPr>
          <w:p>
            <w:pPr>
              <w:spacing w:line="240" w:lineRule="auto"/>
              <w:jc w:val="right"/>
            </w:pPr>
            <w:r>
              <w:rPr>
                <w:rFonts w:ascii="宋体" w:hAnsi="宋体" w:cs="宋体" w:eastAsia="宋体"/>
                <w:b w:val="false"/>
              </w:rPr>
              <w:t>1.06</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16,975,689.02</w:t>
            </w:r>
          </w:p>
        </w:tc>
        <w:tc>
          <w:tcPr>
            <w:tcW/>
            <w:vAlign w:val="center"/>
          </w:tcPr>
          <w:p>
            <w:pPr>
              <w:spacing w:line="240" w:lineRule="auto"/>
              <w:jc w:val="right"/>
            </w:pPr>
            <w:r>
              <w:rPr>
                <w:rFonts w:ascii="宋体" w:hAnsi="宋体" w:cs="宋体" w:eastAsia="宋体"/>
                <w:b w:val="false"/>
              </w:rPr>
              <w:t>14.96</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113,437,854.85</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注：报告期末本基金通过港股通交易机制投资的港股公允价值合计252,825.73元，占基金资产净值的比例为0.23%。</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68,182,611.94</w:t>
            </w:r>
          </w:p>
        </w:tc>
        <w:tc>
          <w:tcPr>
            <w:tcW/>
            <w:vAlign w:val="center"/>
          </w:tcPr>
          <w:p>
            <w:pPr>
              <w:spacing w:line="240" w:lineRule="auto"/>
              <w:jc w:val="right"/>
            </w:pPr>
            <w:r>
              <w:rPr>
                <w:rFonts w:ascii="宋体" w:hAnsi="宋体" w:cs="宋体" w:eastAsia="宋体"/>
                <w:b w:val="false"/>
              </w:rPr>
              <w:t>61.24</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5,655,672.00</w:t>
            </w:r>
          </w:p>
        </w:tc>
        <w:tc>
          <w:tcPr>
            <w:tcW/>
            <w:vAlign w:val="center"/>
          </w:tcPr>
          <w:p>
            <w:pPr>
              <w:spacing w:line="240" w:lineRule="auto"/>
              <w:jc w:val="right"/>
            </w:pPr>
            <w:r>
              <w:rPr>
                <w:rFonts w:ascii="宋体" w:hAnsi="宋体" w:cs="宋体" w:eastAsia="宋体"/>
                <w:b w:val="false"/>
              </w:rPr>
              <w:t>5.08</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11,364,536.00</w:t>
            </w:r>
          </w:p>
        </w:tc>
        <w:tc>
          <w:tcPr>
            <w:tcW/>
            <w:vAlign w:val="center"/>
          </w:tcPr>
          <w:p>
            <w:pPr>
              <w:spacing w:line="240" w:lineRule="auto"/>
              <w:jc w:val="right"/>
            </w:pPr>
            <w:r>
              <w:rPr>
                <w:rFonts w:ascii="宋体" w:hAnsi="宋体" w:cs="宋体" w:eastAsia="宋体"/>
                <w:b w:val="false"/>
              </w:rPr>
              <w:t>10.21</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3,945,420.00</w:t>
            </w:r>
          </w:p>
        </w:tc>
        <w:tc>
          <w:tcPr>
            <w:tcW/>
            <w:vAlign w:val="center"/>
          </w:tcPr>
          <w:p>
            <w:pPr>
              <w:spacing w:line="240" w:lineRule="auto"/>
              <w:jc w:val="right"/>
            </w:pPr>
            <w:r>
              <w:rPr>
                <w:rFonts w:ascii="宋体" w:hAnsi="宋体" w:cs="宋体" w:eastAsia="宋体"/>
                <w:b w:val="false"/>
              </w:rPr>
              <w:t>3.54</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89,148,239.94</w:t>
            </w:r>
          </w:p>
        </w:tc>
        <w:tc>
          <w:tcPr>
            <w:tcW/>
            <w:vAlign w:val="center"/>
          </w:tcPr>
          <w:p>
            <w:pPr>
              <w:spacing w:line="240" w:lineRule="auto"/>
              <w:jc w:val="right"/>
            </w:pPr>
            <w:r>
              <w:rPr>
                <w:rFonts w:ascii="宋体" w:hAnsi="宋体" w:cs="宋体" w:eastAsia="宋体"/>
                <w:b w:val="false"/>
              </w:rPr>
              <w:t>80.07</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非日常生活消费品</w:t>
            </w:r>
          </w:p>
        </w:tc>
        <w:tc>
          <w:tcPr>
            <w:tcW/>
            <w:vAlign w:val="center"/>
          </w:tcPr>
          <w:p>
            <w:pPr>
              <w:spacing w:line="240" w:lineRule="auto"/>
              <w:jc w:val="right"/>
            </w:pPr>
            <w:r>
              <w:rPr>
                <w:rFonts w:ascii="宋体" w:hAnsi="宋体" w:cs="宋体" w:eastAsia="宋体"/>
                <w:b w:val="false"/>
              </w:rPr>
              <w:t>252,825.73</w:t>
            </w:r>
          </w:p>
        </w:tc>
        <w:tc>
          <w:tcPr>
            <w:tcW/>
            <w:vAlign w:val="center"/>
          </w:tcPr>
          <w:p>
            <w:pPr>
              <w:spacing w:line="240" w:lineRule="auto"/>
              <w:jc w:val="right"/>
            </w:pPr>
            <w:r>
              <w:rPr>
                <w:rFonts w:ascii="宋体" w:hAnsi="宋体" w:cs="宋体" w:eastAsia="宋体"/>
                <w:b w:val="false"/>
              </w:rPr>
              <w:t>0.23</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252,825.73</w:t>
            </w:r>
          </w:p>
        </w:tc>
        <w:tc>
          <w:tcPr>
            <w:tcW/>
            <w:vAlign w:val="center"/>
          </w:tcPr>
          <w:p>
            <w:pPr>
              <w:spacing w:line="240" w:lineRule="auto"/>
              <w:jc w:val="right"/>
            </w:pPr>
            <w:r>
              <w:rPr>
                <w:rFonts w:ascii="宋体" w:hAnsi="宋体" w:cs="宋体" w:eastAsia="宋体"/>
                <w:b w:val="false"/>
              </w:rPr>
              <w:t>0.23</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600343</w:t>
            </w:r>
          </w:p>
        </w:tc>
        <w:tc>
          <w:tcPr>
            <w:tcW/>
            <w:vAlign w:val="center"/>
          </w:tcPr>
          <w:p>
            <w:pPr>
              <w:spacing w:line="240" w:lineRule="auto"/>
              <w:jc w:val="left"/>
            </w:pPr>
            <w:r>
              <w:rPr>
                <w:rFonts w:ascii="宋体" w:hAnsi="宋体" w:cs="宋体" w:eastAsia="宋体"/>
                <w:b w:val="false"/>
              </w:rPr>
              <w:t>航天动力</w:t>
            </w:r>
          </w:p>
        </w:tc>
        <w:tc>
          <w:tcPr>
            <w:tcW/>
            <w:vAlign w:val="center"/>
          </w:tcPr>
          <w:p>
            <w:pPr>
              <w:spacing w:line="240" w:lineRule="auto"/>
              <w:jc w:val="right"/>
            </w:pPr>
            <w:r>
              <w:rPr>
                <w:rFonts w:ascii="宋体" w:hAnsi="宋体" w:cs="宋体" w:eastAsia="宋体"/>
                <w:b w:val="false"/>
              </w:rPr>
              <w:t>189,800</w:t>
            </w:r>
          </w:p>
        </w:tc>
        <w:tc>
          <w:tcPr>
            <w:tcW/>
            <w:vAlign w:val="center"/>
          </w:tcPr>
          <w:p>
            <w:pPr>
              <w:spacing w:line="240" w:lineRule="auto"/>
              <w:jc w:val="right"/>
            </w:pPr>
            <w:r>
              <w:rPr>
                <w:rFonts w:ascii="宋体" w:hAnsi="宋体" w:cs="宋体" w:eastAsia="宋体"/>
                <w:b w:val="false"/>
              </w:rPr>
              <w:t>9,294,506.00</w:t>
            </w:r>
          </w:p>
        </w:tc>
        <w:tc>
          <w:tcPr>
            <w:tcW/>
            <w:vAlign w:val="center"/>
          </w:tcPr>
          <w:p>
            <w:pPr>
              <w:spacing w:line="240" w:lineRule="auto"/>
              <w:jc w:val="right"/>
            </w:pPr>
            <w:r>
              <w:rPr>
                <w:rFonts w:ascii="宋体" w:hAnsi="宋体" w:cs="宋体" w:eastAsia="宋体"/>
                <w:b w:val="false"/>
              </w:rPr>
              <w:t>8.35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603698</w:t>
            </w:r>
          </w:p>
        </w:tc>
        <w:tc>
          <w:tcPr>
            <w:tcW/>
            <w:vAlign w:val="center"/>
          </w:tcPr>
          <w:p>
            <w:pPr>
              <w:spacing w:line="240" w:lineRule="auto"/>
              <w:jc w:val="left"/>
            </w:pPr>
            <w:r>
              <w:rPr>
                <w:rFonts w:ascii="宋体" w:hAnsi="宋体" w:cs="宋体" w:eastAsia="宋体"/>
                <w:b w:val="false"/>
              </w:rPr>
              <w:t>航天工程</w:t>
            </w:r>
          </w:p>
        </w:tc>
        <w:tc>
          <w:tcPr>
            <w:tcW/>
            <w:vAlign w:val="center"/>
          </w:tcPr>
          <w:p>
            <w:pPr>
              <w:spacing w:line="240" w:lineRule="auto"/>
              <w:jc w:val="right"/>
            </w:pPr>
            <w:r>
              <w:rPr>
                <w:rFonts w:ascii="宋体" w:hAnsi="宋体" w:cs="宋体" w:eastAsia="宋体"/>
                <w:b w:val="false"/>
              </w:rPr>
              <w:t>221,500</w:t>
            </w:r>
          </w:p>
        </w:tc>
        <w:tc>
          <w:tcPr>
            <w:tcW/>
            <w:vAlign w:val="center"/>
          </w:tcPr>
          <w:p>
            <w:pPr>
              <w:spacing w:line="240" w:lineRule="auto"/>
              <w:jc w:val="right"/>
            </w:pPr>
            <w:r>
              <w:rPr>
                <w:rFonts w:ascii="宋体" w:hAnsi="宋体" w:cs="宋体" w:eastAsia="宋体"/>
                <w:b w:val="false"/>
              </w:rPr>
              <w:t>8,583,125.00</w:t>
            </w:r>
          </w:p>
        </w:tc>
        <w:tc>
          <w:tcPr>
            <w:tcW/>
            <w:vAlign w:val="center"/>
          </w:tcPr>
          <w:p>
            <w:pPr>
              <w:spacing w:line="240" w:lineRule="auto"/>
              <w:jc w:val="right"/>
            </w:pPr>
            <w:r>
              <w:rPr>
                <w:rFonts w:ascii="宋体" w:hAnsi="宋体" w:cs="宋体" w:eastAsia="宋体"/>
                <w:b w:val="false"/>
              </w:rPr>
              <w:t>7.71</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601698</w:t>
            </w:r>
          </w:p>
        </w:tc>
        <w:tc>
          <w:tcPr>
            <w:tcW/>
            <w:vAlign w:val="center"/>
          </w:tcPr>
          <w:p>
            <w:pPr>
              <w:spacing w:line="240" w:lineRule="auto"/>
              <w:jc w:val="left"/>
            </w:pPr>
            <w:r>
              <w:rPr>
                <w:rFonts w:ascii="宋体" w:hAnsi="宋体" w:cs="宋体" w:eastAsia="宋体"/>
                <w:b w:val="false"/>
              </w:rPr>
              <w:t>中国卫通</w:t>
            </w:r>
          </w:p>
        </w:tc>
        <w:tc>
          <w:tcPr>
            <w:tcW/>
            <w:vAlign w:val="center"/>
          </w:tcPr>
          <w:p>
            <w:pPr>
              <w:spacing w:line="240" w:lineRule="auto"/>
              <w:jc w:val="right"/>
            </w:pPr>
            <w:r>
              <w:rPr>
                <w:rFonts w:ascii="宋体" w:hAnsi="宋体" w:cs="宋体" w:eastAsia="宋体"/>
                <w:b w:val="false"/>
              </w:rPr>
              <w:t>222,100</w:t>
            </w:r>
          </w:p>
        </w:tc>
        <w:tc>
          <w:tcPr>
            <w:tcW/>
            <w:vAlign w:val="center"/>
          </w:tcPr>
          <w:p>
            <w:pPr>
              <w:spacing w:line="240" w:lineRule="auto"/>
              <w:jc w:val="right"/>
            </w:pPr>
            <w:r>
              <w:rPr>
                <w:rFonts w:ascii="宋体" w:hAnsi="宋体" w:cs="宋体" w:eastAsia="宋体"/>
                <w:b w:val="false"/>
              </w:rPr>
              <w:t>7,935,633.00</w:t>
            </w:r>
          </w:p>
        </w:tc>
        <w:tc>
          <w:tcPr>
            <w:tcW/>
            <w:vAlign w:val="center"/>
          </w:tcPr>
          <w:p>
            <w:pPr>
              <w:spacing w:line="240" w:lineRule="auto"/>
              <w:jc w:val="right"/>
            </w:pPr>
            <w:r>
              <w:rPr>
                <w:rFonts w:ascii="宋体" w:hAnsi="宋体" w:cs="宋体" w:eastAsia="宋体"/>
                <w:b w:val="false"/>
              </w:rPr>
              <w:t>7.13</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600118</w:t>
            </w:r>
          </w:p>
        </w:tc>
        <w:tc>
          <w:tcPr>
            <w:tcW/>
            <w:vAlign w:val="center"/>
          </w:tcPr>
          <w:p>
            <w:pPr>
              <w:spacing w:line="240" w:lineRule="auto"/>
              <w:jc w:val="left"/>
            </w:pPr>
            <w:r>
              <w:rPr>
                <w:rFonts w:ascii="宋体" w:hAnsi="宋体" w:cs="宋体" w:eastAsia="宋体"/>
                <w:b w:val="false"/>
              </w:rPr>
              <w:t>中国卫星</w:t>
            </w:r>
          </w:p>
        </w:tc>
        <w:tc>
          <w:tcPr>
            <w:tcW/>
            <w:vAlign w:val="center"/>
          </w:tcPr>
          <w:p>
            <w:pPr>
              <w:spacing w:line="240" w:lineRule="auto"/>
              <w:jc w:val="right"/>
            </w:pPr>
            <w:r>
              <w:rPr>
                <w:rFonts w:ascii="宋体" w:hAnsi="宋体" w:cs="宋体" w:eastAsia="宋体"/>
                <w:b w:val="false"/>
              </w:rPr>
              <w:t>76,000</w:t>
            </w:r>
          </w:p>
        </w:tc>
        <w:tc>
          <w:tcPr>
            <w:tcW/>
            <w:vAlign w:val="center"/>
          </w:tcPr>
          <w:p>
            <w:pPr>
              <w:spacing w:line="240" w:lineRule="auto"/>
              <w:jc w:val="right"/>
            </w:pPr>
            <w:r>
              <w:rPr>
                <w:rFonts w:ascii="宋体" w:hAnsi="宋体" w:cs="宋体" w:eastAsia="宋体"/>
                <w:b w:val="false"/>
              </w:rPr>
              <w:t>7,216,200.00</w:t>
            </w:r>
          </w:p>
        </w:tc>
        <w:tc>
          <w:tcPr>
            <w:tcW/>
            <w:vAlign w:val="center"/>
          </w:tcPr>
          <w:p>
            <w:pPr>
              <w:spacing w:line="240" w:lineRule="auto"/>
              <w:jc w:val="right"/>
            </w:pPr>
            <w:r>
              <w:rPr>
                <w:rFonts w:ascii="宋体" w:hAnsi="宋体" w:cs="宋体" w:eastAsia="宋体"/>
                <w:b w:val="false"/>
              </w:rPr>
              <w:t>6.48</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301005</w:t>
            </w:r>
          </w:p>
        </w:tc>
        <w:tc>
          <w:tcPr>
            <w:tcW/>
            <w:vAlign w:val="center"/>
          </w:tcPr>
          <w:p>
            <w:pPr>
              <w:spacing w:line="240" w:lineRule="auto"/>
              <w:jc w:val="left"/>
            </w:pPr>
            <w:r>
              <w:rPr>
                <w:rFonts w:ascii="宋体" w:hAnsi="宋体" w:cs="宋体" w:eastAsia="宋体"/>
                <w:b w:val="false"/>
              </w:rPr>
              <w:t>超捷股份</w:t>
            </w:r>
          </w:p>
        </w:tc>
        <w:tc>
          <w:tcPr>
            <w:tcW/>
            <w:vAlign w:val="center"/>
          </w:tcPr>
          <w:p>
            <w:pPr>
              <w:spacing w:line="240" w:lineRule="auto"/>
              <w:jc w:val="right"/>
            </w:pPr>
            <w:r>
              <w:rPr>
                <w:rFonts w:ascii="宋体" w:hAnsi="宋体" w:cs="宋体" w:eastAsia="宋体"/>
                <w:b w:val="false"/>
              </w:rPr>
              <w:t>43,300</w:t>
            </w:r>
          </w:p>
        </w:tc>
        <w:tc>
          <w:tcPr>
            <w:tcW/>
            <w:vAlign w:val="center"/>
          </w:tcPr>
          <w:p>
            <w:pPr>
              <w:spacing w:line="240" w:lineRule="auto"/>
              <w:jc w:val="right"/>
            </w:pPr>
            <w:r>
              <w:rPr>
                <w:rFonts w:ascii="宋体" w:hAnsi="宋体" w:cs="宋体" w:eastAsia="宋体"/>
                <w:b w:val="false"/>
              </w:rPr>
              <w:t>6,723,191.00</w:t>
            </w:r>
          </w:p>
        </w:tc>
        <w:tc>
          <w:tcPr>
            <w:tcW/>
            <w:vAlign w:val="center"/>
          </w:tcPr>
          <w:p>
            <w:pPr>
              <w:spacing w:line="240" w:lineRule="auto"/>
              <w:jc w:val="right"/>
            </w:pPr>
            <w:r>
              <w:rPr>
                <w:rFonts w:ascii="宋体" w:hAnsi="宋体" w:cs="宋体" w:eastAsia="宋体"/>
                <w:b w:val="false"/>
              </w:rPr>
              <w:t>6.04</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002149</w:t>
            </w:r>
          </w:p>
        </w:tc>
        <w:tc>
          <w:tcPr>
            <w:tcW/>
            <w:vAlign w:val="center"/>
          </w:tcPr>
          <w:p>
            <w:pPr>
              <w:spacing w:line="240" w:lineRule="auto"/>
              <w:jc w:val="left"/>
            </w:pPr>
            <w:r>
              <w:rPr>
                <w:rFonts w:ascii="宋体" w:hAnsi="宋体" w:cs="宋体" w:eastAsia="宋体"/>
                <w:b w:val="false"/>
              </w:rPr>
              <w:t>西部材料</w:t>
            </w:r>
          </w:p>
        </w:tc>
        <w:tc>
          <w:tcPr>
            <w:tcW/>
            <w:vAlign w:val="center"/>
          </w:tcPr>
          <w:p>
            <w:pPr>
              <w:spacing w:line="240" w:lineRule="auto"/>
              <w:jc w:val="right"/>
            </w:pPr>
            <w:r>
              <w:rPr>
                <w:rFonts w:ascii="宋体" w:hAnsi="宋体" w:cs="宋体" w:eastAsia="宋体"/>
                <w:b w:val="false"/>
              </w:rPr>
              <w:t>133,900</w:t>
            </w:r>
          </w:p>
        </w:tc>
        <w:tc>
          <w:tcPr>
            <w:tcW/>
            <w:vAlign w:val="center"/>
          </w:tcPr>
          <w:p>
            <w:pPr>
              <w:spacing w:line="240" w:lineRule="auto"/>
              <w:jc w:val="right"/>
            </w:pPr>
            <w:r>
              <w:rPr>
                <w:rFonts w:ascii="宋体" w:hAnsi="宋体" w:cs="宋体" w:eastAsia="宋体"/>
                <w:b w:val="false"/>
              </w:rPr>
              <w:t>6,093,789.00</w:t>
            </w:r>
          </w:p>
        </w:tc>
        <w:tc>
          <w:tcPr>
            <w:tcW/>
            <w:vAlign w:val="center"/>
          </w:tcPr>
          <w:p>
            <w:pPr>
              <w:spacing w:line="240" w:lineRule="auto"/>
              <w:jc w:val="right"/>
            </w:pPr>
            <w:r>
              <w:rPr>
                <w:rFonts w:ascii="宋体" w:hAnsi="宋体" w:cs="宋体" w:eastAsia="宋体"/>
                <w:b w:val="false"/>
              </w:rPr>
              <w:t>5.47</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600879</w:t>
            </w:r>
          </w:p>
        </w:tc>
        <w:tc>
          <w:tcPr>
            <w:tcW/>
            <w:vAlign w:val="center"/>
          </w:tcPr>
          <w:p>
            <w:pPr>
              <w:spacing w:line="240" w:lineRule="auto"/>
              <w:jc w:val="left"/>
            </w:pPr>
            <w:r>
              <w:rPr>
                <w:rFonts w:ascii="宋体" w:hAnsi="宋体" w:cs="宋体" w:eastAsia="宋体"/>
                <w:b w:val="false"/>
              </w:rPr>
              <w:t>航天电子</w:t>
            </w:r>
          </w:p>
        </w:tc>
        <w:tc>
          <w:tcPr>
            <w:tcW/>
            <w:vAlign w:val="center"/>
          </w:tcPr>
          <w:p>
            <w:pPr>
              <w:spacing w:line="240" w:lineRule="auto"/>
              <w:jc w:val="right"/>
            </w:pPr>
            <w:r>
              <w:rPr>
                <w:rFonts w:ascii="宋体" w:hAnsi="宋体" w:cs="宋体" w:eastAsia="宋体"/>
                <w:b w:val="false"/>
              </w:rPr>
              <w:t>272,100</w:t>
            </w:r>
          </w:p>
        </w:tc>
        <w:tc>
          <w:tcPr>
            <w:tcW/>
            <w:vAlign w:val="center"/>
          </w:tcPr>
          <w:p>
            <w:pPr>
              <w:spacing w:line="240" w:lineRule="auto"/>
              <w:jc w:val="right"/>
            </w:pPr>
            <w:r>
              <w:rPr>
                <w:rFonts w:ascii="宋体" w:hAnsi="宋体" w:cs="宋体" w:eastAsia="宋体"/>
                <w:b w:val="false"/>
              </w:rPr>
              <w:t>5,801,172.00</w:t>
            </w:r>
          </w:p>
        </w:tc>
        <w:tc>
          <w:tcPr>
            <w:tcW/>
            <w:vAlign w:val="center"/>
          </w:tcPr>
          <w:p>
            <w:pPr>
              <w:spacing w:line="240" w:lineRule="auto"/>
              <w:jc w:val="right"/>
            </w:pPr>
            <w:r>
              <w:rPr>
                <w:rFonts w:ascii="宋体" w:hAnsi="宋体" w:cs="宋体" w:eastAsia="宋体"/>
                <w:b w:val="false"/>
              </w:rPr>
              <w:t>5.21</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605598</w:t>
            </w:r>
          </w:p>
        </w:tc>
        <w:tc>
          <w:tcPr>
            <w:tcW/>
            <w:vAlign w:val="center"/>
          </w:tcPr>
          <w:p>
            <w:pPr>
              <w:spacing w:line="240" w:lineRule="auto"/>
              <w:jc w:val="left"/>
            </w:pPr>
            <w:r>
              <w:rPr>
                <w:rFonts w:ascii="宋体" w:hAnsi="宋体" w:cs="宋体" w:eastAsia="宋体"/>
                <w:b w:val="false"/>
              </w:rPr>
              <w:t>上海港湾</w:t>
            </w:r>
          </w:p>
        </w:tc>
        <w:tc>
          <w:tcPr>
            <w:tcW/>
            <w:vAlign w:val="center"/>
          </w:tcPr>
          <w:p>
            <w:pPr>
              <w:spacing w:line="240" w:lineRule="auto"/>
              <w:jc w:val="right"/>
            </w:pPr>
            <w:r>
              <w:rPr>
                <w:rFonts w:ascii="宋体" w:hAnsi="宋体" w:cs="宋体" w:eastAsia="宋体"/>
                <w:b w:val="false"/>
              </w:rPr>
              <w:t>81,400</w:t>
            </w:r>
          </w:p>
        </w:tc>
        <w:tc>
          <w:tcPr>
            <w:tcW/>
            <w:vAlign w:val="center"/>
          </w:tcPr>
          <w:p>
            <w:pPr>
              <w:spacing w:line="240" w:lineRule="auto"/>
              <w:jc w:val="right"/>
            </w:pPr>
            <w:r>
              <w:rPr>
                <w:rFonts w:ascii="宋体" w:hAnsi="宋体" w:cs="宋体" w:eastAsia="宋体"/>
                <w:b w:val="false"/>
              </w:rPr>
              <w:t>5,655,672.00</w:t>
            </w:r>
          </w:p>
        </w:tc>
        <w:tc>
          <w:tcPr>
            <w:tcW/>
            <w:vAlign w:val="center"/>
          </w:tcPr>
          <w:p>
            <w:pPr>
              <w:spacing w:line="240" w:lineRule="auto"/>
              <w:jc w:val="right"/>
            </w:pPr>
            <w:r>
              <w:rPr>
                <w:rFonts w:ascii="宋体" w:hAnsi="宋体" w:cs="宋体" w:eastAsia="宋体"/>
                <w:b w:val="false"/>
              </w:rPr>
              <w:t>5.08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300045</w:t>
            </w:r>
          </w:p>
        </w:tc>
        <w:tc>
          <w:tcPr>
            <w:tcW/>
            <w:vAlign w:val="center"/>
          </w:tcPr>
          <w:p>
            <w:pPr>
              <w:spacing w:line="240" w:lineRule="auto"/>
              <w:jc w:val="left"/>
            </w:pPr>
            <w:r>
              <w:rPr>
                <w:rFonts w:ascii="宋体" w:hAnsi="宋体" w:cs="宋体" w:eastAsia="宋体"/>
                <w:b w:val="false"/>
              </w:rPr>
              <w:t>华力创通</w:t>
            </w:r>
          </w:p>
        </w:tc>
        <w:tc>
          <w:tcPr>
            <w:tcW/>
            <w:vAlign w:val="center"/>
          </w:tcPr>
          <w:p>
            <w:pPr>
              <w:spacing w:line="240" w:lineRule="auto"/>
              <w:jc w:val="right"/>
            </w:pPr>
            <w:r>
              <w:rPr>
                <w:rFonts w:ascii="宋体" w:hAnsi="宋体" w:cs="宋体" w:eastAsia="宋体"/>
                <w:b w:val="false"/>
              </w:rPr>
              <w:t>185,200</w:t>
            </w:r>
          </w:p>
        </w:tc>
        <w:tc>
          <w:tcPr>
            <w:tcW/>
            <w:vAlign w:val="center"/>
          </w:tcPr>
          <w:p>
            <w:pPr>
              <w:spacing w:line="240" w:lineRule="auto"/>
              <w:jc w:val="right"/>
            </w:pPr>
            <w:r>
              <w:rPr>
                <w:rFonts w:ascii="宋体" w:hAnsi="宋体" w:cs="宋体" w:eastAsia="宋体"/>
                <w:b w:val="false"/>
              </w:rPr>
              <w:t>5,354,132.00</w:t>
            </w:r>
          </w:p>
        </w:tc>
        <w:tc>
          <w:tcPr>
            <w:tcW/>
            <w:vAlign w:val="center"/>
          </w:tcPr>
          <w:p>
            <w:pPr>
              <w:spacing w:line="240" w:lineRule="auto"/>
              <w:jc w:val="right"/>
            </w:pPr>
            <w:r>
              <w:rPr>
                <w:rFonts w:ascii="宋体" w:hAnsi="宋体" w:cs="宋体" w:eastAsia="宋体"/>
                <w:b w:val="false"/>
              </w:rPr>
              <w:t>4.81</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300136</w:t>
            </w:r>
          </w:p>
        </w:tc>
        <w:tc>
          <w:tcPr>
            <w:tcW/>
            <w:vAlign w:val="center"/>
          </w:tcPr>
          <w:p>
            <w:pPr>
              <w:spacing w:line="240" w:lineRule="auto"/>
              <w:jc w:val="left"/>
            </w:pPr>
            <w:r>
              <w:rPr>
                <w:rFonts w:ascii="宋体" w:hAnsi="宋体" w:cs="宋体" w:eastAsia="宋体"/>
                <w:b w:val="false"/>
              </w:rPr>
              <w:t>信维通信</w:t>
            </w:r>
          </w:p>
        </w:tc>
        <w:tc>
          <w:tcPr>
            <w:tcW/>
            <w:vAlign w:val="center"/>
          </w:tcPr>
          <w:p>
            <w:pPr>
              <w:spacing w:line="240" w:lineRule="auto"/>
              <w:jc w:val="right"/>
            </w:pPr>
            <w:r>
              <w:rPr>
                <w:rFonts w:ascii="宋体" w:hAnsi="宋体" w:cs="宋体" w:eastAsia="宋体"/>
                <w:b w:val="false"/>
              </w:rPr>
              <w:t>79,300</w:t>
            </w:r>
          </w:p>
        </w:tc>
        <w:tc>
          <w:tcPr>
            <w:tcW/>
            <w:vAlign w:val="center"/>
          </w:tcPr>
          <w:p>
            <w:pPr>
              <w:spacing w:line="240" w:lineRule="auto"/>
              <w:jc w:val="right"/>
            </w:pPr>
            <w:r>
              <w:rPr>
                <w:rFonts w:ascii="宋体" w:hAnsi="宋体" w:cs="宋体" w:eastAsia="宋体"/>
                <w:b w:val="false"/>
              </w:rPr>
              <w:t>4,916,600.00</w:t>
            </w:r>
          </w:p>
        </w:tc>
        <w:tc>
          <w:tcPr>
            <w:tcW/>
            <w:vAlign w:val="center"/>
          </w:tcPr>
          <w:p>
            <w:pPr>
              <w:spacing w:line="240" w:lineRule="auto"/>
              <w:jc w:val="right"/>
            </w:pPr>
            <w:r>
              <w:rPr>
                <w:rFonts w:ascii="宋体" w:hAnsi="宋体" w:cs="宋体" w:eastAsia="宋体"/>
                <w:b w:val="false"/>
              </w:rPr>
              <w:t>4.42</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5,858,559.34</w:t>
            </w:r>
          </w:p>
        </w:tc>
        <w:tc>
          <w:tcPr>
            <w:tcW/>
            <w:vAlign w:val="center"/>
          </w:tcPr>
          <w:p>
            <w:pPr>
              <w:spacing w:line="240" w:lineRule="auto"/>
              <w:jc w:val="right"/>
            </w:pPr>
            <w:r>
              <w:rPr>
                <w:rFonts w:ascii="宋体" w:hAnsi="宋体" w:cs="宋体" w:eastAsia="宋体"/>
                <w:b w:val="false"/>
              </w:rPr>
              <w:t>5.26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5,858,559.34</w:t>
            </w:r>
          </w:p>
        </w:tc>
        <w:tc>
          <w:tcPr>
            <w:tcW/>
            <w:vAlign w:val="center"/>
          </w:tcPr>
          <w:p>
            <w:pPr>
              <w:spacing w:line="240" w:lineRule="auto"/>
              <w:jc w:val="right"/>
            </w:pPr>
            <w:r>
              <w:rPr>
                <w:rFonts w:ascii="宋体" w:hAnsi="宋体" w:cs="宋体" w:eastAsia="宋体"/>
                <w:b w:val="false"/>
              </w:rPr>
              <w:t>5.26</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019773</w:t>
            </w:r>
          </w:p>
        </w:tc>
        <w:tc>
          <w:tcPr>
            <w:tcW/>
            <w:vAlign w:val="center"/>
          </w:tcPr>
          <w:p>
            <w:pPr>
              <w:spacing w:line="240" w:lineRule="auto"/>
              <w:jc w:val="left"/>
            </w:pPr>
            <w:r>
              <w:rPr>
                <w:rFonts w:ascii="宋体" w:hAnsi="宋体" w:cs="宋体" w:eastAsia="宋体"/>
                <w:b w:val="false"/>
              </w:rPr>
              <w:t>25国债08</w:t>
            </w:r>
          </w:p>
        </w:tc>
        <w:tc>
          <w:tcPr>
            <w:tcW/>
            <w:vAlign w:val="center"/>
          </w:tcPr>
          <w:p>
            <w:pPr>
              <w:spacing w:line="240" w:lineRule="auto"/>
              <w:jc w:val="right"/>
            </w:pPr>
            <w:r>
              <w:rPr>
                <w:rFonts w:ascii="宋体" w:hAnsi="宋体" w:cs="宋体" w:eastAsia="宋体"/>
                <w:b w:val="false"/>
              </w:rPr>
              <w:t>58,000</w:t>
            </w:r>
          </w:p>
        </w:tc>
        <w:tc>
          <w:tcPr>
            <w:tcW/>
            <w:vAlign w:val="center"/>
          </w:tcPr>
          <w:p>
            <w:pPr>
              <w:spacing w:line="240" w:lineRule="auto"/>
              <w:jc w:val="right"/>
            </w:pPr>
            <w:r>
              <w:rPr>
                <w:rFonts w:ascii="宋体" w:hAnsi="宋体" w:cs="宋体" w:eastAsia="宋体"/>
                <w:b w:val="false"/>
              </w:rPr>
              <w:t>5,858,559.34</w:t>
            </w:r>
          </w:p>
        </w:tc>
        <w:tc>
          <w:tcPr>
            <w:tcW/>
            <w:vAlign w:val="center"/>
          </w:tcPr>
          <w:p>
            <w:pPr>
              <w:spacing w:line="240" w:lineRule="auto"/>
              <w:jc w:val="right"/>
            </w:pPr>
            <w:r>
              <w:rPr>
                <w:rFonts w:ascii="宋体" w:hAnsi="宋体" w:cs="宋体" w:eastAsia="宋体"/>
                <w:b w:val="false"/>
              </w:rPr>
              <w:t>5.26</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14,547,558.68</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2,428,130.34</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16,975,689.02</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东方阿尔法瑞丰混合发起A</w:t>
            </w:r>
          </w:p>
        </w:tc>
        <w:tc>
          <w:tcPr>
            <w:tcW w:type="pct" w:w="1300"/>
            <w:vAlign w:val="center"/>
          </w:tcPr>
          <w:p>
            <w:pPr>
              <w:spacing w:line="240" w:lineRule="auto"/>
              <w:jc w:val="center"/>
            </w:pPr>
            <w:r>
              <w:rPr>
                <w:rFonts w:ascii="宋体" w:hAnsi="宋体" w:cs="宋体" w:eastAsia="宋体"/>
                <w:b w:val="false"/>
              </w:rPr>
              <w:t>东方阿尔法瑞丰混合发起C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56,743,659.88</w:t>
            </w:r>
          </w:p>
        </w:tc>
        <w:tc>
          <w:tcPr>
            <w:tcW w:type="pct" w:w="1300"/>
            <w:vAlign w:val="center"/>
          </w:tcPr>
          <w:p>
            <w:pPr>
              <w:spacing w:line="240" w:lineRule="auto"/>
              <w:jc w:val="right"/>
            </w:pPr>
            <w:r>
              <w:rPr>
                <w:rFonts w:ascii="宋体" w:hAnsi="宋体" w:cs="宋体" w:eastAsia="宋体"/>
                <w:b w:val="false"/>
              </w:rPr>
              <w:t>136,206,077.89</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1,472,929.13</w:t>
            </w:r>
          </w:p>
        </w:tc>
        <w:tc>
          <w:tcPr>
            <w:tcW w:type="pct" w:w="1300"/>
            <w:vAlign w:val="center"/>
          </w:tcPr>
          <w:p>
            <w:pPr>
              <w:spacing w:line="240" w:lineRule="auto"/>
              <w:jc w:val="right"/>
            </w:pPr>
            <w:r>
              <w:rPr>
                <w:rFonts w:ascii="宋体" w:hAnsi="宋体" w:cs="宋体" w:eastAsia="宋体"/>
                <w:b w:val="false"/>
              </w:rPr>
              <w:t>52,373,934.91</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1,935,169.37</w:t>
            </w:r>
          </w:p>
        </w:tc>
        <w:tc>
          <w:tcPr>
            <w:tcW w:type="pct" w:w="1300"/>
            <w:vAlign w:val="center"/>
          </w:tcPr>
          <w:p>
            <w:pPr>
              <w:spacing w:line="240" w:lineRule="auto"/>
              <w:jc w:val="right"/>
            </w:pPr>
            <w:r>
              <w:rPr>
                <w:rFonts w:ascii="宋体" w:hAnsi="宋体" w:cs="宋体" w:eastAsia="宋体"/>
                <w:b w:val="false"/>
              </w:rPr>
              <w:t>132,831,208.76</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56,281,419.64</w:t>
            </w:r>
          </w:p>
        </w:tc>
        <w:tc>
          <w:tcPr>
            <w:tcW w:type="pct" w:w="1300"/>
            <w:vAlign w:val="center"/>
          </w:tcPr>
          <w:p>
            <w:pPr>
              <w:spacing w:line="240" w:lineRule="auto"/>
              <w:jc w:val="right"/>
            </w:pPr>
            <w:r>
              <w:rPr>
                <w:rFonts w:ascii="宋体" w:hAnsi="宋体" w:cs="宋体" w:eastAsia="宋体"/>
                <w:b w:val="false"/>
              </w:rPr>
              <w:t>55,748,804.04</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东方阿尔法瑞丰混合发起A</w:t>
            </w:r>
          </w:p>
        </w:tc>
        <w:tc>
          <w:tcPr>
            <w:tcW w:type="pct" w:w="950"/>
            <w:vAlign w:val="center"/>
          </w:tcPr>
          <w:p>
            <w:pPr>
              <w:spacing w:line="240" w:lineRule="auto"/>
              <w:jc w:val="center"/>
            </w:pPr>
            <w:r>
              <w:rPr>
                <w:rFonts w:ascii="宋体" w:hAnsi="宋体" w:cs="宋体" w:eastAsia="宋体"/>
                <w:b w:val="false"/>
              </w:rPr>
              <w:t>东方阿尔法瑞丰混合发起C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10,000,450.04</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10,000,450.04</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8.93</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8.93%</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8.93%</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8.93%</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8.93%</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机构</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2025年12月17日-2025年12月31日</w:t>
            </w:r>
          </w:p>
        </w:tc>
        <w:tc>
          <w:tcPr>
            <w:tcW/>
            <w:vAlign w:val="center"/>
          </w:tcPr>
          <w:p>
            <w:pPr>
              <w:spacing w:line="240" w:lineRule="auto"/>
              <w:jc w:val="right"/>
            </w:pPr>
            <w:r>
              <w:rPr>
                <w:rFonts w:ascii="宋体" w:hAnsi="宋体" w:cs="宋体" w:eastAsia="宋体"/>
                <w:b w:val="false"/>
              </w:rPr>
              <w:t>23,512,290.35</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23,512,290.35</w:t>
            </w:r>
          </w:p>
        </w:tc>
        <w:tc>
          <w:tcPr>
            <w:tcW/>
            <w:vAlign w:val="center"/>
          </w:tcPr>
          <w:p>
            <w:pPr>
              <w:spacing w:line="240" w:lineRule="auto"/>
              <w:jc w:val="right"/>
            </w:pPr>
            <w:r>
              <w:rPr>
                <w:rFonts w:ascii="宋体" w:hAnsi="宋体" w:cs="宋体" w:eastAsia="宋体"/>
                <w:b w:val="false"/>
              </w:rPr>
              <w:t>20.99%</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1、中国证券监督管理委员会批准的东方阿尔法瑞丰混合型发起式证券投资基金设立的文件；</w:t>
        <w:cr/>
      </w:r>
      <w:r>
        <w:rPr>
          <w:rFonts w:ascii="宋体" w:hAnsi="宋体" w:cs="宋体" w:eastAsia="宋体"/>
          <w:b w:val="false"/>
        </w:rPr>
        <w:t xml:space="preserve">    2、《东方阿尔法瑞丰混合型发起式证券投资基金基金合同》；</w:t>
        <w:cr/>
      </w:r>
      <w:r>
        <w:rPr>
          <w:rFonts w:ascii="宋体" w:hAnsi="宋体" w:cs="宋体" w:eastAsia="宋体"/>
          <w:b w:val="false"/>
        </w:rPr>
        <w:t xml:space="preserve">    3、《东方阿尔法瑞丰混合型发起式证券投资基金托管协议》；</w:t>
        <w:cr/>
      </w:r>
      <w:r>
        <w:rPr>
          <w:rFonts w:ascii="宋体" w:hAnsi="宋体" w:cs="宋体" w:eastAsia="宋体"/>
          <w:b w:val="false"/>
        </w:rPr>
        <w:t xml:space="preserve">    4、《东方阿尔法瑞丰混合型发起式证券投资基金招募说明书》（含更新）；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二〇二六年一月十六日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东方阿尔法瑞丰混合型发起式证券投资基金2025年第4季度报告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