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东方阿尔法瑞享混合型发起式证券投资基金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2025年第4季度报告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2026年01月16日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基金托管人招商银行股份有限公司根据本基金合同规定，于2026年01月15日复核了本报告中的财务指标、净值表现和投资组合报告等内容，保证复核内容不存在虚假记载、误导性陈述或者重大遗漏。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本报告期自2025年10月21日（基金合同生效日）起至2025年12月31日止。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东方阿尔法瑞享混合发起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025777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2025年10月21日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496,735,128.25份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在有效控制组合风险并保持良好流动性的前提下，通过深入研究、优选个股、主动的投资管理方式力求实现组合资产的稳健增值。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2、个股优选策略</w:t>
            </w:r>
            <w:r>
              <w:rPr>
                <w:rFonts w:ascii="宋体" w:hAnsi="宋体" w:eastAsia="宋体" w:cs="宋体"/>
                <w:b w:val="0"/>
              </w:rPr>
              <w:br w:type="textWrapping"/>
            </w:r>
            <w:r>
              <w:rPr>
                <w:rFonts w:ascii="宋体" w:hAnsi="宋体" w:eastAsia="宋体" w:cs="宋体"/>
                <w:b w:val="0"/>
              </w:rPr>
              <w:t>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 xml:space="preserve">3、港股投资策略 </w:t>
            </w:r>
            <w:r>
              <w:rPr>
                <w:rFonts w:ascii="宋体" w:hAnsi="宋体" w:eastAsia="宋体" w:cs="宋体"/>
                <w:b w:val="0"/>
              </w:rPr>
              <w:br w:type="textWrapping"/>
            </w:r>
            <w:r>
              <w:rPr>
                <w:rFonts w:ascii="宋体" w:hAnsi="宋体" w:eastAsia="宋体" w:cs="宋体"/>
                <w:b w:val="0"/>
              </w:rPr>
              <w:t>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5、可转债（含分离交易可转债）及可交换债券投资策略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6、股指期货投资策略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7、融资业务投资策略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8、国债期货投资策略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9、资产支持证券投资策略</w:t>
            </w:r>
            <w:r>
              <w:rPr>
                <w:rFonts w:ascii="宋体" w:hAnsi="宋体" w:eastAsia="宋体" w:cs="宋体"/>
                <w:b w:val="0"/>
              </w:rPr>
              <w:br w:type="textWrapping"/>
            </w:r>
            <w:r>
              <w:rPr>
                <w:rFonts w:ascii="宋体" w:hAnsi="宋体" w:eastAsia="宋体" w:cs="宋体"/>
                <w:b w:val="0"/>
              </w:rPr>
              <w:t>本基金将综合运用久期管理、收益率曲线、个券选择以及把握市场交易机会等积极策略，在严格控制风险的情况下，结合信用研究和流动性管理，选择风险调整后收益高的品种进行投资，以期获得长期稳定收益。</w:t>
            </w:r>
            <w:r>
              <w:rPr>
                <w:rFonts w:ascii="宋体" w:hAnsi="宋体" w:eastAsia="宋体" w:cs="宋体"/>
                <w:b w:val="0"/>
              </w:rPr>
              <w:br w:type="textWrapping"/>
            </w:r>
            <w:r>
              <w:rPr>
                <w:rFonts w:ascii="宋体" w:hAnsi="宋体" w:eastAsia="宋体" w:cs="宋体"/>
                <w:b w:val="0"/>
              </w:rPr>
              <w:t xml:space="preserve">10、股票期权投资策略 </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本基金在深入研究的基础上，通过定性分析和定量分析相结合的方式，选择投资价值高的存托凭证进行投资。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中证800指数收益率×60%+中证综合债券指数收益率×20%+恒生指数收益率（按估值汇率折算）×20%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东方阿尔法瑞享混合发起A</w:t>
            </w:r>
          </w:p>
        </w:tc>
        <w:tc>
          <w:tcPr>
            <w:tcW w:w="1500" w:type="pct"/>
            <w:vAlign w:val="center"/>
          </w:tcPr>
          <w:p>
            <w:pPr>
              <w:spacing w:line="240" w:lineRule="auto"/>
              <w:jc w:val="left"/>
            </w:pPr>
            <w:r>
              <w:rPr>
                <w:rFonts w:ascii="宋体" w:hAnsi="宋体" w:eastAsia="宋体" w:cs="宋体"/>
                <w:b w:val="0"/>
              </w:rPr>
              <w:t>东方阿尔法瑞享混合发起C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025777</w:t>
            </w:r>
          </w:p>
        </w:tc>
        <w:tc>
          <w:tcPr>
            <w:tcW w:w="1500" w:type="pct"/>
            <w:vAlign w:val="center"/>
          </w:tcPr>
          <w:p>
            <w:pPr>
              <w:spacing w:line="240" w:lineRule="auto"/>
              <w:jc w:val="left"/>
            </w:pPr>
            <w:r>
              <w:rPr>
                <w:rFonts w:ascii="宋体" w:hAnsi="宋体" w:eastAsia="宋体" w:cs="宋体"/>
                <w:b w:val="0"/>
              </w:rPr>
              <w:t>025778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25,868,366.65份</w:t>
            </w:r>
          </w:p>
        </w:tc>
        <w:tc>
          <w:tcPr>
            <w:tcW w:w="1500" w:type="pct"/>
            <w:vAlign w:val="center"/>
          </w:tcPr>
          <w:p>
            <w:pPr>
              <w:spacing w:line="240" w:lineRule="auto"/>
              <w:jc w:val="left"/>
            </w:pPr>
            <w:r>
              <w:rPr>
                <w:rFonts w:ascii="宋体" w:hAnsi="宋体" w:eastAsia="宋体" w:cs="宋体"/>
                <w:b w:val="0"/>
              </w:rPr>
              <w:t>470,866,761.60份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报告期（2025年10月21日（基金合同生效日）-2025年12月31日）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东方阿尔法瑞享混合发起A</w:t>
            </w:r>
          </w:p>
        </w:tc>
        <w:tc>
          <w:tcPr>
            <w:tcW w:w="1500" w:type="pct"/>
            <w:shd w:val="clear" w:color="auto" w:fill="D9D9D9"/>
            <w:vAlign w:val="center"/>
          </w:tcPr>
          <w:p>
            <w:pPr>
              <w:spacing w:line="240" w:lineRule="auto"/>
              <w:jc w:val="center"/>
            </w:pPr>
            <w:r>
              <w:rPr>
                <w:rFonts w:ascii="宋体" w:hAnsi="宋体" w:eastAsia="宋体" w:cs="宋体"/>
                <w:b w:val="0"/>
              </w:rPr>
              <w:t>东方阿尔法瑞享混合发起C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-318,944.40</w:t>
            </w:r>
          </w:p>
        </w:tc>
        <w:tc>
          <w:tcPr>
            <w:tcW w:w="1500" w:type="pct"/>
            <w:vAlign w:val="center"/>
          </w:tcPr>
          <w:p>
            <w:pPr>
              <w:spacing w:line="240" w:lineRule="auto"/>
              <w:jc w:val="right"/>
            </w:pPr>
            <w:r>
              <w:rPr>
                <w:rFonts w:ascii="宋体" w:hAnsi="宋体" w:eastAsia="宋体" w:cs="宋体"/>
                <w:b w:val="0"/>
              </w:rPr>
              <w:t>1,153,223.61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3,181,582.58</w:t>
            </w:r>
          </w:p>
        </w:tc>
        <w:tc>
          <w:tcPr>
            <w:tcW w:w="1500" w:type="pct"/>
            <w:vAlign w:val="center"/>
          </w:tcPr>
          <w:p>
            <w:pPr>
              <w:spacing w:line="240" w:lineRule="auto"/>
              <w:jc w:val="right"/>
            </w:pPr>
            <w:r>
              <w:rPr>
                <w:rFonts w:ascii="宋体" w:hAnsi="宋体" w:eastAsia="宋体" w:cs="宋体"/>
                <w:b w:val="0"/>
              </w:rPr>
              <w:t>16,056,569.80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0.1960</w:t>
            </w:r>
          </w:p>
        </w:tc>
        <w:tc>
          <w:tcPr>
            <w:tcW w:w="1500" w:type="pct"/>
            <w:vAlign w:val="center"/>
          </w:tcPr>
          <w:p>
            <w:pPr>
              <w:spacing w:line="240" w:lineRule="auto"/>
              <w:jc w:val="right"/>
            </w:pPr>
            <w:r>
              <w:rPr>
                <w:rFonts w:ascii="宋体" w:hAnsi="宋体" w:eastAsia="宋体" w:cs="宋体"/>
                <w:b w:val="0"/>
              </w:rPr>
              <w:t>0.1525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31,297,600.16</w:t>
            </w:r>
          </w:p>
        </w:tc>
        <w:tc>
          <w:tcPr>
            <w:tcW w:w="1500" w:type="pct"/>
            <w:vAlign w:val="center"/>
          </w:tcPr>
          <w:p>
            <w:pPr>
              <w:spacing w:line="240" w:lineRule="auto"/>
              <w:jc w:val="right"/>
            </w:pPr>
            <w:r>
              <w:rPr>
                <w:rFonts w:ascii="宋体" w:hAnsi="宋体" w:eastAsia="宋体" w:cs="宋体"/>
                <w:b w:val="0"/>
              </w:rPr>
              <w:t>569,511,605.77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1.2099</w:t>
            </w:r>
          </w:p>
        </w:tc>
        <w:tc>
          <w:tcPr>
            <w:tcW w:w="1500" w:type="pct"/>
            <w:vAlign w:val="center"/>
          </w:tcPr>
          <w:p>
            <w:pPr>
              <w:spacing w:line="240" w:lineRule="auto"/>
              <w:jc w:val="right"/>
            </w:pPr>
            <w:r>
              <w:rPr>
                <w:rFonts w:ascii="宋体" w:hAnsi="宋体" w:eastAsia="宋体" w:cs="宋体"/>
                <w:b w:val="0"/>
              </w:rPr>
              <w:t>1.2095</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东方阿尔法瑞享混合发起A净值表现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20.99%</w:t>
            </w:r>
          </w:p>
        </w:tc>
        <w:tc>
          <w:tcPr>
            <w:tcW w:w="0" w:type="dxa"/>
            <w:vAlign w:val="center"/>
          </w:tcPr>
          <w:p>
            <w:pPr>
              <w:spacing w:line="240" w:lineRule="auto"/>
              <w:jc w:val="right"/>
            </w:pPr>
            <w:r>
              <w:rPr>
                <w:rFonts w:ascii="宋体" w:hAnsi="宋体" w:eastAsia="宋体" w:cs="宋体"/>
                <w:b w:val="0"/>
              </w:rPr>
              <w:t>2.72%</w:t>
            </w:r>
          </w:p>
        </w:tc>
        <w:tc>
          <w:tcPr>
            <w:tcW w:w="0" w:type="dxa"/>
            <w:vAlign w:val="center"/>
          </w:tcPr>
          <w:p>
            <w:pPr>
              <w:spacing w:line="240" w:lineRule="auto"/>
              <w:jc w:val="right"/>
            </w:pPr>
            <w:r>
              <w:rPr>
                <w:rFonts w:ascii="宋体" w:hAnsi="宋体" w:eastAsia="宋体" w:cs="宋体"/>
                <w:b w:val="0"/>
              </w:rPr>
              <w:t>1.45%</w:t>
            </w:r>
          </w:p>
        </w:tc>
        <w:tc>
          <w:tcPr>
            <w:tcW w:w="0" w:type="dxa"/>
            <w:vAlign w:val="center"/>
          </w:tcPr>
          <w:p>
            <w:pPr>
              <w:spacing w:line="240" w:lineRule="auto"/>
              <w:jc w:val="right"/>
            </w:pPr>
            <w:r>
              <w:rPr>
                <w:rFonts w:ascii="宋体" w:hAnsi="宋体" w:eastAsia="宋体" w:cs="宋体"/>
                <w:b w:val="0"/>
              </w:rPr>
              <w:t>0.70%</w:t>
            </w:r>
          </w:p>
        </w:tc>
        <w:tc>
          <w:tcPr>
            <w:tcW w:w="0" w:type="dxa"/>
            <w:vAlign w:val="center"/>
          </w:tcPr>
          <w:p>
            <w:pPr>
              <w:spacing w:line="240" w:lineRule="auto"/>
              <w:jc w:val="right"/>
            </w:pPr>
            <w:r>
              <w:rPr>
                <w:rFonts w:ascii="宋体" w:hAnsi="宋体" w:eastAsia="宋体" w:cs="宋体"/>
                <w:b w:val="0"/>
              </w:rPr>
              <w:t>19.54%</w:t>
            </w:r>
          </w:p>
        </w:tc>
        <w:tc>
          <w:tcPr>
            <w:tcW w:w="0" w:type="dxa"/>
            <w:vAlign w:val="center"/>
          </w:tcPr>
          <w:p>
            <w:pPr>
              <w:spacing w:line="240" w:lineRule="auto"/>
              <w:jc w:val="right"/>
            </w:pPr>
            <w:r>
              <w:rPr>
                <w:rFonts w:ascii="宋体" w:hAnsi="宋体" w:eastAsia="宋体" w:cs="宋体"/>
                <w:b w:val="0"/>
              </w:rPr>
              <w:t>2.02%</w:t>
            </w:r>
          </w:p>
        </w:tc>
      </w:tr>
    </w:tbl>
    <w:p>
      <w:pPr>
        <w:jc w:val="left"/>
      </w:pPr>
      <w:r>
        <w:rPr>
          <w:rFonts w:ascii="宋体" w:hAnsi="宋体" w:eastAsia="宋体" w:cs="宋体"/>
          <w:b/>
        </w:rPr>
        <w:t>东方阿尔法瑞享混合发起C净值表现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20.95%</w:t>
            </w:r>
          </w:p>
        </w:tc>
        <w:tc>
          <w:tcPr>
            <w:tcW w:w="0" w:type="dxa"/>
            <w:vAlign w:val="center"/>
          </w:tcPr>
          <w:p>
            <w:pPr>
              <w:spacing w:line="240" w:lineRule="auto"/>
              <w:jc w:val="right"/>
            </w:pPr>
            <w:r>
              <w:rPr>
                <w:rFonts w:ascii="宋体" w:hAnsi="宋体" w:eastAsia="宋体" w:cs="宋体"/>
                <w:b w:val="0"/>
              </w:rPr>
              <w:t>2.72%</w:t>
            </w:r>
          </w:p>
        </w:tc>
        <w:tc>
          <w:tcPr>
            <w:tcW w:w="0" w:type="dxa"/>
            <w:vAlign w:val="center"/>
          </w:tcPr>
          <w:p>
            <w:pPr>
              <w:spacing w:line="240" w:lineRule="auto"/>
              <w:jc w:val="right"/>
            </w:pPr>
            <w:r>
              <w:rPr>
                <w:rFonts w:ascii="宋体" w:hAnsi="宋体" w:eastAsia="宋体" w:cs="宋体"/>
                <w:b w:val="0"/>
              </w:rPr>
              <w:t>1.45%</w:t>
            </w:r>
          </w:p>
        </w:tc>
        <w:tc>
          <w:tcPr>
            <w:tcW w:w="0" w:type="dxa"/>
            <w:vAlign w:val="center"/>
          </w:tcPr>
          <w:p>
            <w:pPr>
              <w:spacing w:line="240" w:lineRule="auto"/>
              <w:jc w:val="right"/>
            </w:pPr>
            <w:r>
              <w:rPr>
                <w:rFonts w:ascii="宋体" w:hAnsi="宋体" w:eastAsia="宋体" w:cs="宋体"/>
                <w:b w:val="0"/>
              </w:rPr>
              <w:t>0.70%</w:t>
            </w:r>
          </w:p>
        </w:tc>
        <w:tc>
          <w:tcPr>
            <w:tcW w:w="0" w:type="dxa"/>
            <w:vAlign w:val="center"/>
          </w:tcPr>
          <w:p>
            <w:pPr>
              <w:spacing w:line="240" w:lineRule="auto"/>
              <w:jc w:val="right"/>
            </w:pPr>
            <w:r>
              <w:rPr>
                <w:rFonts w:ascii="宋体" w:hAnsi="宋体" w:eastAsia="宋体" w:cs="宋体"/>
                <w:b w:val="0"/>
              </w:rPr>
              <w:t>19.50%</w:t>
            </w:r>
          </w:p>
        </w:tc>
        <w:tc>
          <w:tcPr>
            <w:tcW w:w="0" w:type="dxa"/>
            <w:vAlign w:val="center"/>
          </w:tcPr>
          <w:p>
            <w:pPr>
              <w:spacing w:line="240" w:lineRule="auto"/>
              <w:jc w:val="right"/>
            </w:pPr>
            <w:r>
              <w:rPr>
                <w:rFonts w:ascii="宋体" w:hAnsi="宋体" w:eastAsia="宋体" w:cs="宋体"/>
                <w:b w:val="0"/>
              </w:rPr>
              <w:t>2.02%</w:t>
            </w:r>
          </w:p>
        </w:tc>
      </w:tr>
    </w:tbl>
    <w:p>
      <w:r>
        <w:rPr>
          <w:rFonts w:ascii="宋体" w:hAnsi="宋体" w:eastAsia="宋体" w:cs="宋体"/>
          <w:b w:val="0"/>
        </w:rPr>
        <w:t>注：1、本基金业绩比较基准为：中证800指数收益率×60%+中证综合债券指数收益率×20%+恒生指数收益率（按估值汇率折算）×20%。</w:t>
      </w:r>
      <w:r>
        <w:rPr>
          <w:rFonts w:ascii="宋体" w:hAnsi="宋体" w:eastAsia="宋体" w:cs="宋体"/>
          <w:b w:val="0"/>
        </w:rPr>
        <w:cr/>
      </w:r>
      <w:r>
        <w:rPr>
          <w:rFonts w:ascii="宋体" w:hAnsi="宋体" w:eastAsia="宋体" w:cs="宋体"/>
          <w:b w:val="0"/>
        </w:rPr>
        <w:t>2、本基金自2025年10月21日成立至今尚未满3个月，无过去三个月、六个月、一年、三年和五年的净值表现。</w:t>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孙振波</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2025-10-21</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6年</w:t>
            </w:r>
          </w:p>
        </w:tc>
        <w:tc>
          <w:tcPr>
            <w:tcW w:w="0" w:type="dxa"/>
            <w:vAlign w:val="center"/>
          </w:tcPr>
          <w:p>
            <w:pPr>
              <w:spacing w:line="240" w:lineRule="auto"/>
              <w:jc w:val="left"/>
            </w:pPr>
            <w:r>
              <w:rPr>
                <w:rFonts w:ascii="宋体" w:hAnsi="宋体" w:eastAsia="宋体" w:cs="宋体"/>
                <w:b w:val="0"/>
              </w:rPr>
              <w:t>孙振波先生，中国科学技术大学理学学士，复旦大学理学硕士。在食品饮料、有色、化工、钢铁煤炭等领域有着深入研究。2019年入职东方阿尔法基金管理有限公司。现任东方阿尔法基金公司研究部总监助理、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无。</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2025年四季度，全球能源转型进程在曲折中坚定推进。尽管电动车销量增速阶段性波动，但储能需求——尤其是电网级大储与户用储能的爆发式增长，已成为驱动锂电需求的新引擎。供给端来看，经历2023-2024年的价格深度调整与行业出清，全球锂资源资本开支大幅放缓，高成本产能持续退出，行业供需格局正在发生深刻变化。作为“白色石油”的战略资源，锂的价格中枢及资源企业盈利稳定性，有望在新的供需平衡下迎来重塑。</w:t>
      </w:r>
      <w:r>
        <w:rPr>
          <w:rFonts w:ascii="宋体" w:hAnsi="宋体" w:eastAsia="宋体" w:cs="宋体"/>
          <w:b w:val="0"/>
        </w:rPr>
        <w:cr/>
      </w:r>
      <w:r>
        <w:rPr>
          <w:rFonts w:ascii="宋体" w:hAnsi="宋体" w:eastAsia="宋体" w:cs="宋体"/>
          <w:b w:val="0"/>
        </w:rPr>
        <w:t xml:space="preserve">    基于对资源周期与新能源长期需求的判断，本基金于2025年四季度对上游关键战略资源——锂矿进行了重点配置，以捕捉行业周期反转的机遇，核心操作如下：</w:t>
      </w:r>
      <w:r>
        <w:rPr>
          <w:rFonts w:ascii="宋体" w:hAnsi="宋体" w:eastAsia="宋体" w:cs="宋体"/>
          <w:b w:val="0"/>
        </w:rPr>
        <w:cr/>
      </w:r>
      <w:r>
        <w:rPr>
          <w:rFonts w:ascii="宋体" w:hAnsi="宋体" w:eastAsia="宋体" w:cs="宋体"/>
          <w:b w:val="0"/>
        </w:rPr>
        <w:t xml:space="preserve">    一、重点配置全球低成本锂资源龙头。行业低谷期，拥有世界级优质资源、现金成本处于全球曲线左端的企业展现出极强的抗风险能力，其产能扩张将在需求回暖时转化为巨大盈利弹性。我们优选治理结构优秀、具备明确产能增长路径的公司。</w:t>
      </w:r>
      <w:r>
        <w:rPr>
          <w:rFonts w:ascii="宋体" w:hAnsi="宋体" w:eastAsia="宋体" w:cs="宋体"/>
          <w:b w:val="0"/>
        </w:rPr>
        <w:cr/>
      </w:r>
      <w:r>
        <w:rPr>
          <w:rFonts w:ascii="宋体" w:hAnsi="宋体" w:eastAsia="宋体" w:cs="宋体"/>
          <w:b w:val="0"/>
        </w:rPr>
        <w:t xml:space="preserve">    二、关注一体化锂盐加工企业。具备从资源到锂盐垂直一体化能力的企业，能够更好平滑资源价格波动，保障原料供应稳定性，并在加工环节获取持续的技术溢价。在行业集中度提升过程中，一体化龙头优势将更加凸显。</w:t>
      </w:r>
      <w:r>
        <w:rPr>
          <w:rFonts w:ascii="宋体" w:hAnsi="宋体" w:eastAsia="宋体" w:cs="宋体"/>
          <w:b w:val="0"/>
        </w:rPr>
        <w:cr/>
      </w:r>
      <w:r>
        <w:rPr>
          <w:rFonts w:ascii="宋体" w:hAnsi="宋体" w:eastAsia="宋体" w:cs="宋体"/>
          <w:b w:val="0"/>
        </w:rPr>
        <w:t xml:space="preserve">    三、布局高潜力锂资源勘探公司。从更长期看，全球锂资源需求将持续增长，现有已知资源储量可能面临挑战。那些位于矿业友好地区、拥有已验证资源禀赋和清晰开发路径的勘探公司，具备长期期权价值。</w:t>
      </w:r>
      <w:r>
        <w:rPr>
          <w:rFonts w:ascii="宋体" w:hAnsi="宋体" w:eastAsia="宋体" w:cs="宋体"/>
          <w:b w:val="0"/>
        </w:rPr>
        <w:cr/>
      </w:r>
      <w:r>
        <w:rPr>
          <w:rFonts w:ascii="宋体" w:hAnsi="宋体" w:eastAsia="宋体" w:cs="宋体"/>
          <w:b w:val="0"/>
        </w:rPr>
        <w:t xml:space="preserve">    总结来看，我们的投资逻辑并非基于对锂价短期涨跌的博弈，而是基于两点长期判断：第一，电气化（汽车+储能）是能源革命的确定性方向，锂作为核心电池材料的中长期需求增长曲线依然陡峭；第二，本轮供给出清后，行业将进入由需求主导、资本开支更为理性的新阶段，盈利波动性有望降低。这与我们投资科技成长股时关注“供需两旺”和“基本面驱动”的理念内核一致。管理人将密切关注储能装机数据、行业库存周期及龙头企业资本开支动向，动态评估持仓，努力为投资人创造回报。</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瑞享混合发起A基金份额净值为1.2099元，本报告期内，该类基金份额净值增长率为20.99%，同期业绩比较基准收益率为1.45%；截至报告期末东方阿尔法瑞享混合发起C基金份额净值为1.2095元，本报告期内，该类基金份额净值增长率为20.95%，同期业绩比较基准收益率为1.45%。</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无。</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474,727,020.20</w:t>
            </w:r>
          </w:p>
        </w:tc>
        <w:tc>
          <w:tcPr>
            <w:tcW w:w="0" w:type="dxa"/>
            <w:vAlign w:val="center"/>
          </w:tcPr>
          <w:p>
            <w:pPr>
              <w:spacing w:line="240" w:lineRule="auto"/>
              <w:jc w:val="right"/>
            </w:pPr>
            <w:r>
              <w:rPr>
                <w:rFonts w:ascii="宋体" w:hAnsi="宋体" w:eastAsia="宋体" w:cs="宋体"/>
                <w:b w:val="0"/>
              </w:rPr>
              <w:t>77.62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474,727,020.20</w:t>
            </w:r>
          </w:p>
        </w:tc>
        <w:tc>
          <w:tcPr>
            <w:tcW w:w="0" w:type="dxa"/>
            <w:vAlign w:val="center"/>
          </w:tcPr>
          <w:p>
            <w:pPr>
              <w:spacing w:line="240" w:lineRule="auto"/>
              <w:jc w:val="right"/>
            </w:pPr>
            <w:r>
              <w:rPr>
                <w:rFonts w:ascii="宋体" w:hAnsi="宋体" w:eastAsia="宋体" w:cs="宋体"/>
                <w:b w:val="0"/>
              </w:rPr>
              <w:t>77.62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32,352,550.91</w:t>
            </w:r>
          </w:p>
        </w:tc>
        <w:tc>
          <w:tcPr>
            <w:tcW w:w="0" w:type="dxa"/>
            <w:vAlign w:val="center"/>
          </w:tcPr>
          <w:p>
            <w:pPr>
              <w:spacing w:line="240" w:lineRule="auto"/>
              <w:jc w:val="right"/>
            </w:pPr>
            <w:r>
              <w:rPr>
                <w:rFonts w:ascii="宋体" w:hAnsi="宋体" w:eastAsia="宋体" w:cs="宋体"/>
                <w:b w:val="0"/>
              </w:rPr>
              <w:t>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32,352,550.91</w:t>
            </w:r>
          </w:p>
        </w:tc>
        <w:tc>
          <w:tcPr>
            <w:tcW w:w="0" w:type="dxa"/>
            <w:vAlign w:val="center"/>
          </w:tcPr>
          <w:p>
            <w:pPr>
              <w:spacing w:line="240" w:lineRule="auto"/>
              <w:jc w:val="right"/>
            </w:pPr>
            <w:r>
              <w:rPr>
                <w:rFonts w:ascii="宋体" w:hAnsi="宋体" w:eastAsia="宋体" w:cs="宋体"/>
                <w:b w:val="0"/>
              </w:rPr>
              <w:t>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3,302,300.35</w:t>
            </w:r>
          </w:p>
        </w:tc>
        <w:tc>
          <w:tcPr>
            <w:tcW w:w="0" w:type="dxa"/>
            <w:vAlign w:val="center"/>
          </w:tcPr>
          <w:p>
            <w:pPr>
              <w:spacing w:line="240" w:lineRule="auto"/>
              <w:jc w:val="right"/>
            </w:pPr>
            <w:r>
              <w:rPr>
                <w:rFonts w:ascii="宋体" w:hAnsi="宋体" w:eastAsia="宋体" w:cs="宋体"/>
                <w:b w:val="0"/>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101,249,932.02</w:t>
            </w:r>
          </w:p>
        </w:tc>
        <w:tc>
          <w:tcPr>
            <w:tcW w:w="0" w:type="dxa"/>
            <w:vAlign w:val="center"/>
          </w:tcPr>
          <w:p>
            <w:pPr>
              <w:spacing w:line="240" w:lineRule="auto"/>
              <w:jc w:val="right"/>
            </w:pPr>
            <w:r>
              <w:rPr>
                <w:rFonts w:ascii="宋体" w:hAnsi="宋体" w:eastAsia="宋体" w:cs="宋体"/>
                <w:b w:val="0"/>
              </w:rPr>
              <w:t>16.55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611,631,803.48</w:t>
            </w:r>
          </w:p>
        </w:tc>
        <w:tc>
          <w:tcPr>
            <w:tcW w:w="0" w:type="dxa"/>
            <w:vAlign w:val="center"/>
          </w:tcPr>
          <w:p>
            <w:pPr>
              <w:spacing w:line="240" w:lineRule="auto"/>
              <w:jc w:val="right"/>
            </w:pPr>
            <w:r>
              <w:rPr>
                <w:rFonts w:ascii="宋体" w:hAnsi="宋体" w:eastAsia="宋体" w:cs="宋体"/>
                <w:b w:val="0"/>
              </w:rPr>
              <w:t>100.00</w:t>
            </w:r>
          </w:p>
        </w:tc>
      </w:tr>
    </w:tbl>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118,613,303.10</w:t>
            </w:r>
          </w:p>
        </w:tc>
        <w:tc>
          <w:tcPr>
            <w:tcW w:w="0" w:type="dxa"/>
            <w:vAlign w:val="center"/>
          </w:tcPr>
          <w:p>
            <w:pPr>
              <w:spacing w:line="240" w:lineRule="auto"/>
              <w:jc w:val="right"/>
            </w:pPr>
            <w:r>
              <w:rPr>
                <w:rFonts w:ascii="宋体" w:hAnsi="宋体" w:eastAsia="宋体" w:cs="宋体"/>
                <w:b w:val="0"/>
              </w:rPr>
              <w:t>19.74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308,663,677.10</w:t>
            </w:r>
          </w:p>
        </w:tc>
        <w:tc>
          <w:tcPr>
            <w:tcW w:w="0" w:type="dxa"/>
            <w:vAlign w:val="center"/>
          </w:tcPr>
          <w:p>
            <w:pPr>
              <w:spacing w:line="240" w:lineRule="auto"/>
              <w:jc w:val="right"/>
            </w:pPr>
            <w:r>
              <w:rPr>
                <w:rFonts w:ascii="宋体" w:hAnsi="宋体" w:eastAsia="宋体" w:cs="宋体"/>
                <w:b w:val="0"/>
              </w:rPr>
              <w:t>51.37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47,450,040.00</w:t>
            </w:r>
          </w:p>
        </w:tc>
        <w:tc>
          <w:tcPr>
            <w:tcW w:w="0" w:type="dxa"/>
            <w:vAlign w:val="center"/>
          </w:tcPr>
          <w:p>
            <w:pPr>
              <w:spacing w:line="240" w:lineRule="auto"/>
              <w:jc w:val="right"/>
            </w:pPr>
            <w:r>
              <w:rPr>
                <w:rFonts w:ascii="宋体" w:hAnsi="宋体" w:eastAsia="宋体" w:cs="宋体"/>
                <w:b w:val="0"/>
              </w:rPr>
              <w:t>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474,727,020.20</w:t>
            </w:r>
          </w:p>
        </w:tc>
        <w:tc>
          <w:tcPr>
            <w:tcW w:w="0" w:type="dxa"/>
            <w:vAlign w:val="center"/>
          </w:tcPr>
          <w:p>
            <w:pPr>
              <w:spacing w:line="240" w:lineRule="auto"/>
              <w:jc w:val="right"/>
            </w:pPr>
            <w:r>
              <w:rPr>
                <w:rFonts w:ascii="宋体" w:hAnsi="宋体" w:eastAsia="宋体" w:cs="宋体"/>
                <w:b w:val="0"/>
              </w:rPr>
              <w:t>79.01</w:t>
            </w:r>
          </w:p>
        </w:tc>
      </w:tr>
    </w:tbl>
    <w:p/>
    <w:p>
      <w:pPr>
        <w:pStyle w:val="58"/>
      </w:pPr>
      <w:r>
        <w:rPr>
          <w:rFonts w:ascii="宋体" w:hAnsi="宋体" w:eastAsia="宋体" w:cs="宋体"/>
          <w:b/>
        </w:rPr>
        <w:t>5.2.2 报告期末按行业分类的港股通投资股票投资组合</w:t>
      </w:r>
    </w:p>
    <w:p>
      <w:r>
        <w:rPr>
          <w:rFonts w:ascii="宋体" w:hAnsi="宋体" w:eastAsia="宋体" w:cs="宋体"/>
          <w:b w:val="0"/>
        </w:rPr>
        <w:t xml:space="preserve">    本基金本报告期末未持有港股通投资股票投资组合。</w:t>
      </w:r>
    </w:p>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001203</w:t>
            </w:r>
          </w:p>
        </w:tc>
        <w:tc>
          <w:tcPr>
            <w:tcW w:w="0" w:type="dxa"/>
            <w:vAlign w:val="center"/>
          </w:tcPr>
          <w:p>
            <w:pPr>
              <w:spacing w:line="240" w:lineRule="auto"/>
              <w:jc w:val="left"/>
            </w:pPr>
            <w:r>
              <w:rPr>
                <w:rFonts w:ascii="宋体" w:hAnsi="宋体" w:eastAsia="宋体" w:cs="宋体"/>
                <w:b w:val="0"/>
              </w:rPr>
              <w:t>大中矿业</w:t>
            </w:r>
          </w:p>
        </w:tc>
        <w:tc>
          <w:tcPr>
            <w:tcW w:w="0" w:type="dxa"/>
            <w:vAlign w:val="center"/>
          </w:tcPr>
          <w:p>
            <w:pPr>
              <w:spacing w:line="240" w:lineRule="auto"/>
              <w:jc w:val="right"/>
            </w:pPr>
            <w:r>
              <w:rPr>
                <w:rFonts w:ascii="宋体" w:hAnsi="宋体" w:eastAsia="宋体" w:cs="宋体"/>
                <w:b w:val="0"/>
              </w:rPr>
              <w:t>1,621,034</w:t>
            </w:r>
          </w:p>
        </w:tc>
        <w:tc>
          <w:tcPr>
            <w:tcW w:w="0" w:type="dxa"/>
            <w:vAlign w:val="center"/>
          </w:tcPr>
          <w:p>
            <w:pPr>
              <w:spacing w:line="240" w:lineRule="auto"/>
              <w:jc w:val="right"/>
            </w:pPr>
            <w:r>
              <w:rPr>
                <w:rFonts w:ascii="宋体" w:hAnsi="宋体" w:eastAsia="宋体" w:cs="宋体"/>
                <w:b w:val="0"/>
              </w:rPr>
              <w:t>49,684,692.10</w:t>
            </w:r>
          </w:p>
        </w:tc>
        <w:tc>
          <w:tcPr>
            <w:tcW w:w="0" w:type="dxa"/>
            <w:vAlign w:val="center"/>
          </w:tcPr>
          <w:p>
            <w:pPr>
              <w:spacing w:line="240" w:lineRule="auto"/>
              <w:jc w:val="right"/>
            </w:pPr>
            <w:r>
              <w:rPr>
                <w:rFonts w:ascii="宋体" w:hAnsi="宋体" w:eastAsia="宋体" w:cs="宋体"/>
                <w:b w:val="0"/>
              </w:rPr>
              <w:t>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300390</w:t>
            </w:r>
          </w:p>
        </w:tc>
        <w:tc>
          <w:tcPr>
            <w:tcW w:w="0" w:type="dxa"/>
            <w:vAlign w:val="center"/>
          </w:tcPr>
          <w:p>
            <w:pPr>
              <w:spacing w:line="240" w:lineRule="auto"/>
              <w:jc w:val="left"/>
            </w:pPr>
            <w:r>
              <w:rPr>
                <w:rFonts w:ascii="宋体" w:hAnsi="宋体" w:eastAsia="宋体" w:cs="宋体"/>
                <w:b w:val="0"/>
              </w:rPr>
              <w:t>天华新能</w:t>
            </w:r>
          </w:p>
        </w:tc>
        <w:tc>
          <w:tcPr>
            <w:tcW w:w="0" w:type="dxa"/>
            <w:vAlign w:val="center"/>
          </w:tcPr>
          <w:p>
            <w:pPr>
              <w:spacing w:line="240" w:lineRule="auto"/>
              <w:jc w:val="right"/>
            </w:pPr>
            <w:r>
              <w:rPr>
                <w:rFonts w:ascii="宋体" w:hAnsi="宋体" w:eastAsia="宋体" w:cs="宋体"/>
                <w:b w:val="0"/>
              </w:rPr>
              <w:t>888,310</w:t>
            </w:r>
          </w:p>
        </w:tc>
        <w:tc>
          <w:tcPr>
            <w:tcW w:w="0" w:type="dxa"/>
            <w:vAlign w:val="center"/>
          </w:tcPr>
          <w:p>
            <w:pPr>
              <w:spacing w:line="240" w:lineRule="auto"/>
              <w:jc w:val="right"/>
            </w:pPr>
            <w:r>
              <w:rPr>
                <w:rFonts w:ascii="宋体" w:hAnsi="宋体" w:eastAsia="宋体" w:cs="宋体"/>
                <w:b w:val="0"/>
              </w:rPr>
              <w:t>48,510,609.10</w:t>
            </w:r>
          </w:p>
        </w:tc>
        <w:tc>
          <w:tcPr>
            <w:tcW w:w="0" w:type="dxa"/>
            <w:vAlign w:val="center"/>
          </w:tcPr>
          <w:p>
            <w:pPr>
              <w:spacing w:line="240" w:lineRule="auto"/>
              <w:jc w:val="right"/>
            </w:pPr>
            <w:r>
              <w:rPr>
                <w:rFonts w:ascii="宋体" w:hAnsi="宋体" w:eastAsia="宋体" w:cs="宋体"/>
                <w:b w:val="0"/>
              </w:rPr>
              <w:t>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002240</w:t>
            </w:r>
          </w:p>
        </w:tc>
        <w:tc>
          <w:tcPr>
            <w:tcW w:w="0" w:type="dxa"/>
            <w:vAlign w:val="center"/>
          </w:tcPr>
          <w:p>
            <w:pPr>
              <w:spacing w:line="240" w:lineRule="auto"/>
              <w:jc w:val="left"/>
            </w:pPr>
            <w:r>
              <w:rPr>
                <w:rFonts w:ascii="宋体" w:hAnsi="宋体" w:eastAsia="宋体" w:cs="宋体"/>
                <w:b w:val="0"/>
              </w:rPr>
              <w:t>盛新锂能</w:t>
            </w:r>
          </w:p>
        </w:tc>
        <w:tc>
          <w:tcPr>
            <w:tcW w:w="0" w:type="dxa"/>
            <w:vAlign w:val="center"/>
          </w:tcPr>
          <w:p>
            <w:pPr>
              <w:spacing w:line="240" w:lineRule="auto"/>
              <w:jc w:val="right"/>
            </w:pPr>
            <w:r>
              <w:rPr>
                <w:rFonts w:ascii="宋体" w:hAnsi="宋体" w:eastAsia="宋体" w:cs="宋体"/>
                <w:b w:val="0"/>
              </w:rPr>
              <w:t>1,390,100</w:t>
            </w:r>
          </w:p>
        </w:tc>
        <w:tc>
          <w:tcPr>
            <w:tcW w:w="0" w:type="dxa"/>
            <w:vAlign w:val="center"/>
          </w:tcPr>
          <w:p>
            <w:pPr>
              <w:spacing w:line="240" w:lineRule="auto"/>
              <w:jc w:val="right"/>
            </w:pPr>
            <w:r>
              <w:rPr>
                <w:rFonts w:ascii="宋体" w:hAnsi="宋体" w:eastAsia="宋体" w:cs="宋体"/>
                <w:b w:val="0"/>
              </w:rPr>
              <w:t>47,861,143.00</w:t>
            </w:r>
          </w:p>
        </w:tc>
        <w:tc>
          <w:tcPr>
            <w:tcW w:w="0" w:type="dxa"/>
            <w:vAlign w:val="center"/>
          </w:tcPr>
          <w:p>
            <w:pPr>
              <w:spacing w:line="240" w:lineRule="auto"/>
              <w:jc w:val="right"/>
            </w:pPr>
            <w:r>
              <w:rPr>
                <w:rFonts w:ascii="宋体" w:hAnsi="宋体" w:eastAsia="宋体" w:cs="宋体"/>
                <w:b w:val="0"/>
              </w:rPr>
              <w:t>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000036</w:t>
            </w:r>
          </w:p>
        </w:tc>
        <w:tc>
          <w:tcPr>
            <w:tcW w:w="0" w:type="dxa"/>
            <w:vAlign w:val="center"/>
          </w:tcPr>
          <w:p>
            <w:pPr>
              <w:spacing w:line="240" w:lineRule="auto"/>
              <w:jc w:val="left"/>
            </w:pPr>
            <w:r>
              <w:rPr>
                <w:rFonts w:ascii="宋体" w:hAnsi="宋体" w:eastAsia="宋体" w:cs="宋体"/>
                <w:b w:val="0"/>
              </w:rPr>
              <w:t>华联控股</w:t>
            </w:r>
          </w:p>
        </w:tc>
        <w:tc>
          <w:tcPr>
            <w:tcW w:w="0" w:type="dxa"/>
            <w:vAlign w:val="center"/>
          </w:tcPr>
          <w:p>
            <w:pPr>
              <w:spacing w:line="240" w:lineRule="auto"/>
              <w:jc w:val="right"/>
            </w:pPr>
            <w:r>
              <w:rPr>
                <w:rFonts w:ascii="宋体" w:hAnsi="宋体" w:eastAsia="宋体" w:cs="宋体"/>
                <w:b w:val="0"/>
              </w:rPr>
              <w:t>7,189,400</w:t>
            </w:r>
          </w:p>
        </w:tc>
        <w:tc>
          <w:tcPr>
            <w:tcW w:w="0" w:type="dxa"/>
            <w:vAlign w:val="center"/>
          </w:tcPr>
          <w:p>
            <w:pPr>
              <w:spacing w:line="240" w:lineRule="auto"/>
              <w:jc w:val="right"/>
            </w:pPr>
            <w:r>
              <w:rPr>
                <w:rFonts w:ascii="宋体" w:hAnsi="宋体" w:eastAsia="宋体" w:cs="宋体"/>
                <w:b w:val="0"/>
              </w:rPr>
              <w:t>47,450,040.00</w:t>
            </w:r>
          </w:p>
        </w:tc>
        <w:tc>
          <w:tcPr>
            <w:tcW w:w="0" w:type="dxa"/>
            <w:vAlign w:val="center"/>
          </w:tcPr>
          <w:p>
            <w:pPr>
              <w:spacing w:line="240" w:lineRule="auto"/>
              <w:jc w:val="right"/>
            </w:pPr>
            <w:r>
              <w:rPr>
                <w:rFonts w:ascii="宋体" w:hAnsi="宋体" w:eastAsia="宋体" w:cs="宋体"/>
                <w:b w:val="0"/>
              </w:rPr>
              <w:t>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000408</w:t>
            </w:r>
          </w:p>
        </w:tc>
        <w:tc>
          <w:tcPr>
            <w:tcW w:w="0" w:type="dxa"/>
            <w:vAlign w:val="center"/>
          </w:tcPr>
          <w:p>
            <w:pPr>
              <w:spacing w:line="240" w:lineRule="auto"/>
              <w:jc w:val="left"/>
            </w:pPr>
            <w:r>
              <w:rPr>
                <w:rFonts w:ascii="宋体" w:hAnsi="宋体" w:eastAsia="宋体" w:cs="宋体"/>
                <w:b w:val="0"/>
              </w:rPr>
              <w:t>藏格矿业</w:t>
            </w:r>
          </w:p>
        </w:tc>
        <w:tc>
          <w:tcPr>
            <w:tcW w:w="0" w:type="dxa"/>
            <w:vAlign w:val="center"/>
          </w:tcPr>
          <w:p>
            <w:pPr>
              <w:spacing w:line="240" w:lineRule="auto"/>
              <w:jc w:val="right"/>
            </w:pPr>
            <w:r>
              <w:rPr>
                <w:rFonts w:ascii="宋体" w:hAnsi="宋体" w:eastAsia="宋体" w:cs="宋体"/>
                <w:b w:val="0"/>
              </w:rPr>
              <w:t>546,100</w:t>
            </w:r>
          </w:p>
        </w:tc>
        <w:tc>
          <w:tcPr>
            <w:tcW w:w="0" w:type="dxa"/>
            <w:vAlign w:val="center"/>
          </w:tcPr>
          <w:p>
            <w:pPr>
              <w:spacing w:line="240" w:lineRule="auto"/>
              <w:jc w:val="right"/>
            </w:pPr>
            <w:r>
              <w:rPr>
                <w:rFonts w:ascii="宋体" w:hAnsi="宋体" w:eastAsia="宋体" w:cs="宋体"/>
                <w:b w:val="0"/>
              </w:rPr>
              <w:t>46,090,840.00</w:t>
            </w:r>
          </w:p>
        </w:tc>
        <w:tc>
          <w:tcPr>
            <w:tcW w:w="0" w:type="dxa"/>
            <w:vAlign w:val="center"/>
          </w:tcPr>
          <w:p>
            <w:pPr>
              <w:spacing w:line="240" w:lineRule="auto"/>
              <w:jc w:val="right"/>
            </w:pPr>
            <w:r>
              <w:rPr>
                <w:rFonts w:ascii="宋体" w:hAnsi="宋体" w:eastAsia="宋体" w:cs="宋体"/>
                <w:b w:val="0"/>
              </w:rPr>
              <w:t>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002738</w:t>
            </w:r>
          </w:p>
        </w:tc>
        <w:tc>
          <w:tcPr>
            <w:tcW w:w="0" w:type="dxa"/>
            <w:vAlign w:val="center"/>
          </w:tcPr>
          <w:p>
            <w:pPr>
              <w:spacing w:line="240" w:lineRule="auto"/>
              <w:jc w:val="left"/>
            </w:pPr>
            <w:r>
              <w:rPr>
                <w:rFonts w:ascii="宋体" w:hAnsi="宋体" w:eastAsia="宋体" w:cs="宋体"/>
                <w:b w:val="0"/>
              </w:rPr>
              <w:t>中矿资源</w:t>
            </w:r>
          </w:p>
        </w:tc>
        <w:tc>
          <w:tcPr>
            <w:tcW w:w="0" w:type="dxa"/>
            <w:vAlign w:val="center"/>
          </w:tcPr>
          <w:p>
            <w:pPr>
              <w:spacing w:line="240" w:lineRule="auto"/>
              <w:jc w:val="right"/>
            </w:pPr>
            <w:r>
              <w:rPr>
                <w:rFonts w:ascii="宋体" w:hAnsi="宋体" w:eastAsia="宋体" w:cs="宋体"/>
                <w:b w:val="0"/>
              </w:rPr>
              <w:t>570,815</w:t>
            </w:r>
          </w:p>
        </w:tc>
        <w:tc>
          <w:tcPr>
            <w:tcW w:w="0" w:type="dxa"/>
            <w:vAlign w:val="center"/>
          </w:tcPr>
          <w:p>
            <w:pPr>
              <w:spacing w:line="240" w:lineRule="auto"/>
              <w:jc w:val="right"/>
            </w:pPr>
            <w:r>
              <w:rPr>
                <w:rFonts w:ascii="宋体" w:hAnsi="宋体" w:eastAsia="宋体" w:cs="宋体"/>
                <w:b w:val="0"/>
              </w:rPr>
              <w:t>44,837,518.25</w:t>
            </w:r>
          </w:p>
        </w:tc>
        <w:tc>
          <w:tcPr>
            <w:tcW w:w="0" w:type="dxa"/>
            <w:vAlign w:val="center"/>
          </w:tcPr>
          <w:p>
            <w:pPr>
              <w:spacing w:line="240" w:lineRule="auto"/>
              <w:jc w:val="right"/>
            </w:pPr>
            <w:r>
              <w:rPr>
                <w:rFonts w:ascii="宋体" w:hAnsi="宋体" w:eastAsia="宋体" w:cs="宋体"/>
                <w:b w:val="0"/>
              </w:rPr>
              <w:t>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000688</w:t>
            </w:r>
          </w:p>
        </w:tc>
        <w:tc>
          <w:tcPr>
            <w:tcW w:w="0" w:type="dxa"/>
            <w:vAlign w:val="center"/>
          </w:tcPr>
          <w:p>
            <w:pPr>
              <w:spacing w:line="240" w:lineRule="auto"/>
              <w:jc w:val="left"/>
            </w:pPr>
            <w:r>
              <w:rPr>
                <w:rFonts w:ascii="宋体" w:hAnsi="宋体" w:eastAsia="宋体" w:cs="宋体"/>
                <w:b w:val="0"/>
              </w:rPr>
              <w:t>国城矿业</w:t>
            </w:r>
          </w:p>
        </w:tc>
        <w:tc>
          <w:tcPr>
            <w:tcW w:w="0" w:type="dxa"/>
            <w:vAlign w:val="center"/>
          </w:tcPr>
          <w:p>
            <w:pPr>
              <w:spacing w:line="240" w:lineRule="auto"/>
              <w:jc w:val="right"/>
            </w:pPr>
            <w:r>
              <w:rPr>
                <w:rFonts w:ascii="宋体" w:hAnsi="宋体" w:eastAsia="宋体" w:cs="宋体"/>
                <w:b w:val="0"/>
              </w:rPr>
              <w:t>1,593,000</w:t>
            </w:r>
          </w:p>
        </w:tc>
        <w:tc>
          <w:tcPr>
            <w:tcW w:w="0" w:type="dxa"/>
            <w:vAlign w:val="center"/>
          </w:tcPr>
          <w:p>
            <w:pPr>
              <w:spacing w:line="240" w:lineRule="auto"/>
              <w:jc w:val="right"/>
            </w:pPr>
            <w:r>
              <w:rPr>
                <w:rFonts w:ascii="宋体" w:hAnsi="宋体" w:eastAsia="宋体" w:cs="宋体"/>
                <w:b w:val="0"/>
              </w:rPr>
              <w:t>44,285,400.00</w:t>
            </w:r>
          </w:p>
        </w:tc>
        <w:tc>
          <w:tcPr>
            <w:tcW w:w="0" w:type="dxa"/>
            <w:vAlign w:val="center"/>
          </w:tcPr>
          <w:p>
            <w:pPr>
              <w:spacing w:line="240" w:lineRule="auto"/>
              <w:jc w:val="right"/>
            </w:pPr>
            <w:r>
              <w:rPr>
                <w:rFonts w:ascii="宋体" w:hAnsi="宋体" w:eastAsia="宋体" w:cs="宋体"/>
                <w:b w:val="0"/>
              </w:rPr>
              <w:t>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002497</w:t>
            </w:r>
          </w:p>
        </w:tc>
        <w:tc>
          <w:tcPr>
            <w:tcW w:w="0" w:type="dxa"/>
            <w:vAlign w:val="center"/>
          </w:tcPr>
          <w:p>
            <w:pPr>
              <w:spacing w:line="240" w:lineRule="auto"/>
              <w:jc w:val="left"/>
            </w:pPr>
            <w:r>
              <w:rPr>
                <w:rFonts w:ascii="宋体" w:hAnsi="宋体" w:eastAsia="宋体" w:cs="宋体"/>
                <w:b w:val="0"/>
              </w:rPr>
              <w:t>雅化集团</w:t>
            </w:r>
          </w:p>
        </w:tc>
        <w:tc>
          <w:tcPr>
            <w:tcW w:w="0" w:type="dxa"/>
            <w:vAlign w:val="center"/>
          </w:tcPr>
          <w:p>
            <w:pPr>
              <w:spacing w:line="240" w:lineRule="auto"/>
              <w:jc w:val="right"/>
            </w:pPr>
            <w:r>
              <w:rPr>
                <w:rFonts w:ascii="宋体" w:hAnsi="宋体" w:eastAsia="宋体" w:cs="宋体"/>
                <w:b w:val="0"/>
              </w:rPr>
              <w:t>1,649,200</w:t>
            </w:r>
          </w:p>
        </w:tc>
        <w:tc>
          <w:tcPr>
            <w:tcW w:w="0" w:type="dxa"/>
            <w:vAlign w:val="center"/>
          </w:tcPr>
          <w:p>
            <w:pPr>
              <w:spacing w:line="240" w:lineRule="auto"/>
              <w:jc w:val="right"/>
            </w:pPr>
            <w:r>
              <w:rPr>
                <w:rFonts w:ascii="宋体" w:hAnsi="宋体" w:eastAsia="宋体" w:cs="宋体"/>
                <w:b w:val="0"/>
              </w:rPr>
              <w:t>40,817,700.00</w:t>
            </w:r>
          </w:p>
        </w:tc>
        <w:tc>
          <w:tcPr>
            <w:tcW w:w="0" w:type="dxa"/>
            <w:vAlign w:val="center"/>
          </w:tcPr>
          <w:p>
            <w:pPr>
              <w:spacing w:line="240" w:lineRule="auto"/>
              <w:jc w:val="right"/>
            </w:pPr>
            <w:r>
              <w:rPr>
                <w:rFonts w:ascii="宋体" w:hAnsi="宋体" w:eastAsia="宋体" w:cs="宋体"/>
                <w:b w:val="0"/>
              </w:rPr>
              <w:t>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002756</w:t>
            </w:r>
          </w:p>
        </w:tc>
        <w:tc>
          <w:tcPr>
            <w:tcW w:w="0" w:type="dxa"/>
            <w:vAlign w:val="center"/>
          </w:tcPr>
          <w:p>
            <w:pPr>
              <w:spacing w:line="240" w:lineRule="auto"/>
              <w:jc w:val="left"/>
            </w:pPr>
            <w:r>
              <w:rPr>
                <w:rFonts w:ascii="宋体" w:hAnsi="宋体" w:eastAsia="宋体" w:cs="宋体"/>
                <w:b w:val="0"/>
              </w:rPr>
              <w:t>永兴材料</w:t>
            </w:r>
          </w:p>
        </w:tc>
        <w:tc>
          <w:tcPr>
            <w:tcW w:w="0" w:type="dxa"/>
            <w:vAlign w:val="center"/>
          </w:tcPr>
          <w:p>
            <w:pPr>
              <w:spacing w:line="240" w:lineRule="auto"/>
              <w:jc w:val="right"/>
            </w:pPr>
            <w:r>
              <w:rPr>
                <w:rFonts w:ascii="宋体" w:hAnsi="宋体" w:eastAsia="宋体" w:cs="宋体"/>
                <w:b w:val="0"/>
              </w:rPr>
              <w:t>723,131</w:t>
            </w:r>
          </w:p>
        </w:tc>
        <w:tc>
          <w:tcPr>
            <w:tcW w:w="0" w:type="dxa"/>
            <w:vAlign w:val="center"/>
          </w:tcPr>
          <w:p>
            <w:pPr>
              <w:spacing w:line="240" w:lineRule="auto"/>
              <w:jc w:val="right"/>
            </w:pPr>
            <w:r>
              <w:rPr>
                <w:rFonts w:ascii="宋体" w:hAnsi="宋体" w:eastAsia="宋体" w:cs="宋体"/>
                <w:b w:val="0"/>
              </w:rPr>
              <w:t>39,229,856.75</w:t>
            </w:r>
          </w:p>
        </w:tc>
        <w:tc>
          <w:tcPr>
            <w:tcW w:w="0" w:type="dxa"/>
            <w:vAlign w:val="center"/>
          </w:tcPr>
          <w:p>
            <w:pPr>
              <w:spacing w:line="240" w:lineRule="auto"/>
              <w:jc w:val="right"/>
            </w:pPr>
            <w:r>
              <w:rPr>
                <w:rFonts w:ascii="宋体" w:hAnsi="宋体" w:eastAsia="宋体" w:cs="宋体"/>
                <w:b w:val="0"/>
              </w:rPr>
              <w:t>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002192</w:t>
            </w:r>
          </w:p>
        </w:tc>
        <w:tc>
          <w:tcPr>
            <w:tcW w:w="0" w:type="dxa"/>
            <w:vAlign w:val="center"/>
          </w:tcPr>
          <w:p>
            <w:pPr>
              <w:spacing w:line="240" w:lineRule="auto"/>
              <w:jc w:val="left"/>
            </w:pPr>
            <w:r>
              <w:rPr>
                <w:rFonts w:ascii="宋体" w:hAnsi="宋体" w:eastAsia="宋体" w:cs="宋体"/>
                <w:b w:val="0"/>
              </w:rPr>
              <w:t>融捷股份</w:t>
            </w:r>
          </w:p>
        </w:tc>
        <w:tc>
          <w:tcPr>
            <w:tcW w:w="0" w:type="dxa"/>
            <w:vAlign w:val="center"/>
          </w:tcPr>
          <w:p>
            <w:pPr>
              <w:spacing w:line="240" w:lineRule="auto"/>
              <w:jc w:val="right"/>
            </w:pPr>
            <w:r>
              <w:rPr>
                <w:rFonts w:ascii="宋体" w:hAnsi="宋体" w:eastAsia="宋体" w:cs="宋体"/>
                <w:b w:val="0"/>
              </w:rPr>
              <w:t>466,400</w:t>
            </w:r>
          </w:p>
        </w:tc>
        <w:tc>
          <w:tcPr>
            <w:tcW w:w="0" w:type="dxa"/>
            <w:vAlign w:val="center"/>
          </w:tcPr>
          <w:p>
            <w:pPr>
              <w:spacing w:line="240" w:lineRule="auto"/>
              <w:jc w:val="right"/>
            </w:pPr>
            <w:r>
              <w:rPr>
                <w:rFonts w:ascii="宋体" w:hAnsi="宋体" w:eastAsia="宋体" w:cs="宋体"/>
                <w:b w:val="0"/>
              </w:rPr>
              <w:t>24,136,200.00</w:t>
            </w:r>
          </w:p>
        </w:tc>
        <w:tc>
          <w:tcPr>
            <w:tcW w:w="0" w:type="dxa"/>
            <w:vAlign w:val="center"/>
          </w:tcPr>
          <w:p>
            <w:pPr>
              <w:spacing w:line="240" w:lineRule="auto"/>
              <w:jc w:val="right"/>
            </w:pPr>
            <w:r>
              <w:rPr>
                <w:rFonts w:ascii="宋体" w:hAnsi="宋体" w:eastAsia="宋体" w:cs="宋体"/>
                <w:b w:val="0"/>
              </w:rPr>
              <w:t>4.02</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32,352,550.91</w:t>
            </w:r>
          </w:p>
        </w:tc>
        <w:tc>
          <w:tcPr>
            <w:tcW w:w="0" w:type="dxa"/>
            <w:vAlign w:val="center"/>
          </w:tcPr>
          <w:p>
            <w:pPr>
              <w:spacing w:line="240" w:lineRule="auto"/>
              <w:jc w:val="right"/>
            </w:pPr>
            <w:r>
              <w:rPr>
                <w:rFonts w:ascii="宋体" w:hAnsi="宋体" w:eastAsia="宋体" w:cs="宋体"/>
                <w:b w:val="0"/>
              </w:rPr>
              <w:t>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32,352,550.91</w:t>
            </w:r>
          </w:p>
        </w:tc>
        <w:tc>
          <w:tcPr>
            <w:tcW w:w="0" w:type="dxa"/>
            <w:vAlign w:val="center"/>
          </w:tcPr>
          <w:p>
            <w:pPr>
              <w:spacing w:line="240" w:lineRule="auto"/>
              <w:jc w:val="right"/>
            </w:pPr>
            <w:r>
              <w:rPr>
                <w:rFonts w:ascii="宋体" w:hAnsi="宋体" w:eastAsia="宋体" w:cs="宋体"/>
                <w:b w:val="0"/>
              </w:rPr>
              <w:t>5.38</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019792</w:t>
            </w:r>
          </w:p>
        </w:tc>
        <w:tc>
          <w:tcPr>
            <w:tcW w:w="0" w:type="dxa"/>
            <w:vAlign w:val="center"/>
          </w:tcPr>
          <w:p>
            <w:pPr>
              <w:spacing w:line="240" w:lineRule="auto"/>
              <w:jc w:val="left"/>
            </w:pPr>
            <w:r>
              <w:rPr>
                <w:rFonts w:ascii="宋体" w:hAnsi="宋体" w:eastAsia="宋体" w:cs="宋体"/>
                <w:b w:val="0"/>
              </w:rPr>
              <w:t>25国债19</w:t>
            </w:r>
          </w:p>
        </w:tc>
        <w:tc>
          <w:tcPr>
            <w:tcW w:w="0" w:type="dxa"/>
            <w:vAlign w:val="center"/>
          </w:tcPr>
          <w:p>
            <w:pPr>
              <w:spacing w:line="240" w:lineRule="auto"/>
              <w:jc w:val="right"/>
            </w:pPr>
            <w:r>
              <w:rPr>
                <w:rFonts w:ascii="宋体" w:hAnsi="宋体" w:eastAsia="宋体" w:cs="宋体"/>
                <w:b w:val="0"/>
              </w:rPr>
              <w:t>252,000</w:t>
            </w:r>
          </w:p>
        </w:tc>
        <w:tc>
          <w:tcPr>
            <w:tcW w:w="0" w:type="dxa"/>
            <w:vAlign w:val="center"/>
          </w:tcPr>
          <w:p>
            <w:pPr>
              <w:spacing w:line="240" w:lineRule="auto"/>
              <w:jc w:val="right"/>
            </w:pPr>
            <w:r>
              <w:rPr>
                <w:rFonts w:ascii="宋体" w:hAnsi="宋体" w:eastAsia="宋体" w:cs="宋体"/>
                <w:b w:val="0"/>
              </w:rPr>
              <w:t>25,281,875.84</w:t>
            </w:r>
          </w:p>
        </w:tc>
        <w:tc>
          <w:tcPr>
            <w:tcW w:w="0" w:type="dxa"/>
            <w:vAlign w:val="center"/>
          </w:tcPr>
          <w:p>
            <w:pPr>
              <w:spacing w:line="240" w:lineRule="auto"/>
              <w:jc w:val="right"/>
            </w:pPr>
            <w:r>
              <w:rPr>
                <w:rFonts w:ascii="宋体" w:hAnsi="宋体" w:eastAsia="宋体" w:cs="宋体"/>
                <w:b w:val="0"/>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019773</w:t>
            </w:r>
          </w:p>
        </w:tc>
        <w:tc>
          <w:tcPr>
            <w:tcW w:w="0" w:type="dxa"/>
            <w:vAlign w:val="center"/>
          </w:tcPr>
          <w:p>
            <w:pPr>
              <w:spacing w:line="240" w:lineRule="auto"/>
              <w:jc w:val="left"/>
            </w:pPr>
            <w:r>
              <w:rPr>
                <w:rFonts w:ascii="宋体" w:hAnsi="宋体" w:eastAsia="宋体" w:cs="宋体"/>
                <w:b w:val="0"/>
              </w:rPr>
              <w:t>25国债08</w:t>
            </w:r>
          </w:p>
        </w:tc>
        <w:tc>
          <w:tcPr>
            <w:tcW w:w="0" w:type="dxa"/>
            <w:vAlign w:val="center"/>
          </w:tcPr>
          <w:p>
            <w:pPr>
              <w:spacing w:line="240" w:lineRule="auto"/>
              <w:jc w:val="right"/>
            </w:pPr>
            <w:r>
              <w:rPr>
                <w:rFonts w:ascii="宋体" w:hAnsi="宋体" w:eastAsia="宋体" w:cs="宋体"/>
                <w:b w:val="0"/>
              </w:rPr>
              <w:t>70,000</w:t>
            </w:r>
          </w:p>
        </w:tc>
        <w:tc>
          <w:tcPr>
            <w:tcW w:w="0" w:type="dxa"/>
            <w:vAlign w:val="center"/>
          </w:tcPr>
          <w:p>
            <w:pPr>
              <w:spacing w:line="240" w:lineRule="auto"/>
              <w:jc w:val="right"/>
            </w:pPr>
            <w:r>
              <w:rPr>
                <w:rFonts w:ascii="宋体" w:hAnsi="宋体" w:eastAsia="宋体" w:cs="宋体"/>
                <w:b w:val="0"/>
              </w:rPr>
              <w:t>7,070,675.07</w:t>
            </w:r>
          </w:p>
        </w:tc>
        <w:tc>
          <w:tcPr>
            <w:tcW w:w="0" w:type="dxa"/>
            <w:vAlign w:val="center"/>
          </w:tcPr>
          <w:p>
            <w:pPr>
              <w:spacing w:line="240" w:lineRule="auto"/>
              <w:jc w:val="right"/>
            </w:pPr>
            <w:r>
              <w:rPr>
                <w:rFonts w:ascii="宋体" w:hAnsi="宋体" w:eastAsia="宋体" w:cs="宋体"/>
                <w:b w:val="0"/>
              </w:rPr>
              <w:t>1.18</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101,249,932.02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101,249,932.02</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东方阿尔法瑞享混合发起A</w:t>
            </w:r>
          </w:p>
        </w:tc>
        <w:tc>
          <w:tcPr>
            <w:tcW w:w="1300" w:type="pct"/>
            <w:vAlign w:val="center"/>
          </w:tcPr>
          <w:p>
            <w:pPr>
              <w:spacing w:line="240" w:lineRule="auto"/>
              <w:jc w:val="center"/>
            </w:pPr>
            <w:r>
              <w:rPr>
                <w:rFonts w:ascii="宋体" w:hAnsi="宋体" w:eastAsia="宋体" w:cs="宋体"/>
                <w:b w:val="0"/>
              </w:rPr>
              <w:t>东方阿尔法瑞享混合发起C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left"/>
            </w:pPr>
            <w:r>
              <w:rPr>
                <w:rFonts w:ascii="宋体" w:hAnsi="宋体" w:eastAsia="宋体" w:cs="宋体"/>
                <w:b w:val="0"/>
              </w:rPr>
              <w:t>基金合同生效日（2025年10月21日）基金份额总额</w:t>
            </w:r>
          </w:p>
        </w:tc>
        <w:tc>
          <w:tcPr>
            <w:tcW w:w="1300" w:type="pct"/>
            <w:vAlign w:val="center"/>
          </w:tcPr>
          <w:p>
            <w:pPr>
              <w:spacing w:line="240" w:lineRule="auto"/>
              <w:jc w:val="right"/>
            </w:pPr>
            <w:r>
              <w:rPr>
                <w:rFonts w:ascii="宋体" w:hAnsi="宋体" w:eastAsia="宋体" w:cs="宋体"/>
                <w:b w:val="0"/>
              </w:rPr>
              <w:t>10,103,825.60</w:t>
            </w:r>
          </w:p>
        </w:tc>
        <w:tc>
          <w:tcPr>
            <w:tcW w:w="1300" w:type="pct"/>
            <w:vAlign w:val="center"/>
          </w:tcPr>
          <w:p>
            <w:pPr>
              <w:spacing w:line="240" w:lineRule="auto"/>
              <w:jc w:val="right"/>
            </w:pPr>
            <w:r>
              <w:rPr>
                <w:rFonts w:ascii="宋体" w:hAnsi="宋体" w:eastAsia="宋体" w:cs="宋体"/>
                <w:b w:val="0"/>
              </w:rPr>
              <w:t>1,146,252.81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基金合同生效日起至报告期期末基金总申购份额</w:t>
            </w:r>
          </w:p>
        </w:tc>
        <w:tc>
          <w:tcPr>
            <w:tcW w:w="1300" w:type="pct"/>
            <w:vAlign w:val="center"/>
          </w:tcPr>
          <w:p>
            <w:pPr>
              <w:spacing w:line="240" w:lineRule="auto"/>
              <w:jc w:val="right"/>
            </w:pPr>
            <w:r>
              <w:rPr>
                <w:rFonts w:ascii="宋体" w:hAnsi="宋体" w:eastAsia="宋体" w:cs="宋体"/>
                <w:b w:val="0"/>
              </w:rPr>
              <w:t>22,255,993.16</w:t>
            </w:r>
          </w:p>
        </w:tc>
        <w:tc>
          <w:tcPr>
            <w:tcW w:w="1300" w:type="pct"/>
            <w:vAlign w:val="center"/>
          </w:tcPr>
          <w:p>
            <w:pPr>
              <w:spacing w:line="240" w:lineRule="auto"/>
              <w:jc w:val="right"/>
            </w:pPr>
            <w:r>
              <w:rPr>
                <w:rFonts w:ascii="宋体" w:hAnsi="宋体" w:eastAsia="宋体" w:cs="宋体"/>
                <w:b w:val="0"/>
              </w:rPr>
              <w:t>799,528,435.64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减：基金合同生效日起至报告期期末基金总赎回份额</w:t>
            </w:r>
          </w:p>
        </w:tc>
        <w:tc>
          <w:tcPr>
            <w:tcW w:w="1300" w:type="pct"/>
            <w:vAlign w:val="center"/>
          </w:tcPr>
          <w:p>
            <w:pPr>
              <w:spacing w:line="240" w:lineRule="auto"/>
              <w:jc w:val="right"/>
            </w:pPr>
            <w:r>
              <w:rPr>
                <w:rFonts w:ascii="宋体" w:hAnsi="宋体" w:eastAsia="宋体" w:cs="宋体"/>
                <w:b w:val="0"/>
              </w:rPr>
              <w:t>6,491,452.11</w:t>
            </w:r>
          </w:p>
        </w:tc>
        <w:tc>
          <w:tcPr>
            <w:tcW w:w="1300" w:type="pct"/>
            <w:vAlign w:val="center"/>
          </w:tcPr>
          <w:p>
            <w:pPr>
              <w:spacing w:line="240" w:lineRule="auto"/>
              <w:jc w:val="right"/>
            </w:pPr>
            <w:r>
              <w:rPr>
                <w:rFonts w:ascii="宋体" w:hAnsi="宋体" w:eastAsia="宋体" w:cs="宋体"/>
                <w:b w:val="0"/>
              </w:rPr>
              <w:t>329,807,926.85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基金合同生效日起至报告期期末基金拆分变动份额（份额减少以“-”填列）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25,868,366.65</w:t>
            </w:r>
          </w:p>
        </w:tc>
        <w:tc>
          <w:tcPr>
            <w:tcW w:w="1300" w:type="pct"/>
            <w:vAlign w:val="center"/>
          </w:tcPr>
          <w:p>
            <w:pPr>
              <w:spacing w:line="240" w:lineRule="auto"/>
              <w:jc w:val="right"/>
            </w:pPr>
            <w:r>
              <w:rPr>
                <w:rFonts w:ascii="宋体" w:hAnsi="宋体" w:eastAsia="宋体" w:cs="宋体"/>
                <w:b w:val="0"/>
              </w:rPr>
              <w:t>470,866,761.60</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center"/>
            </w:pPr>
          </w:p>
        </w:tc>
        <w:tc>
          <w:tcPr>
            <w:tcW w:w="950" w:type="pct"/>
            <w:vAlign w:val="center"/>
          </w:tcPr>
          <w:p>
            <w:pPr>
              <w:spacing w:line="240" w:lineRule="auto"/>
              <w:jc w:val="center"/>
            </w:pPr>
            <w:r>
              <w:rPr>
                <w:rFonts w:ascii="宋体" w:hAnsi="宋体" w:eastAsia="宋体" w:cs="宋体"/>
                <w:b w:val="0"/>
              </w:rPr>
              <w:t>东方阿尔法瑞享混合发起A</w:t>
            </w:r>
          </w:p>
        </w:tc>
        <w:tc>
          <w:tcPr>
            <w:tcW w:w="950" w:type="pct"/>
            <w:vAlign w:val="center"/>
          </w:tcPr>
          <w:p>
            <w:pPr>
              <w:spacing w:line="240" w:lineRule="auto"/>
              <w:jc w:val="center"/>
            </w:pPr>
            <w:r>
              <w:rPr>
                <w:rFonts w:ascii="宋体" w:hAnsi="宋体" w:eastAsia="宋体" w:cs="宋体"/>
                <w:b w:val="0"/>
              </w:rPr>
              <w:t>东方阿尔法瑞享混合发起C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left"/>
            </w:pPr>
            <w:r>
              <w:rPr>
                <w:rFonts w:ascii="宋体" w:hAnsi="宋体" w:eastAsia="宋体" w:cs="宋体"/>
                <w:b w:val="0"/>
              </w:rPr>
              <w:t>基金合同生效日管理人持有的本基金份额</w:t>
            </w:r>
          </w:p>
        </w:tc>
        <w:tc>
          <w:tcPr>
            <w:tcW w:w="950" w:type="pct"/>
            <w:vAlign w:val="center"/>
          </w:tcPr>
          <w:p>
            <w:pPr>
              <w:spacing w:line="240" w:lineRule="auto"/>
              <w:jc w:val="right"/>
            </w:pPr>
            <w:r>
              <w:rPr>
                <w:rFonts w:ascii="宋体" w:hAnsi="宋体" w:eastAsia="宋体" w:cs="宋体"/>
                <w:b w:val="0"/>
              </w:rPr>
              <w:t>5,000,583.45</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基金合同生效日起至报告期期末买入/申购总份额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基金合同生效日起至报告期期末卖出/赎回总份额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报告期期末管理人持有的本基金份额</w:t>
            </w:r>
          </w:p>
        </w:tc>
        <w:tc>
          <w:tcPr>
            <w:tcW w:w="950" w:type="pct"/>
            <w:vAlign w:val="center"/>
          </w:tcPr>
          <w:p>
            <w:pPr>
              <w:spacing w:line="240" w:lineRule="auto"/>
              <w:jc w:val="right"/>
            </w:pPr>
            <w:r>
              <w:rPr>
                <w:rFonts w:ascii="宋体" w:hAnsi="宋体" w:eastAsia="宋体" w:cs="宋体"/>
                <w:b w:val="0"/>
              </w:rPr>
              <w:t>5,000,583.45</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报告期期末持有的本基金份额占基金总份额比例（%）</w:t>
            </w:r>
          </w:p>
        </w:tc>
        <w:tc>
          <w:tcPr>
            <w:tcW w:w="950" w:type="pct"/>
            <w:vAlign w:val="center"/>
          </w:tcPr>
          <w:p>
            <w:pPr>
              <w:spacing w:line="240" w:lineRule="auto"/>
              <w:jc w:val="right"/>
            </w:pPr>
            <w:r>
              <w:rPr>
                <w:rFonts w:ascii="宋体" w:hAnsi="宋体" w:eastAsia="宋体" w:cs="宋体"/>
                <w:b w:val="0"/>
              </w:rPr>
              <w:t>1.01</w:t>
            </w:r>
          </w:p>
        </w:tc>
        <w:tc>
          <w:tcPr>
            <w:tcW w:w="950" w:type="pct"/>
            <w:vAlign w:val="center"/>
          </w:tcPr>
          <w:p>
            <w:pPr>
              <w:spacing w:line="240" w:lineRule="auto"/>
              <w:jc w:val="right"/>
            </w:pPr>
            <w:r>
              <w:rPr>
                <w:rFonts w:ascii="宋体" w:hAnsi="宋体" w:eastAsia="宋体" w:cs="宋体"/>
                <w:b w:val="0"/>
              </w:rPr>
              <w:t>-</w:t>
            </w:r>
          </w:p>
        </w:tc>
      </w:tr>
    </w:tbl>
    <w:p>
      <w:r>
        <w:rPr>
          <w:rFonts w:ascii="宋体" w:hAnsi="宋体" w:eastAsia="宋体" w:cs="宋体"/>
          <w:b w:val="0"/>
        </w:rPr>
        <w:t>注：报告期期末持有的本基金份额占基金总份额比例的分母采用期末基金份额总额，不区分下属不同类别基金。</w:t>
      </w:r>
    </w:p>
    <w:p/>
    <w:p>
      <w:pPr>
        <w:pStyle w:val="3"/>
        <w:jc w:val="left"/>
      </w:pPr>
      <w:r>
        <w:rPr>
          <w:rFonts w:ascii="宋体" w:hAnsi="宋体" w:eastAsia="宋体" w:cs="宋体"/>
        </w:rPr>
        <w:t>7.2 基金管理人运用固有资金投资本基金交易明细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497"/>
        <w:gridCol w:w="1498"/>
        <w:gridCol w:w="1798"/>
        <w:gridCol w:w="1798"/>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交易方式</w:t>
            </w:r>
          </w:p>
        </w:tc>
        <w:tc>
          <w:tcPr>
            <w:tcW w:w="769" w:type="pct"/>
            <w:shd w:val="clear" w:color="auto" w:fill="D9D9D9"/>
            <w:vAlign w:val="center"/>
          </w:tcPr>
          <w:p>
            <w:pPr>
              <w:spacing w:line="240" w:lineRule="auto"/>
              <w:jc w:val="center"/>
            </w:pPr>
            <w:r>
              <w:rPr>
                <w:rFonts w:ascii="宋体" w:hAnsi="宋体" w:eastAsia="宋体" w:cs="宋体"/>
                <w:b w:val="0"/>
              </w:rPr>
              <w:t>交易日期</w:t>
            </w:r>
          </w:p>
        </w:tc>
        <w:tc>
          <w:tcPr>
            <w:tcW w:w="923" w:type="pct"/>
            <w:shd w:val="clear" w:color="auto" w:fill="D9D9D9"/>
            <w:vAlign w:val="center"/>
          </w:tcPr>
          <w:p>
            <w:pPr>
              <w:spacing w:line="240" w:lineRule="auto"/>
              <w:jc w:val="center"/>
            </w:pPr>
            <w:r>
              <w:rPr>
                <w:rFonts w:ascii="宋体" w:hAnsi="宋体" w:eastAsia="宋体" w:cs="宋体"/>
                <w:b w:val="0"/>
              </w:rPr>
              <w:t>交易份额（份）</w:t>
            </w:r>
          </w:p>
        </w:tc>
        <w:tc>
          <w:tcPr>
            <w:tcW w:w="923" w:type="pct"/>
            <w:shd w:val="clear" w:color="auto" w:fill="D9D9D9"/>
            <w:vAlign w:val="center"/>
          </w:tcPr>
          <w:p>
            <w:pPr>
              <w:spacing w:line="240" w:lineRule="auto"/>
              <w:jc w:val="center"/>
            </w:pPr>
            <w:r>
              <w:rPr>
                <w:rFonts w:ascii="宋体" w:hAnsi="宋体" w:eastAsia="宋体" w:cs="宋体"/>
                <w:b w:val="0"/>
              </w:rPr>
              <w:t>交易金额 （元）</w:t>
            </w:r>
          </w:p>
        </w:tc>
        <w:tc>
          <w:tcPr>
            <w:tcW w:w="769" w:type="pct"/>
            <w:shd w:val="clear" w:color="auto" w:fill="D9D9D9"/>
            <w:vAlign w:val="center"/>
          </w:tcPr>
          <w:p>
            <w:pPr>
              <w:spacing w:line="240" w:lineRule="auto"/>
              <w:jc w:val="center"/>
            </w:pPr>
            <w:r>
              <w:rPr>
                <w:rFonts w:ascii="宋体" w:hAnsi="宋体" w:eastAsia="宋体" w:cs="宋体"/>
                <w:b w:val="0"/>
              </w:rPr>
              <w:t>适用费率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认购结果</w:t>
            </w:r>
          </w:p>
        </w:tc>
        <w:tc>
          <w:tcPr>
            <w:tcW w:w="0" w:type="dxa"/>
            <w:vAlign w:val="center"/>
          </w:tcPr>
          <w:p>
            <w:pPr>
              <w:spacing w:line="240" w:lineRule="auto"/>
              <w:jc w:val="center"/>
            </w:pPr>
            <w:r>
              <w:rPr>
                <w:rFonts w:ascii="宋体" w:hAnsi="宋体" w:eastAsia="宋体" w:cs="宋体"/>
                <w:b w:val="0"/>
              </w:rPr>
              <w:t>2025-10-17</w:t>
            </w:r>
          </w:p>
        </w:tc>
        <w:tc>
          <w:tcPr>
            <w:tcW w:w="0" w:type="dxa"/>
            <w:vAlign w:val="center"/>
          </w:tcPr>
          <w:p>
            <w:pPr>
              <w:spacing w:line="240" w:lineRule="auto"/>
              <w:jc w:val="right"/>
            </w:pPr>
            <w:r>
              <w:rPr>
                <w:rFonts w:ascii="宋体" w:hAnsi="宋体" w:eastAsia="宋体" w:cs="宋体"/>
                <w:b w:val="0"/>
              </w:rPr>
              <w:t>5,000,583.45</w:t>
            </w:r>
          </w:p>
        </w:tc>
        <w:tc>
          <w:tcPr>
            <w:tcW w:w="0" w:type="dxa"/>
            <w:vAlign w:val="center"/>
          </w:tcPr>
          <w:p>
            <w:pPr>
              <w:spacing w:line="240" w:lineRule="auto"/>
              <w:jc w:val="right"/>
            </w:pPr>
            <w:r>
              <w:rPr>
                <w:rFonts w:ascii="宋体" w:hAnsi="宋体" w:eastAsia="宋体" w:cs="宋体"/>
                <w:b w:val="0"/>
              </w:rPr>
              <w:t>5,000,000.00</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left"/>
            </w:pP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5,000,583.45</w:t>
            </w:r>
          </w:p>
        </w:tc>
        <w:tc>
          <w:tcPr>
            <w:tcW w:w="0" w:type="dxa"/>
            <w:vAlign w:val="center"/>
          </w:tcPr>
          <w:p>
            <w:pPr>
              <w:spacing w:line="240" w:lineRule="auto"/>
              <w:jc w:val="right"/>
            </w:pPr>
            <w:r>
              <w:rPr>
                <w:rFonts w:ascii="宋体" w:hAnsi="宋体" w:eastAsia="宋体" w:cs="宋体"/>
                <w:b w:val="0"/>
              </w:rPr>
              <w:t>5,000,000.00</w:t>
            </w:r>
          </w:p>
        </w:tc>
        <w:tc>
          <w:tcPr>
            <w:tcW w:w="0" w:type="dxa"/>
            <w:vAlign w:val="center"/>
          </w:tcPr>
          <w:p>
            <w:pPr>
              <w:spacing w:line="240" w:lineRule="auto"/>
              <w:jc w:val="left"/>
            </w:pPr>
          </w:p>
        </w:tc>
      </w:tr>
    </w:tbl>
    <w:p>
      <w:r>
        <w:rPr>
          <w:rFonts w:ascii="宋体" w:hAnsi="宋体" w:eastAsia="宋体" w:cs="宋体"/>
          <w:b w:val="0"/>
        </w:rPr>
        <w:t>注：本基金管理人此项认购本基金适用的费用为1000.00元。</w:t>
      </w:r>
    </w:p>
    <w:p>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581"/>
        <w:gridCol w:w="1138"/>
        <w:gridCol w:w="1581"/>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692" w:type="pct"/>
            <w:shd w:val="clear" w:color="auto" w:fill="D9D9D9"/>
            <w:vAlign w:val="center"/>
          </w:tcPr>
          <w:p>
            <w:pPr>
              <w:spacing w:line="240" w:lineRule="auto"/>
              <w:jc w:val="center"/>
            </w:pPr>
            <w:r>
              <w:rPr>
                <w:rFonts w:ascii="宋体" w:hAnsi="宋体" w:eastAsia="宋体" w:cs="宋体"/>
                <w:b w:val="0"/>
              </w:rPr>
              <w:t>持有份额总数</w:t>
            </w:r>
          </w:p>
        </w:tc>
        <w:tc>
          <w:tcPr>
            <w:tcW w:w="692" w:type="pct"/>
            <w:shd w:val="clear" w:color="auto" w:fill="D9D9D9"/>
            <w:vAlign w:val="center"/>
          </w:tcPr>
          <w:p>
            <w:pPr>
              <w:spacing w:line="240" w:lineRule="auto"/>
              <w:jc w:val="center"/>
            </w:pPr>
            <w:r>
              <w:rPr>
                <w:rFonts w:ascii="宋体" w:hAnsi="宋体" w:eastAsia="宋体" w:cs="宋体"/>
                <w:b w:val="0"/>
              </w:rPr>
              <w:t>持有份额占基金总份额比例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发起份额总数</w:t>
            </w:r>
          </w:p>
        </w:tc>
        <w:tc>
          <w:tcPr>
            <w:tcW w:w="692" w:type="pct"/>
            <w:shd w:val="clear" w:color="auto" w:fill="D9D9D9"/>
            <w:vAlign w:val="center"/>
          </w:tcPr>
          <w:p>
            <w:pPr>
              <w:spacing w:line="240" w:lineRule="auto"/>
              <w:jc w:val="center"/>
            </w:pPr>
            <w:r>
              <w:rPr>
                <w:rFonts w:ascii="宋体" w:hAnsi="宋体" w:eastAsia="宋体" w:cs="宋体"/>
                <w:b w:val="0"/>
              </w:rPr>
              <w:t>发起份额占基金总份额比例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发起份额承诺持有期限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基金管理人固有资金</w:t>
            </w:r>
          </w:p>
        </w:tc>
        <w:tc>
          <w:tcPr>
            <w:tcW w:w="0" w:type="dxa"/>
            <w:vAlign w:val="center"/>
          </w:tcPr>
          <w:p>
            <w:pPr>
              <w:spacing w:line="240" w:lineRule="auto"/>
              <w:jc w:val="right"/>
            </w:pPr>
            <w:r>
              <w:rPr>
                <w:rFonts w:ascii="宋体" w:hAnsi="宋体" w:eastAsia="宋体" w:cs="宋体"/>
                <w:b w:val="0"/>
              </w:rPr>
              <w:t>5,000,583.45</w:t>
            </w:r>
          </w:p>
        </w:tc>
        <w:tc>
          <w:tcPr>
            <w:tcW w:w="0" w:type="dxa"/>
            <w:vAlign w:val="center"/>
          </w:tcPr>
          <w:p>
            <w:pPr>
              <w:spacing w:line="240" w:lineRule="auto"/>
              <w:jc w:val="right"/>
            </w:pPr>
            <w:r>
              <w:rPr>
                <w:rFonts w:ascii="宋体" w:hAnsi="宋体" w:eastAsia="宋体" w:cs="宋体"/>
                <w:b w:val="0"/>
              </w:rPr>
              <w:t>1.01%</w:t>
            </w:r>
          </w:p>
        </w:tc>
        <w:tc>
          <w:tcPr>
            <w:tcW w:w="0" w:type="dxa"/>
            <w:vAlign w:val="center"/>
          </w:tcPr>
          <w:p>
            <w:pPr>
              <w:spacing w:line="240" w:lineRule="auto"/>
              <w:jc w:val="right"/>
            </w:pPr>
            <w:r>
              <w:rPr>
                <w:rFonts w:ascii="宋体" w:hAnsi="宋体" w:eastAsia="宋体" w:cs="宋体"/>
                <w:b w:val="0"/>
              </w:rPr>
              <w:t>5,000,583.45</w:t>
            </w:r>
          </w:p>
        </w:tc>
        <w:tc>
          <w:tcPr>
            <w:tcW w:w="0" w:type="dxa"/>
            <w:vAlign w:val="center"/>
          </w:tcPr>
          <w:p>
            <w:pPr>
              <w:spacing w:line="240" w:lineRule="auto"/>
              <w:jc w:val="right"/>
            </w:pPr>
            <w:r>
              <w:rPr>
                <w:rFonts w:ascii="宋体" w:hAnsi="宋体" w:eastAsia="宋体" w:cs="宋体"/>
                <w:b w:val="0"/>
              </w:rPr>
              <w:t>1.01%</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left"/>
            </w:pPr>
            <w:r>
              <w:rPr>
                <w:rFonts w:ascii="宋体" w:hAnsi="宋体" w:eastAsia="宋体" w:cs="宋体"/>
                <w:b w:val="0"/>
              </w:rPr>
              <w:t>基金管理人高级管理人员</w:t>
            </w:r>
          </w:p>
        </w:tc>
        <w:tc>
          <w:tcPr>
            <w:tcW w:w="0" w:type="dxa"/>
            <w:vAlign w:val="center"/>
          </w:tcPr>
          <w:p>
            <w:pPr>
              <w:spacing w:line="240" w:lineRule="auto"/>
              <w:jc w:val="right"/>
            </w:pPr>
            <w:r>
              <w:rPr>
                <w:rFonts w:ascii="宋体" w:hAnsi="宋体" w:eastAsia="宋体" w:cs="宋体"/>
                <w:b w:val="0"/>
              </w:rPr>
              <w:t>4,502,163.68</w:t>
            </w:r>
          </w:p>
        </w:tc>
        <w:tc>
          <w:tcPr>
            <w:tcW w:w="0" w:type="dxa"/>
            <w:vAlign w:val="center"/>
          </w:tcPr>
          <w:p>
            <w:pPr>
              <w:spacing w:line="240" w:lineRule="auto"/>
              <w:jc w:val="right"/>
            </w:pPr>
            <w:r>
              <w:rPr>
                <w:rFonts w:ascii="宋体" w:hAnsi="宋体" w:eastAsia="宋体" w:cs="宋体"/>
                <w:b w:val="0"/>
              </w:rPr>
              <w:t>0.91%</w:t>
            </w:r>
          </w:p>
        </w:tc>
        <w:tc>
          <w:tcPr>
            <w:tcW w:w="0" w:type="dxa"/>
            <w:vAlign w:val="center"/>
          </w:tcPr>
          <w:p>
            <w:pPr>
              <w:spacing w:line="240" w:lineRule="auto"/>
              <w:jc w:val="right"/>
            </w:pPr>
            <w:r>
              <w:rPr>
                <w:rFonts w:ascii="宋体" w:hAnsi="宋体" w:eastAsia="宋体" w:cs="宋体"/>
                <w:b w:val="0"/>
              </w:rPr>
              <w:t>4,502,163.68</w:t>
            </w:r>
          </w:p>
        </w:tc>
        <w:tc>
          <w:tcPr>
            <w:tcW w:w="0" w:type="dxa"/>
            <w:vAlign w:val="center"/>
          </w:tcPr>
          <w:p>
            <w:pPr>
              <w:spacing w:line="240" w:lineRule="auto"/>
              <w:jc w:val="right"/>
            </w:pPr>
            <w:r>
              <w:rPr>
                <w:rFonts w:ascii="宋体" w:hAnsi="宋体" w:eastAsia="宋体" w:cs="宋体"/>
                <w:b w:val="0"/>
              </w:rPr>
              <w:t>0.91%</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基金经理等人员</w:t>
            </w:r>
          </w:p>
        </w:tc>
        <w:tc>
          <w:tcPr>
            <w:tcW w:w="0" w:type="dxa"/>
            <w:vAlign w:val="center"/>
          </w:tcPr>
          <w:p>
            <w:pPr>
              <w:spacing w:line="240" w:lineRule="auto"/>
              <w:jc w:val="right"/>
            </w:pPr>
            <w:r>
              <w:rPr>
                <w:rFonts w:ascii="宋体" w:hAnsi="宋体" w:eastAsia="宋体" w:cs="宋体"/>
                <w:b w:val="0"/>
              </w:rPr>
              <w:t>509,448.23</w:t>
            </w:r>
          </w:p>
        </w:tc>
        <w:tc>
          <w:tcPr>
            <w:tcW w:w="0" w:type="dxa"/>
            <w:vAlign w:val="center"/>
          </w:tcPr>
          <w:p>
            <w:pPr>
              <w:spacing w:line="240" w:lineRule="auto"/>
              <w:jc w:val="right"/>
            </w:pPr>
            <w:r>
              <w:rPr>
                <w:rFonts w:ascii="宋体" w:hAnsi="宋体" w:eastAsia="宋体" w:cs="宋体"/>
                <w:b w:val="0"/>
              </w:rPr>
              <w:t>0.10%</w:t>
            </w:r>
          </w:p>
        </w:tc>
        <w:tc>
          <w:tcPr>
            <w:tcW w:w="0" w:type="dxa"/>
            <w:vAlign w:val="center"/>
          </w:tcPr>
          <w:p>
            <w:pPr>
              <w:spacing w:line="240" w:lineRule="auto"/>
              <w:jc w:val="right"/>
            </w:pPr>
            <w:r>
              <w:rPr>
                <w:rFonts w:ascii="宋体" w:hAnsi="宋体" w:eastAsia="宋体" w:cs="宋体"/>
                <w:b w:val="0"/>
              </w:rPr>
              <w:t>509,448.23</w:t>
            </w:r>
          </w:p>
        </w:tc>
        <w:tc>
          <w:tcPr>
            <w:tcW w:w="0" w:type="dxa"/>
            <w:vAlign w:val="center"/>
          </w:tcPr>
          <w:p>
            <w:pPr>
              <w:spacing w:line="240" w:lineRule="auto"/>
              <w:jc w:val="right"/>
            </w:pPr>
            <w:r>
              <w:rPr>
                <w:rFonts w:ascii="宋体" w:hAnsi="宋体" w:eastAsia="宋体" w:cs="宋体"/>
                <w:b w:val="0"/>
              </w:rPr>
              <w:t>0.10%</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基金管理人股东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10,012,195.36</w:t>
            </w:r>
          </w:p>
        </w:tc>
        <w:tc>
          <w:tcPr>
            <w:tcW w:w="0" w:type="dxa"/>
            <w:vAlign w:val="center"/>
          </w:tcPr>
          <w:p>
            <w:pPr>
              <w:spacing w:line="240" w:lineRule="auto"/>
              <w:jc w:val="right"/>
            </w:pPr>
            <w:r>
              <w:rPr>
                <w:rFonts w:ascii="宋体" w:hAnsi="宋体" w:eastAsia="宋体" w:cs="宋体"/>
                <w:b w:val="0"/>
              </w:rPr>
              <w:t>2.02%</w:t>
            </w:r>
          </w:p>
        </w:tc>
        <w:tc>
          <w:tcPr>
            <w:tcW w:w="0" w:type="dxa"/>
            <w:vAlign w:val="center"/>
          </w:tcPr>
          <w:p>
            <w:pPr>
              <w:spacing w:line="240" w:lineRule="auto"/>
              <w:jc w:val="right"/>
            </w:pPr>
            <w:r>
              <w:rPr>
                <w:rFonts w:ascii="宋体" w:hAnsi="宋体" w:eastAsia="宋体" w:cs="宋体"/>
                <w:b w:val="0"/>
              </w:rPr>
              <w:t>10,012,195.36</w:t>
            </w:r>
          </w:p>
        </w:tc>
        <w:tc>
          <w:tcPr>
            <w:tcW w:w="0" w:type="dxa"/>
            <w:vAlign w:val="center"/>
          </w:tcPr>
          <w:p>
            <w:pPr>
              <w:spacing w:line="240" w:lineRule="auto"/>
              <w:jc w:val="right"/>
            </w:pPr>
            <w:r>
              <w:rPr>
                <w:rFonts w:ascii="宋体" w:hAnsi="宋体" w:eastAsia="宋体" w:cs="宋体"/>
                <w:b w:val="0"/>
              </w:rPr>
              <w:t>2.02%</w:t>
            </w:r>
          </w:p>
        </w:tc>
        <w:tc>
          <w:tcPr>
            <w:tcW w:w="0" w:type="dxa"/>
            <w:vAlign w:val="center"/>
          </w:tcPr>
          <w:p>
            <w:pPr>
              <w:spacing w:line="240" w:lineRule="auto"/>
              <w:jc w:val="left"/>
            </w:pPr>
            <w:r>
              <w:rPr>
                <w:rFonts w:ascii="宋体" w:hAnsi="宋体" w:eastAsia="宋体" w:cs="宋体"/>
                <w:b w:val="0"/>
              </w:rPr>
              <w:t>-</w:t>
            </w:r>
          </w:p>
        </w:tc>
      </w:tr>
    </w:tbl>
    <w:p>
      <w:pPr>
        <w:pStyle w:val="2"/>
        <w:spacing w:line="240" w:lineRule="auto"/>
        <w:jc w:val="center"/>
      </w:pPr>
      <w:r>
        <w:rPr>
          <w:rFonts w:ascii="宋体" w:hAnsi="宋体" w:eastAsia="宋体" w:cs="宋体"/>
        </w:rPr>
        <w:t>§9 影响投资者决策的其他重要信息</w:t>
      </w:r>
    </w:p>
    <w:p>
      <w:pPr>
        <w:pStyle w:val="3"/>
        <w:spacing w:line="240" w:lineRule="auto"/>
        <w:jc w:val="left"/>
      </w:pPr>
      <w:r>
        <w:rPr>
          <w:rFonts w:ascii="宋体" w:hAnsi="宋体" w:eastAsia="宋体" w:cs="宋体"/>
        </w:rPr>
        <w:t>9.1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425"/>
        <w:gridCol w:w="1476"/>
        <w:gridCol w:w="1067"/>
        <w:gridCol w:w="1067"/>
        <w:gridCol w:w="1476"/>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pPr>
              <w:spacing w:line="240" w:lineRule="auto"/>
              <w:jc w:val="center"/>
            </w:pPr>
            <w:r>
              <w:rPr>
                <w:rFonts w:ascii="宋体" w:hAnsi="宋体" w:eastAsia="宋体" w:cs="宋体"/>
                <w:b w:val="0"/>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269" w:type="pct"/>
            <w:shd w:val="clear" w:color="auto" w:fill="D9D9D9"/>
            <w:vAlign w:val="center"/>
          </w:tcPr>
          <w:p>
            <w:pPr>
              <w:spacing w:line="240" w:lineRule="auto"/>
              <w:jc w:val="center"/>
            </w:pPr>
            <w:r>
              <w:rPr>
                <w:rFonts w:ascii="宋体" w:hAnsi="宋体" w:eastAsia="宋体" w:cs="宋体"/>
                <w:b w:val="0"/>
              </w:rPr>
              <w:t>序号</w:t>
            </w:r>
          </w:p>
        </w:tc>
        <w:tc>
          <w:tcPr>
            <w:tcW w:w="1346" w:type="pct"/>
            <w:shd w:val="clear" w:color="auto" w:fill="D9D9D9"/>
            <w:vAlign w:val="center"/>
          </w:tcPr>
          <w:p>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pPr>
              <w:spacing w:line="240" w:lineRule="auto"/>
              <w:jc w:val="center"/>
            </w:pPr>
            <w:r>
              <w:rPr>
                <w:rFonts w:ascii="宋体" w:hAnsi="宋体" w:eastAsia="宋体" w:cs="宋体"/>
                <w:b w:val="0"/>
              </w:rPr>
              <w:t>期初份额</w:t>
            </w:r>
          </w:p>
        </w:tc>
        <w:tc>
          <w:tcPr>
            <w:tcW w:w="615" w:type="pct"/>
            <w:shd w:val="clear" w:color="auto" w:fill="D9D9D9"/>
            <w:vAlign w:val="center"/>
          </w:tcPr>
          <w:p>
            <w:pPr>
              <w:spacing w:line="240" w:lineRule="auto"/>
              <w:jc w:val="center"/>
            </w:pPr>
            <w:r>
              <w:rPr>
                <w:rFonts w:ascii="宋体" w:hAnsi="宋体" w:eastAsia="宋体" w:cs="宋体"/>
                <w:b w:val="0"/>
              </w:rPr>
              <w:t>申购份额</w:t>
            </w:r>
          </w:p>
        </w:tc>
        <w:tc>
          <w:tcPr>
            <w:tcW w:w="615" w:type="pct"/>
            <w:shd w:val="clear" w:color="auto" w:fill="D9D9D9"/>
            <w:vAlign w:val="center"/>
          </w:tcPr>
          <w:p>
            <w:pPr>
              <w:spacing w:line="240" w:lineRule="auto"/>
              <w:jc w:val="center"/>
            </w:pPr>
            <w:r>
              <w:rPr>
                <w:rFonts w:ascii="宋体" w:hAnsi="宋体" w:eastAsia="宋体" w:cs="宋体"/>
                <w:b w:val="0"/>
              </w:rPr>
              <w:t>赎回份额</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538" w:type="pct"/>
            <w:shd w:val="clear" w:color="auto" w:fill="D9D9D9"/>
            <w:vAlign w:val="center"/>
          </w:tcPr>
          <w:p>
            <w:pPr>
              <w:spacing w:line="240" w:lineRule="auto"/>
              <w:jc w:val="center"/>
            </w:pPr>
            <w:r>
              <w:rPr>
                <w:rFonts w:ascii="宋体" w:hAnsi="宋体" w:eastAsia="宋体" w:cs="宋体"/>
                <w:b w:val="0"/>
              </w:rPr>
              <w:t>份额占比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机构</w:t>
            </w:r>
          </w:p>
        </w:tc>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center"/>
              <w:rPr>
                <w:rFonts w:ascii="宋体" w:hAnsi="宋体" w:eastAsia="宋体" w:cs="宋体"/>
                <w:b w:val="0"/>
              </w:rPr>
            </w:pPr>
            <w:r>
              <w:rPr>
                <w:rFonts w:ascii="宋体" w:hAnsi="宋体" w:eastAsia="宋体" w:cs="宋体"/>
                <w:b w:val="0"/>
              </w:rPr>
              <w:t>2025年10月21日-</w:t>
            </w:r>
          </w:p>
          <w:p>
            <w:pPr>
              <w:spacing w:line="240" w:lineRule="auto"/>
              <w:jc w:val="center"/>
            </w:pPr>
            <w:r>
              <w:rPr>
                <w:rFonts w:ascii="宋体" w:hAnsi="宋体" w:eastAsia="宋体" w:cs="宋体"/>
                <w:b w:val="0"/>
              </w:rPr>
              <w:t>2025年11月18日</w:t>
            </w:r>
          </w:p>
        </w:tc>
        <w:tc>
          <w:tcPr>
            <w:tcW w:w="0" w:type="dxa"/>
            <w:vAlign w:val="center"/>
          </w:tcPr>
          <w:p>
            <w:pPr>
              <w:spacing w:line="240" w:lineRule="auto"/>
              <w:jc w:val="right"/>
            </w:pPr>
            <w:r>
              <w:rPr>
                <w:rFonts w:ascii="宋体" w:hAnsi="宋体" w:eastAsia="宋体" w:cs="宋体"/>
                <w:b w:val="0"/>
              </w:rPr>
              <w:t>5,000,583.45</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5,000,583.45</w:t>
            </w:r>
          </w:p>
        </w:tc>
        <w:tc>
          <w:tcPr>
            <w:tcW w:w="0" w:type="dxa"/>
            <w:vAlign w:val="center"/>
          </w:tcPr>
          <w:p>
            <w:pPr>
              <w:spacing w:line="240" w:lineRule="auto"/>
              <w:jc w:val="right"/>
            </w:pPr>
            <w:r>
              <w:rPr>
                <w:rFonts w:ascii="宋体" w:hAnsi="宋体" w:eastAsia="宋体" w:cs="宋体"/>
                <w:b w:val="0"/>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gridSpan w:val="8"/>
            <w:vAlign w:val="center"/>
          </w:tcPr>
          <w:p>
            <w:pPr>
              <w:spacing w:line="240" w:lineRule="auto"/>
              <w:jc w:val="center"/>
            </w:pPr>
            <w:r>
              <w:rPr>
                <w:rFonts w:ascii="宋体" w:hAnsi="宋体" w:eastAsia="宋体" w:cs="宋体"/>
                <w:b w:val="0"/>
              </w:rPr>
              <w:t>产品特有风险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spacing w:line="240" w:lineRule="auto"/>
        <w:jc w:val="center"/>
      </w:pPr>
      <w:bookmarkStart w:id="1" w:name="_GoBack"/>
      <w:r>
        <w:rPr>
          <w:rFonts w:ascii="宋体" w:hAnsi="宋体" w:eastAsia="宋体" w:cs="宋体"/>
        </w:rPr>
        <w:t>§10 备查文件目录</w:t>
      </w:r>
    </w:p>
    <w:p>
      <w:pPr>
        <w:pStyle w:val="3"/>
        <w:spacing w:line="240" w:lineRule="auto"/>
        <w:jc w:val="left"/>
      </w:pPr>
      <w:r>
        <w:rPr>
          <w:rFonts w:ascii="宋体" w:hAnsi="宋体" w:eastAsia="宋体" w:cs="宋体"/>
        </w:rPr>
        <w:t>10.1 备查文件目录</w:t>
      </w:r>
    </w:p>
    <w:p>
      <w:pPr>
        <w:spacing w:line="240" w:lineRule="auto"/>
      </w:pPr>
      <w:r>
        <w:rPr>
          <w:rFonts w:ascii="宋体" w:hAnsi="宋体" w:eastAsia="宋体" w:cs="宋体"/>
          <w:b w:val="0"/>
        </w:rPr>
        <w:t xml:space="preserve">    1、中国证券监督管理委员会批准的东方阿尔法瑞享混合型发起式证券投资基金设立的文件；</w:t>
      </w:r>
      <w:r>
        <w:rPr>
          <w:rFonts w:ascii="宋体" w:hAnsi="宋体" w:eastAsia="宋体" w:cs="宋体"/>
          <w:b w:val="0"/>
        </w:rPr>
        <w:cr/>
      </w:r>
      <w:r>
        <w:rPr>
          <w:rFonts w:ascii="宋体" w:hAnsi="宋体" w:eastAsia="宋体" w:cs="宋体"/>
          <w:b w:val="0"/>
        </w:rPr>
        <w:t xml:space="preserve">    2、《东方阿尔法瑞享混合型发起式证券投资基金基金合同》；</w:t>
      </w:r>
      <w:r>
        <w:rPr>
          <w:rFonts w:ascii="宋体" w:hAnsi="宋体" w:eastAsia="宋体" w:cs="宋体"/>
          <w:b w:val="0"/>
        </w:rPr>
        <w:cr/>
      </w:r>
      <w:r>
        <w:rPr>
          <w:rFonts w:ascii="宋体" w:hAnsi="宋体" w:eastAsia="宋体" w:cs="宋体"/>
          <w:b w:val="0"/>
        </w:rPr>
        <w:t xml:space="preserve">    3、《东方阿尔法瑞享混合型发起式证券投资基金托管协议》；</w:t>
      </w:r>
      <w:r>
        <w:rPr>
          <w:rFonts w:ascii="宋体" w:hAnsi="宋体" w:eastAsia="宋体" w:cs="宋体"/>
          <w:b w:val="0"/>
        </w:rPr>
        <w:cr/>
      </w:r>
      <w:r>
        <w:rPr>
          <w:rFonts w:ascii="宋体" w:hAnsi="宋体" w:eastAsia="宋体" w:cs="宋体"/>
          <w:b w:val="0"/>
        </w:rPr>
        <w:t xml:space="preserve">    4、《东方阿尔法瑞享混合型发起式证券投资基金招募说明书》（含更新）；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bookmarkEnd w:id="1"/>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二〇二六年一月十六日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东方阿尔法瑞享混合型发起式证券投资基金2025年第4季度报告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5AA4703"/>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2026-01-15T01:21:25Z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