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东方阿尔法优势产业混合型发起式证券投资基金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2025年第4季度报告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2025年12月31日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2026年01月16日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基金托管人招商银行股份有限公司根据本基金合同规定，于2026年01月15日复核了本报告中的财务指标、净值表现和投资组合报告等内容，保证复核内容不存在虚假记载、误导性陈述或者重大遗漏。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本报告期自2025年10月01日起至2025年12月31日止。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东方阿尔法优势产业混合</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009644</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2020年06月28日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1,444,723,815.14份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本基金的投资策略主要有以下8个方面内容：</w:t>
              <w:br/>
            </w:r>
            <w:r>
              <w:rPr>
                <w:rFonts w:ascii="宋体" w:hAnsi="宋体" w:cs="宋体" w:eastAsia="宋体"/>
                <w:b w:val="false"/>
              </w:rPr>
              <w:t>1、大类资产配置策略</w:t>
              <w:br/>
            </w:r>
            <w:r>
              <w:rPr>
                <w:rFonts w:ascii="宋体" w:hAnsi="宋体" w:cs="宋体" w:eastAsia="宋体"/>
                <w:b w:val="false"/>
              </w:rPr>
              <w:t>本基金采用自上而下的方法进行大类资产配置，通过对宏观经济、政策环境、证券市场走势的跟踪和综合分析，进行前瞻性的战略判断，合理确定基金在股票、债券、现金等各类别资产中的投资比例，并适时进行动态调整。</w:t>
              <w:br/>
            </w:r>
            <w:r>
              <w:rPr>
                <w:rFonts w:ascii="宋体" w:hAnsi="宋体" w:cs="宋体" w:eastAsia="宋体"/>
                <w:b w:val="false"/>
              </w:rPr>
              <w:t>2、股票投资策略</w:t>
              <w:br/>
            </w:r>
            <w:r>
              <w:rPr>
                <w:rFonts w:ascii="宋体" w:hAnsi="宋体" w:cs="宋体" w:eastAsia="宋体"/>
                <w:b w:val="false"/>
              </w:rPr>
              <w:t>本基金采用自上而下行业配置和自下而上个股精选相结合的股票投资策略，精选行业和公司。并通过深入研究宏观经济转型、产业结构转型背景下的产业升级与变革，对受益于国家经济转型和政策环境改变的相关产业中的上市公司进行系统分析，从定性和定量结合的角度综合分析其成长性和投资价值。</w:t>
              <w:br/>
            </w:r>
            <w:r>
              <w:rPr>
                <w:rFonts w:ascii="宋体" w:hAnsi="宋体" w:cs="宋体" w:eastAsia="宋体"/>
                <w:b w:val="false"/>
              </w:rPr>
              <w:t>3、存托凭证投资策略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4、债券类资产投资策略</w:t>
              <w:br/>
            </w:r>
            <w:r>
              <w:rPr>
                <w:rFonts w:ascii="宋体" w:hAnsi="宋体" w:cs="宋体" w:eastAsia="宋体"/>
                <w:b w:val="false"/>
              </w:rPr>
              <w:t>本基金的债券投资将采取较为积极的策略，通过利率预测分析、收益率曲线变动分析、债券信用分析、收益率利差分析等，研判各类属固定收益类资产的风险趋势与收益预期，精选个券进行投资。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5、股指期货投资策略</w:t>
              <w:br/>
            </w:r>
            <w:r>
              <w:rPr>
                <w:rFonts w:ascii="宋体" w:hAnsi="宋体" w:cs="宋体" w:eastAsia="宋体"/>
                <w:b w:val="false"/>
              </w:rPr>
              <w:t>本基金投资股指期货将以投资组合避险和有效管理为目的，通过套期保值策略，对冲系统性风险，应对组合构建与调整中的流动性风险，力求风险收益的优化。</w:t>
              <w:br/>
            </w:r>
            <w:r>
              <w:rPr>
                <w:rFonts w:ascii="宋体" w:hAnsi="宋体" w:cs="宋体" w:eastAsia="宋体"/>
                <w:b w:val="false"/>
              </w:rPr>
              <w:t>6、融资业务的投资策略</w:t>
              <w:br/>
            </w:r>
            <w:r>
              <w:rPr>
                <w:rFonts w:ascii="宋体" w:hAnsi="宋体" w:cs="宋体" w:eastAsia="宋体"/>
                <w:b w:val="false"/>
              </w:rPr>
              <w:t>本基金将根据相关法律法规的规定参与融资业务。本基金参与融资业务，将综合考虑融资成本、保证金比例、冲抵保证金证券折算率、信用资质等条选择合适的交易对手方。同时，在保障基金投资组合充足流动性以及有效控制融资杠杆风险的前提下，确定融资比例。</w:t>
              <w:br/>
            </w:r>
            <w:r>
              <w:rPr>
                <w:rFonts w:ascii="宋体" w:hAnsi="宋体" w:cs="宋体" w:eastAsia="宋体"/>
                <w:b w:val="false"/>
              </w:rPr>
              <w:t>7、国债期货的投资策略</w:t>
              <w:br/>
            </w:r>
            <w:r>
              <w:rPr>
                <w:rFonts w:ascii="宋体" w:hAnsi="宋体" w:cs="宋体" w:eastAsia="宋体"/>
                <w:b w:val="false"/>
              </w:rPr>
              <w:t>基金管理人将结合对宏观经济形势和政策趋势的判断、对债券市场进行定性和定量分析，构建量化分析体系，在最大限度保证基金资产安全的基础上，力求实现所资产的长期稳定增值。</w:t>
              <w:br/>
            </w:r>
            <w:r>
              <w:rPr>
                <w:rFonts w:ascii="宋体" w:hAnsi="宋体" w:cs="宋体" w:eastAsia="宋体"/>
                <w:b w:val="false"/>
              </w:rPr>
              <w:t>8、资产支持证券投资策略</w:t>
              <w:br/>
            </w:r>
            <w:r>
              <w:rPr>
                <w:rFonts w:ascii="宋体" w:hAnsi="宋体" w:cs="宋体" w:eastAsia="宋体"/>
                <w:b w:val="false"/>
              </w:rPr>
              <w:t>本基金可以投资包括资产抵押贷款支持证券(ABS)、住房抵押贷款支持证券(MBS)等在内的资产支持证券。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中证800指数收益率×70%+中证综合债券指数收益率×30%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东方阿尔法优势产业混合A</w:t>
            </w:r>
          </w:p>
        </w:tc>
        <w:tc>
          <w:tcPr>
            <w:tcW w:type="pct" w:w="1500"/>
            <w:vAlign w:val="center"/>
          </w:tcPr>
          <w:p>
            <w:pPr>
              <w:spacing w:line="240" w:lineRule="auto"/>
              <w:jc w:val="left"/>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009644</w:t>
            </w:r>
          </w:p>
        </w:tc>
        <w:tc>
          <w:tcPr>
            <w:tcW w:type="pct" w:w="1500"/>
            <w:vAlign w:val="center"/>
          </w:tcPr>
          <w:p>
            <w:pPr>
              <w:spacing w:line="240" w:lineRule="auto"/>
              <w:jc w:val="left"/>
            </w:pPr>
            <w:r>
              <w:rPr>
                <w:rFonts w:ascii="宋体" w:hAnsi="宋体" w:cs="宋体" w:eastAsia="宋体"/>
                <w:b w:val="false"/>
              </w:rPr>
              <w:t>009645</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764,522,533.40份</w:t>
            </w:r>
          </w:p>
        </w:tc>
        <w:tc>
          <w:tcPr>
            <w:tcW w:type="pct" w:w="1500"/>
            <w:vAlign w:val="center"/>
          </w:tcPr>
          <w:p>
            <w:pPr>
              <w:spacing w:line="240" w:lineRule="auto"/>
              <w:jc w:val="left"/>
            </w:pPr>
            <w:r>
              <w:rPr>
                <w:rFonts w:ascii="宋体" w:hAnsi="宋体" w:cs="宋体" w:eastAsia="宋体"/>
                <w:b w:val="false"/>
              </w:rPr>
              <w:t>680,201,281.74份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报告期（2025年10月01日-2025年12月31日）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东方阿尔法优势产业混合A</w:t>
            </w:r>
          </w:p>
        </w:tc>
        <w:tc>
          <w:tcPr>
            <w:tcW w:type="pct" w:w="1500"/>
            <w:vAlign w:val="center"/>
          </w:tcPr>
          <w:tcPr>
            <w:shd w:fill="d9d9d9"/>
          </w:tcPr>
          <w:p>
            <w:pPr>
              <w:spacing w:line="240" w:lineRule="auto"/>
              <w:jc w:val="center"/>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486,031,575.67</w:t>
            </w:r>
          </w:p>
        </w:tc>
        <w:tc>
          <w:tcPr>
            <w:tcW w:type="pct" w:w="1500"/>
            <w:vAlign w:val="center"/>
          </w:tcPr>
          <w:p>
            <w:pPr>
              <w:spacing w:line="240" w:lineRule="auto"/>
              <w:jc w:val="right"/>
            </w:pPr>
            <w:r>
              <w:rPr>
                <w:rFonts w:ascii="宋体" w:hAnsi="宋体" w:cs="宋体" w:eastAsia="宋体"/>
                <w:b w:val="false"/>
              </w:rPr>
              <w:t>452,776,216.05</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695,133.04</w:t>
            </w:r>
          </w:p>
        </w:tc>
        <w:tc>
          <w:tcPr>
            <w:tcW w:type="pct" w:w="1500"/>
            <w:vAlign w:val="center"/>
          </w:tcPr>
          <w:p>
            <w:pPr>
              <w:spacing w:line="240" w:lineRule="auto"/>
              <w:jc w:val="right"/>
            </w:pPr>
            <w:r>
              <w:rPr>
                <w:rFonts w:ascii="宋体" w:hAnsi="宋体" w:cs="宋体" w:eastAsia="宋体"/>
                <w:b w:val="false"/>
              </w:rPr>
              <w:t>-11,005,721.27</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0.0008</w:t>
            </w:r>
          </w:p>
        </w:tc>
        <w:tc>
          <w:tcPr>
            <w:tcW w:type="pct" w:w="1500"/>
            <w:vAlign w:val="center"/>
          </w:tcPr>
          <w:p>
            <w:pPr>
              <w:spacing w:line="240" w:lineRule="auto"/>
              <w:jc w:val="right"/>
            </w:pPr>
            <w:r>
              <w:rPr>
                <w:rFonts w:ascii="宋体" w:hAnsi="宋体" w:cs="宋体" w:eastAsia="宋体"/>
                <w:b w:val="false"/>
              </w:rPr>
              <w:t>-0.0133</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1,593,821,357.27</w:t>
            </w:r>
          </w:p>
        </w:tc>
        <w:tc>
          <w:tcPr>
            <w:tcW w:type="pct" w:w="1500"/>
            <w:vAlign w:val="center"/>
          </w:tcPr>
          <w:p>
            <w:pPr>
              <w:spacing w:line="240" w:lineRule="auto"/>
              <w:jc w:val="right"/>
            </w:pPr>
            <w:r>
              <w:rPr>
                <w:rFonts w:ascii="宋体" w:hAnsi="宋体" w:cs="宋体" w:eastAsia="宋体"/>
                <w:b w:val="false"/>
              </w:rPr>
              <w:t>1,379,568,967.36</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2.0847</w:t>
            </w:r>
          </w:p>
        </w:tc>
        <w:tc>
          <w:tcPr>
            <w:tcW w:type="pct" w:w="1500"/>
            <w:vAlign w:val="center"/>
          </w:tcPr>
          <w:p>
            <w:pPr>
              <w:spacing w:line="240" w:lineRule="auto"/>
              <w:jc w:val="right"/>
            </w:pPr>
            <w:r>
              <w:rPr>
                <w:rFonts w:ascii="宋体" w:hAnsi="宋体" w:cs="宋体" w:eastAsia="宋体"/>
                <w:b w:val="false"/>
              </w:rPr>
              <w:t>2.0282</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c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东方阿尔法优势产业混合A净值表现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0.50%</w:t>
            </w:r>
          </w:p>
        </w:tc>
        <w:tc>
          <w:tcPr>
            <w:tcW/>
            <w:vAlign w:val="center"/>
          </w:tcPr>
          <w:p>
            <w:pPr>
              <w:spacing w:line="240" w:lineRule="auto"/>
              <w:jc w:val="right"/>
            </w:pPr>
            <w:r>
              <w:rPr>
                <w:rFonts w:ascii="宋体" w:hAnsi="宋体" w:cs="宋体" w:eastAsia="宋体"/>
                <w:b w:val="false"/>
              </w:rPr>
              <w:t>3.00%</w:t>
            </w:r>
          </w:p>
        </w:tc>
        <w:tc>
          <w:tcPr>
            <w:tcW/>
            <w:vAlign w:val="center"/>
          </w:tcPr>
          <w:p>
            <w:pPr>
              <w:spacing w:line="240" w:lineRule="auto"/>
              <w:jc w:val="right"/>
            </w:pPr>
            <w:r>
              <w:rPr>
                <w:rFonts w:ascii="宋体" w:hAnsi="宋体" w:cs="宋体" w:eastAsia="宋体"/>
                <w:b w:val="false"/>
              </w:rPr>
              <w:t>0.24%</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0.26%</w:t>
            </w:r>
          </w:p>
        </w:tc>
        <w:tc>
          <w:tcPr>
            <w:tcW/>
            <w:vAlign w:val="center"/>
          </w:tcPr>
          <w:p>
            <w:pPr>
              <w:spacing w:line="240" w:lineRule="auto"/>
              <w:jc w:val="right"/>
            </w:pPr>
            <w:r>
              <w:rPr>
                <w:rFonts w:ascii="宋体" w:hAnsi="宋体" w:cs="宋体" w:eastAsia="宋体"/>
                <w:b w:val="false"/>
              </w:rPr>
              <w:t>2.29%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61.72%</w:t>
            </w:r>
          </w:p>
        </w:tc>
        <w:tc>
          <w:tcPr>
            <w:tcW/>
            <w:vAlign w:val="center"/>
          </w:tcPr>
          <w:p>
            <w:pPr>
              <w:spacing w:line="240" w:lineRule="auto"/>
              <w:jc w:val="right"/>
            </w:pPr>
            <w:r>
              <w:rPr>
                <w:rFonts w:ascii="宋体" w:hAnsi="宋体" w:cs="宋体" w:eastAsia="宋体"/>
                <w:b w:val="false"/>
              </w:rPr>
              <w:t>3.00%</w:t>
            </w:r>
          </w:p>
        </w:tc>
        <w:tc>
          <w:tcPr>
            <w:tcW/>
            <w:vAlign w:val="center"/>
          </w:tcPr>
          <w:p>
            <w:pPr>
              <w:spacing w:line="240" w:lineRule="auto"/>
              <w:jc w:val="right"/>
            </w:pPr>
            <w:r>
              <w:rPr>
                <w:rFonts w:ascii="宋体" w:hAnsi="宋体" w:cs="宋体" w:eastAsia="宋体"/>
                <w:b w:val="false"/>
              </w:rPr>
              <w:t>13.53%</w:t>
            </w:r>
          </w:p>
        </w:tc>
        <w:tc>
          <w:tcPr>
            <w:tcW/>
            <w:vAlign w:val="center"/>
          </w:tcPr>
          <w:p>
            <w:pPr>
              <w:spacing w:line="240" w:lineRule="auto"/>
              <w:jc w:val="right"/>
            </w:pPr>
            <w:r>
              <w:rPr>
                <w:rFonts w:ascii="宋体" w:hAnsi="宋体" w:cs="宋体" w:eastAsia="宋体"/>
                <w:b w:val="false"/>
              </w:rPr>
              <w:t>0.67%</w:t>
            </w:r>
          </w:p>
        </w:tc>
        <w:tc>
          <w:tcPr>
            <w:tcW/>
            <w:vAlign w:val="center"/>
          </w:tcPr>
          <w:p>
            <w:pPr>
              <w:spacing w:line="240" w:lineRule="auto"/>
              <w:jc w:val="right"/>
            </w:pPr>
            <w:r>
              <w:rPr>
                <w:rFonts w:ascii="宋体" w:hAnsi="宋体" w:cs="宋体" w:eastAsia="宋体"/>
                <w:b w:val="false"/>
              </w:rPr>
              <w:t>48.19%</w:t>
            </w:r>
          </w:p>
        </w:tc>
        <w:tc>
          <w:tcPr>
            <w:tcW/>
            <w:vAlign w:val="center"/>
          </w:tcPr>
          <w:p>
            <w:pPr>
              <w:spacing w:line="240" w:lineRule="auto"/>
              <w:jc w:val="right"/>
            </w:pPr>
            <w:r>
              <w:rPr>
                <w:rFonts w:ascii="宋体" w:hAnsi="宋体" w:cs="宋体" w:eastAsia="宋体"/>
                <w:b w:val="false"/>
              </w:rPr>
              <w:t>2.33%</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77.44%</w:t>
            </w:r>
          </w:p>
        </w:tc>
        <w:tc>
          <w:tcPr>
            <w:tcW/>
            <w:vAlign w:val="center"/>
          </w:tcPr>
          <w:p>
            <w:pPr>
              <w:spacing w:line="240" w:lineRule="auto"/>
              <w:jc w:val="right"/>
            </w:pPr>
            <w:r>
              <w:rPr>
                <w:rFonts w:ascii="宋体" w:hAnsi="宋体" w:cs="宋体" w:eastAsia="宋体"/>
                <w:b w:val="false"/>
              </w:rPr>
              <w:t>2.67%</w:t>
            </w:r>
          </w:p>
        </w:tc>
        <w:tc>
          <w:tcPr>
            <w:tcW/>
            <w:vAlign w:val="center"/>
          </w:tcPr>
          <w:p>
            <w:pPr>
              <w:spacing w:line="240" w:lineRule="auto"/>
              <w:jc w:val="right"/>
            </w:pPr>
            <w:r>
              <w:rPr>
                <w:rFonts w:ascii="宋体" w:hAnsi="宋体" w:cs="宋体" w:eastAsia="宋体"/>
                <w:b w:val="false"/>
              </w:rPr>
              <w:t>14.78%</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62.66%</w:t>
            </w:r>
          </w:p>
        </w:tc>
        <w:tc>
          <w:tcPr>
            <w:tcW/>
            <w:vAlign w:val="center"/>
          </w:tcPr>
          <w:p>
            <w:pPr>
              <w:spacing w:line="240" w:lineRule="auto"/>
              <w:jc w:val="right"/>
            </w:pPr>
            <w:r>
              <w:rPr>
                <w:rFonts w:ascii="宋体" w:hAnsi="宋体" w:cs="宋体" w:eastAsia="宋体"/>
                <w:b w:val="false"/>
              </w:rPr>
              <w:t>1.96%</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28.63%</w:t>
            </w:r>
          </w:p>
        </w:tc>
        <w:tc>
          <w:tcPr>
            <w:tcW/>
            <w:vAlign w:val="center"/>
          </w:tcPr>
          <w:p>
            <w:pPr>
              <w:spacing w:line="240" w:lineRule="auto"/>
              <w:jc w:val="right"/>
            </w:pPr>
            <w:r>
              <w:rPr>
                <w:rFonts w:ascii="宋体" w:hAnsi="宋体" w:cs="宋体" w:eastAsia="宋体"/>
                <w:b w:val="false"/>
              </w:rPr>
              <w:t>2.38%</w:t>
            </w:r>
          </w:p>
        </w:tc>
        <w:tc>
          <w:tcPr>
            <w:tcW/>
            <w:vAlign w:val="center"/>
          </w:tcPr>
          <w:p>
            <w:pPr>
              <w:spacing w:line="240" w:lineRule="auto"/>
              <w:jc w:val="right"/>
            </w:pPr>
            <w:r>
              <w:rPr>
                <w:rFonts w:ascii="宋体" w:hAnsi="宋体" w:cs="宋体" w:eastAsia="宋体"/>
                <w:b w:val="false"/>
              </w:rPr>
              <w:t>20.41%</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8.22%</w:t>
            </w:r>
          </w:p>
        </w:tc>
        <w:tc>
          <w:tcPr>
            <w:tcW/>
            <w:vAlign w:val="center"/>
          </w:tcPr>
          <w:p>
            <w:pPr>
              <w:spacing w:line="240" w:lineRule="auto"/>
              <w:jc w:val="right"/>
            </w:pPr>
            <w:r>
              <w:rPr>
                <w:rFonts w:ascii="宋体" w:hAnsi="宋体" w:cs="宋体" w:eastAsia="宋体"/>
                <w:b w:val="false"/>
              </w:rPr>
              <w:t>1.60%</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58.86%</w:t>
            </w:r>
          </w:p>
        </w:tc>
        <w:tc>
          <w:tcPr>
            <w:tcW/>
            <w:vAlign w:val="center"/>
          </w:tcPr>
          <w:p>
            <w:pPr>
              <w:spacing w:line="240" w:lineRule="auto"/>
              <w:jc w:val="right"/>
            </w:pPr>
            <w:r>
              <w:rPr>
                <w:rFonts w:ascii="宋体" w:hAnsi="宋体" w:cs="宋体" w:eastAsia="宋体"/>
                <w:b w:val="false"/>
              </w:rPr>
              <w:t>2.51%</w:t>
            </w:r>
          </w:p>
        </w:tc>
        <w:tc>
          <w:tcPr>
            <w:tcW/>
            <w:vAlign w:val="center"/>
          </w:tcPr>
          <w:p>
            <w:pPr>
              <w:spacing w:line="240" w:lineRule="auto"/>
              <w:jc w:val="right"/>
            </w:pPr>
            <w:r>
              <w:rPr>
                <w:rFonts w:ascii="宋体" w:hAnsi="宋体" w:cs="宋体" w:eastAsia="宋体"/>
                <w:b w:val="false"/>
              </w:rPr>
              <w:t>4.58%</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54.28%</w:t>
            </w:r>
          </w:p>
        </w:tc>
        <w:tc>
          <w:tcPr>
            <w:tcW/>
            <w:vAlign w:val="center"/>
          </w:tcPr>
          <w:p>
            <w:pPr>
              <w:spacing w:line="240" w:lineRule="auto"/>
              <w:jc w:val="right"/>
            </w:pPr>
            <w:r>
              <w:rPr>
                <w:rFonts w:ascii="宋体" w:hAnsi="宋体" w:cs="宋体" w:eastAsia="宋体"/>
                <w:b w:val="false"/>
              </w:rPr>
              <w:t>1.72%</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108.47%</w:t>
            </w:r>
          </w:p>
        </w:tc>
        <w:tc>
          <w:tcPr>
            <w:tcW/>
            <w:vAlign w:val="center"/>
          </w:tcPr>
          <w:p>
            <w:pPr>
              <w:spacing w:line="240" w:lineRule="auto"/>
              <w:jc w:val="right"/>
            </w:pPr>
            <w:r>
              <w:rPr>
                <w:rFonts w:ascii="宋体" w:hAnsi="宋体" w:cs="宋体" w:eastAsia="宋体"/>
                <w:b w:val="false"/>
              </w:rPr>
              <w:t>2.46%</w:t>
            </w:r>
          </w:p>
        </w:tc>
        <w:tc>
          <w:tcPr>
            <w:tcW/>
            <w:vAlign w:val="center"/>
          </w:tcPr>
          <w:p>
            <w:pPr>
              <w:spacing w:line="240" w:lineRule="auto"/>
              <w:jc w:val="right"/>
            </w:pPr>
            <w:r>
              <w:rPr>
                <w:rFonts w:ascii="宋体" w:hAnsi="宋体" w:cs="宋体" w:eastAsia="宋体"/>
                <w:b w:val="false"/>
              </w:rPr>
              <w:t>20.77%</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87.70%</w:t>
            </w:r>
          </w:p>
        </w:tc>
        <w:tc>
          <w:tcPr>
            <w:tcW/>
            <w:vAlign w:val="center"/>
          </w:tcPr>
          <w:p>
            <w:pPr>
              <w:spacing w:line="240" w:lineRule="auto"/>
              <w:jc w:val="right"/>
            </w:pPr>
            <w:r>
              <w:rPr>
                <w:rFonts w:ascii="宋体" w:hAnsi="宋体" w:cs="宋体" w:eastAsia="宋体"/>
                <w:b w:val="false"/>
              </w:rPr>
              <w:t>1.65%</w:t>
            </w:r>
          </w:p>
        </w:tc>
      </w:tr>
    </w:tbl>
    <w:p>
      <w:pPr>
        <w:jc w:val="left"/>
      </w:pPr>
      <w:r>
        <w:rPr>
          <w:rFonts w:ascii="宋体" w:hAnsi="宋体" w:cs="宋体" w:eastAsia="宋体"/>
          <w:b w:val="true"/>
        </w:rPr>
        <w:t>东方阿尔法优势产业混合C净值表现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0.38%</w:t>
            </w:r>
          </w:p>
        </w:tc>
        <w:tc>
          <w:tcPr>
            <w:tcW/>
            <w:vAlign w:val="center"/>
          </w:tcPr>
          <w:p>
            <w:pPr>
              <w:spacing w:line="240" w:lineRule="auto"/>
              <w:jc w:val="right"/>
            </w:pPr>
            <w:r>
              <w:rPr>
                <w:rFonts w:ascii="宋体" w:hAnsi="宋体" w:cs="宋体" w:eastAsia="宋体"/>
                <w:b w:val="false"/>
              </w:rPr>
              <w:t>3.00%</w:t>
            </w:r>
          </w:p>
        </w:tc>
        <w:tc>
          <w:tcPr>
            <w:tcW/>
            <w:vAlign w:val="center"/>
          </w:tcPr>
          <w:p>
            <w:pPr>
              <w:spacing w:line="240" w:lineRule="auto"/>
              <w:jc w:val="right"/>
            </w:pPr>
            <w:r>
              <w:rPr>
                <w:rFonts w:ascii="宋体" w:hAnsi="宋体" w:cs="宋体" w:eastAsia="宋体"/>
                <w:b w:val="false"/>
              </w:rPr>
              <w:t>0.24%</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0.14%</w:t>
            </w:r>
          </w:p>
        </w:tc>
        <w:tc>
          <w:tcPr>
            <w:tcW/>
            <w:vAlign w:val="center"/>
          </w:tcPr>
          <w:p>
            <w:pPr>
              <w:spacing w:line="240" w:lineRule="auto"/>
              <w:jc w:val="right"/>
            </w:pPr>
            <w:r>
              <w:rPr>
                <w:rFonts w:ascii="宋体" w:hAnsi="宋体" w:cs="宋体" w:eastAsia="宋体"/>
                <w:b w:val="false"/>
              </w:rPr>
              <w:t>2.29%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61.31%</w:t>
            </w:r>
          </w:p>
        </w:tc>
        <w:tc>
          <w:tcPr>
            <w:tcW/>
            <w:vAlign w:val="center"/>
          </w:tcPr>
          <w:p>
            <w:pPr>
              <w:spacing w:line="240" w:lineRule="auto"/>
              <w:jc w:val="right"/>
            </w:pPr>
            <w:r>
              <w:rPr>
                <w:rFonts w:ascii="宋体" w:hAnsi="宋体" w:cs="宋体" w:eastAsia="宋体"/>
                <w:b w:val="false"/>
              </w:rPr>
              <w:t>3.00%</w:t>
            </w:r>
          </w:p>
        </w:tc>
        <w:tc>
          <w:tcPr>
            <w:tcW/>
            <w:vAlign w:val="center"/>
          </w:tcPr>
          <w:p>
            <w:pPr>
              <w:spacing w:line="240" w:lineRule="auto"/>
              <w:jc w:val="right"/>
            </w:pPr>
            <w:r>
              <w:rPr>
                <w:rFonts w:ascii="宋体" w:hAnsi="宋体" w:cs="宋体" w:eastAsia="宋体"/>
                <w:b w:val="false"/>
              </w:rPr>
              <w:t>13.53%</w:t>
            </w:r>
          </w:p>
        </w:tc>
        <w:tc>
          <w:tcPr>
            <w:tcW/>
            <w:vAlign w:val="center"/>
          </w:tcPr>
          <w:p>
            <w:pPr>
              <w:spacing w:line="240" w:lineRule="auto"/>
              <w:jc w:val="right"/>
            </w:pPr>
            <w:r>
              <w:rPr>
                <w:rFonts w:ascii="宋体" w:hAnsi="宋体" w:cs="宋体" w:eastAsia="宋体"/>
                <w:b w:val="false"/>
              </w:rPr>
              <w:t>0.67%</w:t>
            </w:r>
          </w:p>
        </w:tc>
        <w:tc>
          <w:tcPr>
            <w:tcW/>
            <w:vAlign w:val="center"/>
          </w:tcPr>
          <w:p>
            <w:pPr>
              <w:spacing w:line="240" w:lineRule="auto"/>
              <w:jc w:val="right"/>
            </w:pPr>
            <w:r>
              <w:rPr>
                <w:rFonts w:ascii="宋体" w:hAnsi="宋体" w:cs="宋体" w:eastAsia="宋体"/>
                <w:b w:val="false"/>
              </w:rPr>
              <w:t>47.78%</w:t>
            </w:r>
          </w:p>
        </w:tc>
        <w:tc>
          <w:tcPr>
            <w:tcW/>
            <w:vAlign w:val="center"/>
          </w:tcPr>
          <w:p>
            <w:pPr>
              <w:spacing w:line="240" w:lineRule="auto"/>
              <w:jc w:val="right"/>
            </w:pPr>
            <w:r>
              <w:rPr>
                <w:rFonts w:ascii="宋体" w:hAnsi="宋体" w:cs="宋体" w:eastAsia="宋体"/>
                <w:b w:val="false"/>
              </w:rPr>
              <w:t>2.33%</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76.55%</w:t>
            </w:r>
          </w:p>
        </w:tc>
        <w:tc>
          <w:tcPr>
            <w:tcW/>
            <w:vAlign w:val="center"/>
          </w:tcPr>
          <w:p>
            <w:pPr>
              <w:spacing w:line="240" w:lineRule="auto"/>
              <w:jc w:val="right"/>
            </w:pPr>
            <w:r>
              <w:rPr>
                <w:rFonts w:ascii="宋体" w:hAnsi="宋体" w:cs="宋体" w:eastAsia="宋体"/>
                <w:b w:val="false"/>
              </w:rPr>
              <w:t>2.67%</w:t>
            </w:r>
          </w:p>
        </w:tc>
        <w:tc>
          <w:tcPr>
            <w:tcW/>
            <w:vAlign w:val="center"/>
          </w:tcPr>
          <w:p>
            <w:pPr>
              <w:spacing w:line="240" w:lineRule="auto"/>
              <w:jc w:val="right"/>
            </w:pPr>
            <w:r>
              <w:rPr>
                <w:rFonts w:ascii="宋体" w:hAnsi="宋体" w:cs="宋体" w:eastAsia="宋体"/>
                <w:b w:val="false"/>
              </w:rPr>
              <w:t>14.78%</w:t>
            </w:r>
          </w:p>
        </w:tc>
        <w:tc>
          <w:tcPr>
            <w:tcW/>
            <w:vAlign w:val="center"/>
          </w:tcPr>
          <w:p>
            <w:pPr>
              <w:spacing w:line="240" w:lineRule="auto"/>
              <w:jc w:val="right"/>
            </w:pPr>
            <w:r>
              <w:rPr>
                <w:rFonts w:ascii="宋体" w:hAnsi="宋体" w:cs="宋体" w:eastAsia="宋体"/>
                <w:b w:val="false"/>
              </w:rPr>
              <w:t>0.71%</w:t>
            </w:r>
          </w:p>
        </w:tc>
        <w:tc>
          <w:tcPr>
            <w:tcW/>
            <w:vAlign w:val="center"/>
          </w:tcPr>
          <w:p>
            <w:pPr>
              <w:spacing w:line="240" w:lineRule="auto"/>
              <w:jc w:val="right"/>
            </w:pPr>
            <w:r>
              <w:rPr>
                <w:rFonts w:ascii="宋体" w:hAnsi="宋体" w:cs="宋体" w:eastAsia="宋体"/>
                <w:b w:val="false"/>
              </w:rPr>
              <w:t>61.77%</w:t>
            </w:r>
          </w:p>
        </w:tc>
        <w:tc>
          <w:tcPr>
            <w:tcW/>
            <w:vAlign w:val="center"/>
          </w:tcPr>
          <w:p>
            <w:pPr>
              <w:spacing w:line="240" w:lineRule="auto"/>
              <w:jc w:val="right"/>
            </w:pPr>
            <w:r>
              <w:rPr>
                <w:rFonts w:ascii="宋体" w:hAnsi="宋体" w:cs="宋体" w:eastAsia="宋体"/>
                <w:b w:val="false"/>
              </w:rPr>
              <w:t>1.96%</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26.71%</w:t>
            </w:r>
          </w:p>
        </w:tc>
        <w:tc>
          <w:tcPr>
            <w:tcW/>
            <w:vAlign w:val="center"/>
          </w:tcPr>
          <w:p>
            <w:pPr>
              <w:spacing w:line="240" w:lineRule="auto"/>
              <w:jc w:val="right"/>
            </w:pPr>
            <w:r>
              <w:rPr>
                <w:rFonts w:ascii="宋体" w:hAnsi="宋体" w:cs="宋体" w:eastAsia="宋体"/>
                <w:b w:val="false"/>
              </w:rPr>
              <w:t>2.38%</w:t>
            </w:r>
          </w:p>
        </w:tc>
        <w:tc>
          <w:tcPr>
            <w:tcW/>
            <w:vAlign w:val="center"/>
          </w:tcPr>
          <w:p>
            <w:pPr>
              <w:spacing w:line="240" w:lineRule="auto"/>
              <w:jc w:val="right"/>
            </w:pPr>
            <w:r>
              <w:rPr>
                <w:rFonts w:ascii="宋体" w:hAnsi="宋体" w:cs="宋体" w:eastAsia="宋体"/>
                <w:b w:val="false"/>
              </w:rPr>
              <w:t>20.41%</w:t>
            </w:r>
          </w:p>
        </w:tc>
        <w:tc>
          <w:tcPr>
            <w:tcW/>
            <w:vAlign w:val="center"/>
          </w:tcPr>
          <w:p>
            <w:pPr>
              <w:spacing w:line="240" w:lineRule="auto"/>
              <w:jc w:val="right"/>
            </w:pPr>
            <w:r>
              <w:rPr>
                <w:rFonts w:ascii="宋体" w:hAnsi="宋体" w:cs="宋体" w:eastAsia="宋体"/>
                <w:b w:val="false"/>
              </w:rPr>
              <w:t>0.78%</w:t>
            </w:r>
          </w:p>
        </w:tc>
        <w:tc>
          <w:tcPr>
            <w:tcW/>
            <w:vAlign w:val="center"/>
          </w:tcPr>
          <w:p>
            <w:pPr>
              <w:spacing w:line="240" w:lineRule="auto"/>
              <w:jc w:val="right"/>
            </w:pPr>
            <w:r>
              <w:rPr>
                <w:rFonts w:ascii="宋体" w:hAnsi="宋体" w:cs="宋体" w:eastAsia="宋体"/>
                <w:b w:val="false"/>
              </w:rPr>
              <w:t>6.30%</w:t>
            </w:r>
          </w:p>
        </w:tc>
        <w:tc>
          <w:tcPr>
            <w:tcW/>
            <w:vAlign w:val="center"/>
          </w:tcPr>
          <w:p>
            <w:pPr>
              <w:spacing w:line="240" w:lineRule="auto"/>
              <w:jc w:val="right"/>
            </w:pPr>
            <w:r>
              <w:rPr>
                <w:rFonts w:ascii="宋体" w:hAnsi="宋体" w:cs="宋体" w:eastAsia="宋体"/>
                <w:b w:val="false"/>
              </w:rPr>
              <w:t>1.60%</w:t>
            </w:r>
          </w:p>
        </w:tc>
      </w:tr>
      <w:tr>
        <w:tc>
          <w:tcPr>
            <w:tcW/>
            <w:vAlign w:val="center"/>
          </w:tcPr>
          <w:p>
            <w:pPr>
              <w:spacing w:line="240" w:lineRule="auto"/>
              <w:jc w:val="left"/>
            </w:pPr>
            <w:r>
              <w:rPr>
                <w:rFonts w:ascii="宋体" w:hAnsi="宋体" w:cs="宋体" w:eastAsia="宋体"/>
                <w:b w:val="false"/>
              </w:rPr>
              <w:t>过去五年</w:t>
            </w:r>
          </w:p>
        </w:tc>
        <w:tc>
          <w:tcPr>
            <w:tcW/>
            <w:vAlign w:val="center"/>
          </w:tcPr>
          <w:p>
            <w:pPr>
              <w:spacing w:line="240" w:lineRule="auto"/>
              <w:jc w:val="right"/>
            </w:pPr>
            <w:r>
              <w:rPr>
                <w:rFonts w:ascii="宋体" w:hAnsi="宋体" w:cs="宋体" w:eastAsia="宋体"/>
                <w:b w:val="false"/>
              </w:rPr>
              <w:t>54.94%</w:t>
            </w:r>
          </w:p>
        </w:tc>
        <w:tc>
          <w:tcPr>
            <w:tcW/>
            <w:vAlign w:val="center"/>
          </w:tcPr>
          <w:p>
            <w:pPr>
              <w:spacing w:line="240" w:lineRule="auto"/>
              <w:jc w:val="right"/>
            </w:pPr>
            <w:r>
              <w:rPr>
                <w:rFonts w:ascii="宋体" w:hAnsi="宋体" w:cs="宋体" w:eastAsia="宋体"/>
                <w:b w:val="false"/>
              </w:rPr>
              <w:t>2.51%</w:t>
            </w:r>
          </w:p>
        </w:tc>
        <w:tc>
          <w:tcPr>
            <w:tcW/>
            <w:vAlign w:val="center"/>
          </w:tcPr>
          <w:p>
            <w:pPr>
              <w:spacing w:line="240" w:lineRule="auto"/>
              <w:jc w:val="right"/>
            </w:pPr>
            <w:r>
              <w:rPr>
                <w:rFonts w:ascii="宋体" w:hAnsi="宋体" w:cs="宋体" w:eastAsia="宋体"/>
                <w:b w:val="false"/>
              </w:rPr>
              <w:t>4.58%</w:t>
            </w:r>
          </w:p>
        </w:tc>
        <w:tc>
          <w:tcPr>
            <w:tcW/>
            <w:vAlign w:val="center"/>
          </w:tcPr>
          <w:p>
            <w:pPr>
              <w:spacing w:line="240" w:lineRule="auto"/>
              <w:jc w:val="right"/>
            </w:pPr>
            <w:r>
              <w:rPr>
                <w:rFonts w:ascii="宋体" w:hAnsi="宋体" w:cs="宋体" w:eastAsia="宋体"/>
                <w:b w:val="false"/>
              </w:rPr>
              <w:t>0.79%</w:t>
            </w:r>
          </w:p>
        </w:tc>
        <w:tc>
          <w:tcPr>
            <w:tcW/>
            <w:vAlign w:val="center"/>
          </w:tcPr>
          <w:p>
            <w:pPr>
              <w:spacing w:line="240" w:lineRule="auto"/>
              <w:jc w:val="right"/>
            </w:pPr>
            <w:r>
              <w:rPr>
                <w:rFonts w:ascii="宋体" w:hAnsi="宋体" w:cs="宋体" w:eastAsia="宋体"/>
                <w:b w:val="false"/>
              </w:rPr>
              <w:t>50.36%</w:t>
            </w:r>
          </w:p>
        </w:tc>
        <w:tc>
          <w:tcPr>
            <w:tcW/>
            <w:vAlign w:val="center"/>
          </w:tcPr>
          <w:p>
            <w:pPr>
              <w:spacing w:line="240" w:lineRule="auto"/>
              <w:jc w:val="right"/>
            </w:pPr>
            <w:r>
              <w:rPr>
                <w:rFonts w:ascii="宋体" w:hAnsi="宋体" w:cs="宋体" w:eastAsia="宋体"/>
                <w:b w:val="false"/>
              </w:rPr>
              <w:t>1.72%</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102.82%</w:t>
            </w:r>
          </w:p>
        </w:tc>
        <w:tc>
          <w:tcPr>
            <w:tcW/>
            <w:vAlign w:val="center"/>
          </w:tcPr>
          <w:p>
            <w:pPr>
              <w:spacing w:line="240" w:lineRule="auto"/>
              <w:jc w:val="right"/>
            </w:pPr>
            <w:r>
              <w:rPr>
                <w:rFonts w:ascii="宋体" w:hAnsi="宋体" w:cs="宋体" w:eastAsia="宋体"/>
                <w:b w:val="false"/>
              </w:rPr>
              <w:t>2.46%</w:t>
            </w:r>
          </w:p>
        </w:tc>
        <w:tc>
          <w:tcPr>
            <w:tcW/>
            <w:vAlign w:val="center"/>
          </w:tcPr>
          <w:p>
            <w:pPr>
              <w:spacing w:line="240" w:lineRule="auto"/>
              <w:jc w:val="right"/>
            </w:pPr>
            <w:r>
              <w:rPr>
                <w:rFonts w:ascii="宋体" w:hAnsi="宋体" w:cs="宋体" w:eastAsia="宋体"/>
                <w:b w:val="false"/>
              </w:rPr>
              <w:t>20.77%</w:t>
            </w:r>
          </w:p>
        </w:tc>
        <w:tc>
          <w:tcPr>
            <w:tcW/>
            <w:vAlign w:val="center"/>
          </w:tcPr>
          <w:p>
            <w:pPr>
              <w:spacing w:line="240" w:lineRule="auto"/>
              <w:jc w:val="right"/>
            </w:pPr>
            <w:r>
              <w:rPr>
                <w:rFonts w:ascii="宋体" w:hAnsi="宋体" w:cs="宋体" w:eastAsia="宋体"/>
                <w:b w:val="false"/>
              </w:rPr>
              <w:t>0.81%</w:t>
            </w:r>
          </w:p>
        </w:tc>
        <w:tc>
          <w:tcPr>
            <w:tcW/>
            <w:vAlign w:val="center"/>
          </w:tcPr>
          <w:p>
            <w:pPr>
              <w:spacing w:line="240" w:lineRule="auto"/>
              <w:jc w:val="right"/>
            </w:pPr>
            <w:r>
              <w:rPr>
                <w:rFonts w:ascii="宋体" w:hAnsi="宋体" w:cs="宋体" w:eastAsia="宋体"/>
                <w:b w:val="false"/>
              </w:rPr>
              <w:t>82.05%</w:t>
            </w:r>
          </w:p>
        </w:tc>
        <w:tc>
          <w:tcPr>
            <w:tcW/>
            <w:vAlign w:val="center"/>
          </w:tcPr>
          <w:p>
            <w:pPr>
              <w:spacing w:line="240" w:lineRule="auto"/>
              <w:jc w:val="right"/>
            </w:pPr>
            <w:r>
              <w:rPr>
                <w:rFonts w:ascii="宋体" w:hAnsi="宋体" w:cs="宋体" w:eastAsia="宋体"/>
                <w:b w:val="false"/>
              </w:rPr>
              <w:t>1.65%</w:t>
            </w:r>
          </w:p>
        </w:tc>
      </w:tr>
    </w:tbl>
    <w:p>
      <w:r>
        <w:rPr>
          <w:rFonts w:ascii="宋体" w:hAnsi="宋体" w:cs="宋体" w:eastAsia="宋体"/>
          <w:b w:val="false"/>
        </w:rPr>
        <w:t>注：本基金业绩比较基准为：中证800指数收益率×70%+中证综合债券指数收益率×30%</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周谧</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2025-11-05</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周谧先生，中国人民大学应用数学硕士。2008年9月起历任中再资产管理股份有限公司金融工程分析师、平安证券有限责任公司高级量化分析师、国金创新投资有限公司投资经理、深圳铸成投资有限公司投资部副总监、财信证券有限责任公司投资经理、金信基金管理有限公司基金经理。2022年10月加入东方阿尔法基金管理有限公司，现任东方阿尔法基金管理有限公司基金经理。</w:t>
            </w:r>
          </w:p>
        </w:tc>
      </w:tr>
      <w:tr>
        <w:tc>
          <w:tcPr>
            <w:tcW/>
            <w:vAlign w:val="center"/>
          </w:tcPr>
          <w:p>
            <w:pPr>
              <w:spacing w:line="240" w:lineRule="auto"/>
              <w:jc w:val="left"/>
            </w:pPr>
            <w:r>
              <w:rPr>
                <w:rFonts w:ascii="宋体" w:hAnsi="宋体" w:cs="宋体" w:eastAsia="宋体"/>
                <w:b w:val="false"/>
              </w:rPr>
              <w:t>唐雷</w:t>
            </w:r>
          </w:p>
        </w:tc>
        <w:tc>
          <w:tcPr>
            <w:tcW/>
            <w:vAlign w:val="center"/>
          </w:tcPr>
          <w:p>
            <w:pPr>
              <w:spacing w:line="240" w:lineRule="auto"/>
              <w:jc w:val="left"/>
            </w:pPr>
            <w:r>
              <w:rPr>
                <w:rFonts w:ascii="宋体" w:hAnsi="宋体" w:cs="宋体" w:eastAsia="宋体"/>
                <w:b w:val="false"/>
              </w:rPr>
              <w:t>基金经理（已离任）</w:t>
            </w:r>
          </w:p>
        </w:tc>
        <w:tc>
          <w:tcPr>
            <w:tcW/>
            <w:vAlign w:val="center"/>
          </w:tcPr>
          <w:p>
            <w:pPr>
              <w:spacing w:line="240" w:lineRule="auto"/>
              <w:jc w:val="center"/>
            </w:pPr>
            <w:r>
              <w:rPr>
                <w:rFonts w:ascii="宋体" w:hAnsi="宋体" w:cs="宋体" w:eastAsia="宋体"/>
                <w:b w:val="false"/>
              </w:rPr>
              <w:t>2020-06-28</w:t>
            </w:r>
          </w:p>
        </w:tc>
        <w:tc>
          <w:tcPr>
            <w:tcW/>
            <w:vAlign w:val="center"/>
          </w:tcPr>
          <w:p>
            <w:pPr>
              <w:spacing w:line="240" w:lineRule="auto"/>
              <w:jc w:val="center"/>
            </w:pPr>
            <w:r>
              <w:rPr>
                <w:rFonts w:ascii="宋体" w:hAnsi="宋体" w:cs="宋体" w:eastAsia="宋体"/>
                <w:b w:val="false"/>
              </w:rPr>
              <w:t>2025-11-25</w:t>
            </w:r>
          </w:p>
        </w:tc>
        <w:tc>
          <w:tcPr>
            <w:tcW/>
            <w:vAlign w:val="center"/>
          </w:tcPr>
          <w:p>
            <w:pPr>
              <w:spacing w:line="240" w:lineRule="auto"/>
              <w:jc w:val="center"/>
            </w:pPr>
            <w:r>
              <w:rPr>
                <w:rFonts w:ascii="宋体" w:hAnsi="宋体" w:cs="宋体" w:eastAsia="宋体"/>
                <w:b w:val="false"/>
              </w:rPr>
              <w:t>15年</w:t>
            </w:r>
          </w:p>
        </w:tc>
        <w:tc>
          <w:tcPr>
            <w:tcW/>
            <w:vAlign w:val="center"/>
          </w:tcPr>
          <w:p>
            <w:pPr>
              <w:spacing w:line="240" w:lineRule="auto"/>
              <w:jc w:val="left"/>
            </w:pPr>
            <w:r>
              <w:rPr>
                <w:rFonts w:ascii="宋体" w:hAnsi="宋体" w:cs="宋体" w:eastAsia="宋体"/>
                <w:b w:val="false"/>
              </w:rPr>
              <w:t>唐雷先生，武汉大学物理学理学学士，北京大学光华管理学院工商管理硕士。曾先后任职于民生加银基金、安信证券资产管理部、金信基金、东方阿尔法基金。</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c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c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进入四季度，中国经济运行总体平稳，预计全年GDP增速5%的目标可顺利实现。2024年12月召开的中央经济工作会议定调“稳中求进、以进促稳”，强调扩大内需、发展新质生产力、推动科技自立自强。财政政策保持积极，货币政策稳健偏松，结构性工具继续支持制造业、绿色转型与数字经济等重点领域。消费方面，尽管部分地方家电、汽车等补贴额度已用完，但服务消费表现强劲，特别是文旅、健康、数字消费等领域。出口方面虽受全球需求放缓影响，但新能源汽车、锂电池、AI相关设备等方向保持较快增长.</w:t>
        <w:cr/>
      </w:r>
      <w:r>
        <w:rPr>
          <w:rFonts w:ascii="宋体" w:hAnsi="宋体" w:cs="宋体" w:eastAsia="宋体"/>
          <w:b w:val="false"/>
        </w:rPr>
        <w:t xml:space="preserve">    四季度A股市场震荡上行，表现强势。主要原因有三：一是经历中美博弈后，市场对中国经济韧性及应对挑战的能力信心增强；二是A股科技成分持续提升，部分行业和公司正从0到1、从1到10快速成长，为经济持续注入活力；三是海外投资者经全球比较后意识到中国配置价值，中长期资金已温和流入。期间，海外算力、内存、机器人、储能、有色等板块均出现较大涨幅。考虑到四季度英伟达及谷歌产业链取得较大进展，海外云厂商持续上修资本开支，算力景气度不断超预期，本基金及时布局海外算力产业中景气度上行的光模块、光芯片、高多层PCB及谷歌相关光交换机标的，取得较好超额收益。</w:t>
        <w:cr/>
      </w:r>
      <w:r>
        <w:rPr>
          <w:rFonts w:ascii="宋体" w:hAnsi="宋体" w:cs="宋体" w:eastAsia="宋体"/>
          <w:b w:val="false"/>
        </w:rPr>
        <w:t xml:space="preserve">    如果说2025年是全球重新认识中国经济韧性的一年，那么2026年将是重新认识中国产业竞争力的一年。展望未来10年，对人类社会影响最深刻的无疑是AI产业，它将是继蒸汽机、电气化、信息化之后的第四次工业革命。AI产业也涉及大国博弈，这是一场不容失败的竞争。</w:t>
        <w:cr/>
      </w:r>
      <w:r>
        <w:rPr>
          <w:rFonts w:ascii="宋体" w:hAnsi="宋体" w:cs="宋体" w:eastAsia="宋体"/>
          <w:b w:val="false"/>
        </w:rPr>
        <w:t xml:space="preserve">    虽然受芯片制程影响，我们的大模型与美国尚有差距，但美国搭建高性能算力集群已离不开中国产业链。中国的优势在于精密制造业，而搭建高性能算力集群不仅需要算力卡，还需通信器件、PCB板、液冷系统等精密制造能力的有机结合。各家厂商在大模型训练上争分夺秒，唯有中国产业链能做到“24效应”，最短时间定型方案并快速交付，这决定了美国AI产业发展也无法离开中国。由于美国模型厂商对供应链要求严格且利润丰厚，能够参与其中的中国公司将享受丰厚利润。</w:t>
        <w:cr/>
      </w:r>
      <w:r>
        <w:rPr>
          <w:rFonts w:ascii="宋体" w:hAnsi="宋体" w:cs="宋体" w:eastAsia="宋体"/>
          <w:b w:val="false"/>
        </w:rPr>
        <w:t xml:space="preserve">    展望2026年，能在AI产业中快速兑现利润的，当属参与海外算力板块。该板块景气度仍在加速，自2026年一季度起业绩将高速增长，该板块也将取得较好收益。此外，结合近期地缘及产业变化，我们发现一些细分领域将出现紧缺，我们也会抓住这些机会为投资者获取超额收益。</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优势产业混合A基金份额净值为2.0847元，本报告期内，该类基金份额净值增长率为0.50%，同期业绩比较基准收益率为0.24%；截至报告期末东方阿尔法优势产业混合C基金份额净值为2.0282元，本报告期内，该类基金份额净值增长率为0.38%，同期业绩比较基准收益率为0.24%。</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2,816,654,217.76</w:t>
            </w:r>
          </w:p>
        </w:tc>
        <w:tc>
          <w:tcPr>
            <w:tcW/>
            <w:vAlign w:val="center"/>
          </w:tcPr>
          <w:p>
            <w:pPr>
              <w:spacing w:line="240" w:lineRule="auto"/>
              <w:jc w:val="right"/>
            </w:pPr>
            <w:r>
              <w:rPr>
                <w:rFonts w:ascii="宋体" w:hAnsi="宋体" w:cs="宋体" w:eastAsia="宋体"/>
                <w:b w:val="false"/>
              </w:rPr>
              <w:t>89.29</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2,816,654,217.76</w:t>
            </w:r>
          </w:p>
        </w:tc>
        <w:tc>
          <w:tcPr>
            <w:tcW/>
            <w:vAlign w:val="center"/>
          </w:tcPr>
          <w:p>
            <w:pPr>
              <w:spacing w:line="240" w:lineRule="auto"/>
              <w:jc w:val="right"/>
            </w:pPr>
            <w:r>
              <w:rPr>
                <w:rFonts w:ascii="宋体" w:hAnsi="宋体" w:cs="宋体" w:eastAsia="宋体"/>
                <w:b w:val="false"/>
              </w:rPr>
              <w:t>89.29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202,475,302.46</w:t>
            </w:r>
          </w:p>
        </w:tc>
        <w:tc>
          <w:tcPr>
            <w:tcW/>
            <w:vAlign w:val="center"/>
          </w:tcPr>
          <w:p>
            <w:pPr>
              <w:spacing w:line="240" w:lineRule="auto"/>
              <w:jc w:val="right"/>
            </w:pPr>
            <w:r>
              <w:rPr>
                <w:rFonts w:ascii="宋体" w:hAnsi="宋体" w:cs="宋体" w:eastAsia="宋体"/>
                <w:b w:val="false"/>
              </w:rPr>
              <w:t>6.42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202,475,302.46</w:t>
            </w:r>
          </w:p>
        </w:tc>
        <w:tc>
          <w:tcPr>
            <w:tcW/>
            <w:vAlign w:val="center"/>
          </w:tcPr>
          <w:p>
            <w:pPr>
              <w:spacing w:line="240" w:lineRule="auto"/>
              <w:jc w:val="right"/>
            </w:pPr>
            <w:r>
              <w:rPr>
                <w:rFonts w:ascii="宋体" w:hAnsi="宋体" w:cs="宋体" w:eastAsia="宋体"/>
                <w:b w:val="false"/>
              </w:rPr>
              <w:t>6.42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107,025,298.14</w:t>
            </w:r>
          </w:p>
        </w:tc>
        <w:tc>
          <w:tcPr>
            <w:tcW/>
            <w:vAlign w:val="center"/>
          </w:tcPr>
          <w:p>
            <w:pPr>
              <w:spacing w:line="240" w:lineRule="auto"/>
              <w:jc w:val="right"/>
            </w:pPr>
            <w:r>
              <w:rPr>
                <w:rFonts w:ascii="宋体" w:hAnsi="宋体" w:cs="宋体" w:eastAsia="宋体"/>
                <w:b w:val="false"/>
              </w:rPr>
              <w:t>3.39</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28,383,980.80</w:t>
            </w:r>
          </w:p>
        </w:tc>
        <w:tc>
          <w:tcPr>
            <w:tcW/>
            <w:vAlign w:val="center"/>
          </w:tcPr>
          <w:p>
            <w:pPr>
              <w:spacing w:line="240" w:lineRule="auto"/>
              <w:jc w:val="right"/>
            </w:pPr>
            <w:r>
              <w:rPr>
                <w:rFonts w:ascii="宋体" w:hAnsi="宋体" w:cs="宋体" w:eastAsia="宋体"/>
                <w:b w:val="false"/>
              </w:rPr>
              <w:t>0.90</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3,154,538,799.16</w:t>
            </w:r>
          </w:p>
        </w:tc>
        <w:tc>
          <w:tcPr>
            <w:tcW/>
            <w:vAlign w:val="center"/>
          </w:tcPr>
          <w:p>
            <w:pPr>
              <w:spacing w:line="240" w:lineRule="auto"/>
              <w:jc w:val="right"/>
            </w:pPr>
            <w:r>
              <w:rPr>
                <w:rFonts w:ascii="宋体" w:hAnsi="宋体" w:cs="宋体" w:eastAsia="宋体"/>
                <w:b w:val="false"/>
              </w:rPr>
              <w:t>100.00</w:t>
            </w:r>
          </w:p>
        </w:tc>
      </w:tr>
    </w:tbl>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103,284.72</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2,814,483,854.38</w:t>
            </w:r>
          </w:p>
        </w:tc>
        <w:tc>
          <w:tcPr>
            <w:tcW/>
            <w:vAlign w:val="center"/>
          </w:tcPr>
          <w:p>
            <w:pPr>
              <w:spacing w:line="240" w:lineRule="auto"/>
              <w:jc w:val="right"/>
            </w:pPr>
            <w:r>
              <w:rPr>
                <w:rFonts w:ascii="宋体" w:hAnsi="宋体" w:cs="宋体" w:eastAsia="宋体"/>
                <w:b w:val="false"/>
              </w:rPr>
              <w:t>94.66</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1,588,423.20</w:t>
            </w:r>
          </w:p>
        </w:tc>
        <w:tc>
          <w:tcPr>
            <w:tcW/>
            <w:vAlign w:val="center"/>
          </w:tcPr>
          <w:p>
            <w:pPr>
              <w:spacing w:line="240" w:lineRule="auto"/>
              <w:jc w:val="right"/>
            </w:pPr>
            <w:r>
              <w:rPr>
                <w:rFonts w:ascii="宋体" w:hAnsi="宋体" w:cs="宋体" w:eastAsia="宋体"/>
                <w:b w:val="false"/>
              </w:rPr>
              <w:t>0.05</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11,988.54</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425,955.33</w:t>
            </w:r>
          </w:p>
        </w:tc>
        <w:tc>
          <w:tcPr>
            <w:tcW/>
            <w:vAlign w:val="center"/>
          </w:tcPr>
          <w:p>
            <w:pPr>
              <w:spacing w:line="240" w:lineRule="auto"/>
              <w:jc w:val="right"/>
            </w:pPr>
            <w:r>
              <w:rPr>
                <w:rFonts w:ascii="宋体" w:hAnsi="宋体" w:cs="宋体" w:eastAsia="宋体"/>
                <w:b w:val="false"/>
              </w:rPr>
              <w:t>0.01</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40,711.59</w:t>
            </w:r>
          </w:p>
        </w:tc>
        <w:tc>
          <w:tcPr>
            <w:tcW/>
            <w:vAlign w:val="center"/>
          </w:tcPr>
          <w:p>
            <w:pPr>
              <w:spacing w:line="240" w:lineRule="auto"/>
              <w:jc w:val="right"/>
            </w:pPr>
            <w:r>
              <w:rPr>
                <w:rFonts w:ascii="宋体" w:hAnsi="宋体" w:cs="宋体" w:eastAsia="宋体"/>
                <w:b w:val="false"/>
              </w:rPr>
              <w:t>0.00</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2,816,654,217.76</w:t>
            </w:r>
          </w:p>
        </w:tc>
        <w:tc>
          <w:tcPr>
            <w:tcW/>
            <w:vAlign w:val="center"/>
          </w:tcPr>
          <w:p>
            <w:pPr>
              <w:spacing w:line="240" w:lineRule="auto"/>
              <w:jc w:val="right"/>
            </w:pPr>
            <w:r>
              <w:rPr>
                <w:rFonts w:ascii="宋体" w:hAnsi="宋体" w:cs="宋体" w:eastAsia="宋体"/>
                <w:b w:val="false"/>
              </w:rPr>
              <w:t>94.73</w:t>
            </w:r>
          </w:p>
        </w:tc>
      </w:tr>
    </w:tbl>
    <w:p/>
    <w:p>
      <w:pPr>
        <w:pStyle w:val="zhangjiep2"/>
      </w:pPr>
      <w:r>
        <w:rPr>
          <w:rStyle w:val="正文"/>
          <w:rFonts w:ascii="宋体" w:hAnsi="宋体" w:cs="宋体" w:eastAsia="宋体"/>
          <w:b w:val="true"/>
        </w:rPr>
        <w:t>5.2.2 报告期末按行业分类的港股通投资股票投资组合</w:t>
      </w:r>
    </w:p>
    <w:p>
      <w:r>
        <w:rPr>
          <w:rFonts w:ascii="宋体" w:hAnsi="宋体" w:cs="宋体" w:eastAsia="宋体"/>
          <w:b w:val="false"/>
        </w:rPr>
        <w:t xml:space="preserve">    本基金本报告期末未持有港股通投资股票投资组合。</w:t>
      </w:r>
    </w:p>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300308</w:t>
            </w:r>
          </w:p>
        </w:tc>
        <w:tc>
          <w:tcPr>
            <w:tcW/>
            <w:vAlign w:val="center"/>
          </w:tcPr>
          <w:p>
            <w:pPr>
              <w:spacing w:line="240" w:lineRule="auto"/>
              <w:jc w:val="left"/>
            </w:pPr>
            <w:r>
              <w:rPr>
                <w:rFonts w:ascii="宋体" w:hAnsi="宋体" w:cs="宋体" w:eastAsia="宋体"/>
                <w:b w:val="false"/>
              </w:rPr>
              <w:t>中际旭创</w:t>
            </w:r>
          </w:p>
        </w:tc>
        <w:tc>
          <w:tcPr>
            <w:tcW/>
            <w:vAlign w:val="center"/>
          </w:tcPr>
          <w:p>
            <w:pPr>
              <w:spacing w:line="240" w:lineRule="auto"/>
              <w:jc w:val="right"/>
            </w:pPr>
            <w:r>
              <w:rPr>
                <w:rFonts w:ascii="宋体" w:hAnsi="宋体" w:cs="宋体" w:eastAsia="宋体"/>
                <w:b w:val="false"/>
              </w:rPr>
              <w:t>457,471</w:t>
            </w:r>
          </w:p>
        </w:tc>
        <w:tc>
          <w:tcPr>
            <w:tcW/>
            <w:vAlign w:val="center"/>
          </w:tcPr>
          <w:p>
            <w:pPr>
              <w:spacing w:line="240" w:lineRule="auto"/>
              <w:jc w:val="right"/>
            </w:pPr>
            <w:r>
              <w:rPr>
                <w:rFonts w:ascii="宋体" w:hAnsi="宋体" w:cs="宋体" w:eastAsia="宋体"/>
                <w:b w:val="false"/>
              </w:rPr>
              <w:t>279,057,310.00</w:t>
            </w:r>
          </w:p>
        </w:tc>
        <w:tc>
          <w:tcPr>
            <w:tcW/>
            <w:vAlign w:val="center"/>
          </w:tcPr>
          <w:p>
            <w:pPr>
              <w:spacing w:line="240" w:lineRule="auto"/>
              <w:jc w:val="right"/>
            </w:pPr>
            <w:r>
              <w:rPr>
                <w:rFonts w:ascii="宋体" w:hAnsi="宋体" w:cs="宋体" w:eastAsia="宋体"/>
                <w:b w:val="false"/>
              </w:rPr>
              <w:t>9.39</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002384</w:t>
            </w:r>
          </w:p>
        </w:tc>
        <w:tc>
          <w:tcPr>
            <w:tcW/>
            <w:vAlign w:val="center"/>
          </w:tcPr>
          <w:p>
            <w:pPr>
              <w:spacing w:line="240" w:lineRule="auto"/>
              <w:jc w:val="left"/>
            </w:pPr>
            <w:r>
              <w:rPr>
                <w:rFonts w:ascii="宋体" w:hAnsi="宋体" w:cs="宋体" w:eastAsia="宋体"/>
                <w:b w:val="false"/>
              </w:rPr>
              <w:t>东山精密</w:t>
            </w:r>
          </w:p>
        </w:tc>
        <w:tc>
          <w:tcPr>
            <w:tcW/>
            <w:vAlign w:val="center"/>
          </w:tcPr>
          <w:p>
            <w:pPr>
              <w:spacing w:line="240" w:lineRule="auto"/>
              <w:jc w:val="right"/>
            </w:pPr>
            <w:r>
              <w:rPr>
                <w:rFonts w:ascii="宋体" w:hAnsi="宋体" w:cs="宋体" w:eastAsia="宋体"/>
                <w:b w:val="false"/>
              </w:rPr>
              <w:t>3,242,300</w:t>
            </w:r>
          </w:p>
        </w:tc>
        <w:tc>
          <w:tcPr>
            <w:tcW/>
            <w:vAlign w:val="center"/>
          </w:tcPr>
          <w:p>
            <w:pPr>
              <w:spacing w:line="240" w:lineRule="auto"/>
              <w:jc w:val="right"/>
            </w:pPr>
            <w:r>
              <w:rPr>
                <w:rFonts w:ascii="宋体" w:hAnsi="宋体" w:cs="宋体" w:eastAsia="宋体"/>
                <w:b w:val="false"/>
              </w:rPr>
              <w:t>274,460,695.00</w:t>
            </w:r>
          </w:p>
        </w:tc>
        <w:tc>
          <w:tcPr>
            <w:tcW/>
            <w:vAlign w:val="center"/>
          </w:tcPr>
          <w:p>
            <w:pPr>
              <w:spacing w:line="240" w:lineRule="auto"/>
              <w:jc w:val="right"/>
            </w:pPr>
            <w:r>
              <w:rPr>
                <w:rFonts w:ascii="宋体" w:hAnsi="宋体" w:cs="宋体" w:eastAsia="宋体"/>
                <w:b w:val="false"/>
              </w:rPr>
              <w:t>9.23</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300502</w:t>
            </w:r>
          </w:p>
        </w:tc>
        <w:tc>
          <w:tcPr>
            <w:tcW/>
            <w:vAlign w:val="center"/>
          </w:tcPr>
          <w:p>
            <w:pPr>
              <w:spacing w:line="240" w:lineRule="auto"/>
              <w:jc w:val="left"/>
            </w:pPr>
            <w:r>
              <w:rPr>
                <w:rFonts w:ascii="宋体" w:hAnsi="宋体" w:cs="宋体" w:eastAsia="宋体"/>
                <w:b w:val="false"/>
              </w:rPr>
              <w:t>新易盛</w:t>
            </w:r>
          </w:p>
        </w:tc>
        <w:tc>
          <w:tcPr>
            <w:tcW/>
            <w:vAlign w:val="center"/>
          </w:tcPr>
          <w:p>
            <w:pPr>
              <w:spacing w:line="240" w:lineRule="auto"/>
              <w:jc w:val="right"/>
            </w:pPr>
            <w:r>
              <w:rPr>
                <w:rFonts w:ascii="宋体" w:hAnsi="宋体" w:cs="宋体" w:eastAsia="宋体"/>
                <w:b w:val="false"/>
              </w:rPr>
              <w:t>628,462</w:t>
            </w:r>
          </w:p>
        </w:tc>
        <w:tc>
          <w:tcPr>
            <w:tcW/>
            <w:vAlign w:val="center"/>
          </w:tcPr>
          <w:p>
            <w:pPr>
              <w:spacing w:line="240" w:lineRule="auto"/>
              <w:jc w:val="right"/>
            </w:pPr>
            <w:r>
              <w:rPr>
                <w:rFonts w:ascii="宋体" w:hAnsi="宋体" w:cs="宋体" w:eastAsia="宋体"/>
                <w:b w:val="false"/>
              </w:rPr>
              <w:t>270,791,706.56</w:t>
            </w:r>
          </w:p>
        </w:tc>
        <w:tc>
          <w:tcPr>
            <w:tcW/>
            <w:vAlign w:val="center"/>
          </w:tcPr>
          <w:p>
            <w:pPr>
              <w:spacing w:line="240" w:lineRule="auto"/>
              <w:jc w:val="right"/>
            </w:pPr>
            <w:r>
              <w:rPr>
                <w:rFonts w:ascii="宋体" w:hAnsi="宋体" w:cs="宋体" w:eastAsia="宋体"/>
                <w:b w:val="false"/>
              </w:rPr>
              <w:t>9.11</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300476</w:t>
            </w:r>
          </w:p>
        </w:tc>
        <w:tc>
          <w:tcPr>
            <w:tcW/>
            <w:vAlign w:val="center"/>
          </w:tcPr>
          <w:p>
            <w:pPr>
              <w:spacing w:line="240" w:lineRule="auto"/>
              <w:jc w:val="left"/>
            </w:pPr>
            <w:r>
              <w:rPr>
                <w:rFonts w:ascii="宋体" w:hAnsi="宋体" w:cs="宋体" w:eastAsia="宋体"/>
                <w:b w:val="false"/>
              </w:rPr>
              <w:t>胜宏科技</w:t>
            </w:r>
          </w:p>
        </w:tc>
        <w:tc>
          <w:tcPr>
            <w:tcW/>
            <w:vAlign w:val="center"/>
          </w:tcPr>
          <w:p>
            <w:pPr>
              <w:spacing w:line="240" w:lineRule="auto"/>
              <w:jc w:val="right"/>
            </w:pPr>
            <w:r>
              <w:rPr>
                <w:rFonts w:ascii="宋体" w:hAnsi="宋体" w:cs="宋体" w:eastAsia="宋体"/>
                <w:b w:val="false"/>
              </w:rPr>
              <w:t>808,900</w:t>
            </w:r>
          </w:p>
        </w:tc>
        <w:tc>
          <w:tcPr>
            <w:tcW/>
            <w:vAlign w:val="center"/>
          </w:tcPr>
          <w:p>
            <w:pPr>
              <w:spacing w:line="240" w:lineRule="auto"/>
              <w:jc w:val="right"/>
            </w:pPr>
            <w:r>
              <w:rPr>
                <w:rFonts w:ascii="宋体" w:hAnsi="宋体" w:cs="宋体" w:eastAsia="宋体"/>
                <w:b w:val="false"/>
              </w:rPr>
              <w:t>232,623,462.00</w:t>
            </w:r>
          </w:p>
        </w:tc>
        <w:tc>
          <w:tcPr>
            <w:tcW/>
            <w:vAlign w:val="center"/>
          </w:tcPr>
          <w:p>
            <w:pPr>
              <w:spacing w:line="240" w:lineRule="auto"/>
              <w:jc w:val="right"/>
            </w:pPr>
            <w:r>
              <w:rPr>
                <w:rFonts w:ascii="宋体" w:hAnsi="宋体" w:cs="宋体" w:eastAsia="宋体"/>
                <w:b w:val="false"/>
              </w:rPr>
              <w:t>7.82</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600183</w:t>
            </w:r>
          </w:p>
        </w:tc>
        <w:tc>
          <w:tcPr>
            <w:tcW/>
            <w:vAlign w:val="center"/>
          </w:tcPr>
          <w:p>
            <w:pPr>
              <w:spacing w:line="240" w:lineRule="auto"/>
              <w:jc w:val="left"/>
            </w:pPr>
            <w:r>
              <w:rPr>
                <w:rFonts w:ascii="宋体" w:hAnsi="宋体" w:cs="宋体" w:eastAsia="宋体"/>
                <w:b w:val="false"/>
              </w:rPr>
              <w:t>生益科技</w:t>
            </w:r>
          </w:p>
        </w:tc>
        <w:tc>
          <w:tcPr>
            <w:tcW/>
            <w:vAlign w:val="center"/>
          </w:tcPr>
          <w:p>
            <w:pPr>
              <w:spacing w:line="240" w:lineRule="auto"/>
              <w:jc w:val="right"/>
            </w:pPr>
            <w:r>
              <w:rPr>
                <w:rFonts w:ascii="宋体" w:hAnsi="宋体" w:cs="宋体" w:eastAsia="宋体"/>
                <w:b w:val="false"/>
              </w:rPr>
              <w:t>2,810,400</w:t>
            </w:r>
          </w:p>
        </w:tc>
        <w:tc>
          <w:tcPr>
            <w:tcW/>
            <w:vAlign w:val="center"/>
          </w:tcPr>
          <w:p>
            <w:pPr>
              <w:spacing w:line="240" w:lineRule="auto"/>
              <w:jc w:val="right"/>
            </w:pPr>
            <w:r>
              <w:rPr>
                <w:rFonts w:ascii="宋体" w:hAnsi="宋体" w:cs="宋体" w:eastAsia="宋体"/>
                <w:b w:val="false"/>
              </w:rPr>
              <w:t>200,690,664.00</w:t>
            </w:r>
          </w:p>
        </w:tc>
        <w:tc>
          <w:tcPr>
            <w:tcW/>
            <w:vAlign w:val="center"/>
          </w:tcPr>
          <w:p>
            <w:pPr>
              <w:spacing w:line="240" w:lineRule="auto"/>
              <w:jc w:val="right"/>
            </w:pPr>
            <w:r>
              <w:rPr>
                <w:rFonts w:ascii="宋体" w:hAnsi="宋体" w:cs="宋体" w:eastAsia="宋体"/>
                <w:b w:val="false"/>
              </w:rPr>
              <w:t>6.75</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603228</w:t>
            </w:r>
          </w:p>
        </w:tc>
        <w:tc>
          <w:tcPr>
            <w:tcW/>
            <w:vAlign w:val="center"/>
          </w:tcPr>
          <w:p>
            <w:pPr>
              <w:spacing w:line="240" w:lineRule="auto"/>
              <w:jc w:val="left"/>
            </w:pPr>
            <w:r>
              <w:rPr>
                <w:rFonts w:ascii="宋体" w:hAnsi="宋体" w:cs="宋体" w:eastAsia="宋体"/>
                <w:b w:val="false"/>
              </w:rPr>
              <w:t>景旺电子</w:t>
            </w:r>
          </w:p>
        </w:tc>
        <w:tc>
          <w:tcPr>
            <w:tcW/>
            <w:vAlign w:val="center"/>
          </w:tcPr>
          <w:p>
            <w:pPr>
              <w:spacing w:line="240" w:lineRule="auto"/>
              <w:jc w:val="right"/>
            </w:pPr>
            <w:r>
              <w:rPr>
                <w:rFonts w:ascii="宋体" w:hAnsi="宋体" w:cs="宋体" w:eastAsia="宋体"/>
                <w:b w:val="false"/>
              </w:rPr>
              <w:t>2,480,578</w:t>
            </w:r>
          </w:p>
        </w:tc>
        <w:tc>
          <w:tcPr>
            <w:tcW/>
            <w:vAlign w:val="center"/>
          </w:tcPr>
          <w:p>
            <w:pPr>
              <w:spacing w:line="240" w:lineRule="auto"/>
              <w:jc w:val="right"/>
            </w:pPr>
            <w:r>
              <w:rPr>
                <w:rFonts w:ascii="宋体" w:hAnsi="宋体" w:cs="宋体" w:eastAsia="宋体"/>
                <w:b w:val="false"/>
              </w:rPr>
              <w:t>181,305,446.02</w:t>
            </w:r>
          </w:p>
        </w:tc>
        <w:tc>
          <w:tcPr>
            <w:tcW/>
            <w:vAlign w:val="center"/>
          </w:tcPr>
          <w:p>
            <w:pPr>
              <w:spacing w:line="240" w:lineRule="auto"/>
              <w:jc w:val="right"/>
            </w:pPr>
            <w:r>
              <w:rPr>
                <w:rFonts w:ascii="宋体" w:hAnsi="宋体" w:cs="宋体" w:eastAsia="宋体"/>
                <w:b w:val="false"/>
              </w:rPr>
              <w:t>6.10</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002837</w:t>
            </w:r>
          </w:p>
        </w:tc>
        <w:tc>
          <w:tcPr>
            <w:tcW/>
            <w:vAlign w:val="center"/>
          </w:tcPr>
          <w:p>
            <w:pPr>
              <w:spacing w:line="240" w:lineRule="auto"/>
              <w:jc w:val="left"/>
            </w:pPr>
            <w:r>
              <w:rPr>
                <w:rFonts w:ascii="宋体" w:hAnsi="宋体" w:cs="宋体" w:eastAsia="宋体"/>
                <w:b w:val="false"/>
              </w:rPr>
              <w:t>英维克</w:t>
            </w:r>
          </w:p>
        </w:tc>
        <w:tc>
          <w:tcPr>
            <w:tcW/>
            <w:vAlign w:val="center"/>
          </w:tcPr>
          <w:p>
            <w:pPr>
              <w:spacing w:line="240" w:lineRule="auto"/>
              <w:jc w:val="right"/>
            </w:pPr>
            <w:r>
              <w:rPr>
                <w:rFonts w:ascii="宋体" w:hAnsi="宋体" w:cs="宋体" w:eastAsia="宋体"/>
                <w:b w:val="false"/>
              </w:rPr>
              <w:t>1,691,430</w:t>
            </w:r>
          </w:p>
        </w:tc>
        <w:tc>
          <w:tcPr>
            <w:tcW/>
            <w:vAlign w:val="center"/>
          </w:tcPr>
          <w:p>
            <w:pPr>
              <w:spacing w:line="240" w:lineRule="auto"/>
              <w:jc w:val="right"/>
            </w:pPr>
            <w:r>
              <w:rPr>
                <w:rFonts w:ascii="宋体" w:hAnsi="宋体" w:cs="宋体" w:eastAsia="宋体"/>
                <w:b w:val="false"/>
              </w:rPr>
              <w:t>180,796,952.70</w:t>
            </w:r>
          </w:p>
        </w:tc>
        <w:tc>
          <w:tcPr>
            <w:tcW/>
            <w:vAlign w:val="center"/>
          </w:tcPr>
          <w:p>
            <w:pPr>
              <w:spacing w:line="240" w:lineRule="auto"/>
              <w:jc w:val="right"/>
            </w:pPr>
            <w:r>
              <w:rPr>
                <w:rFonts w:ascii="宋体" w:hAnsi="宋体" w:cs="宋体" w:eastAsia="宋体"/>
                <w:b w:val="false"/>
              </w:rPr>
              <w:t>6.08</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300394</w:t>
            </w:r>
          </w:p>
        </w:tc>
        <w:tc>
          <w:tcPr>
            <w:tcW/>
            <w:vAlign w:val="center"/>
          </w:tcPr>
          <w:p>
            <w:pPr>
              <w:spacing w:line="240" w:lineRule="auto"/>
              <w:jc w:val="left"/>
            </w:pPr>
            <w:r>
              <w:rPr>
                <w:rFonts w:ascii="宋体" w:hAnsi="宋体" w:cs="宋体" w:eastAsia="宋体"/>
                <w:b w:val="false"/>
              </w:rPr>
              <w:t>天孚通信</w:t>
            </w:r>
          </w:p>
        </w:tc>
        <w:tc>
          <w:tcPr>
            <w:tcW/>
            <w:vAlign w:val="center"/>
          </w:tcPr>
          <w:p>
            <w:pPr>
              <w:spacing w:line="240" w:lineRule="auto"/>
              <w:jc w:val="right"/>
            </w:pPr>
            <w:r>
              <w:rPr>
                <w:rFonts w:ascii="宋体" w:hAnsi="宋体" w:cs="宋体" w:eastAsia="宋体"/>
                <w:b w:val="false"/>
              </w:rPr>
              <w:t>844,420</w:t>
            </w:r>
          </w:p>
        </w:tc>
        <w:tc>
          <w:tcPr>
            <w:tcW/>
            <w:vAlign w:val="center"/>
          </w:tcPr>
          <w:p>
            <w:pPr>
              <w:spacing w:line="240" w:lineRule="auto"/>
              <w:jc w:val="right"/>
            </w:pPr>
            <w:r>
              <w:rPr>
                <w:rFonts w:ascii="宋体" w:hAnsi="宋体" w:cs="宋体" w:eastAsia="宋体"/>
                <w:b w:val="false"/>
              </w:rPr>
              <w:t>171,442,592.60</w:t>
            </w:r>
          </w:p>
        </w:tc>
        <w:tc>
          <w:tcPr>
            <w:tcW/>
            <w:vAlign w:val="center"/>
          </w:tcPr>
          <w:p>
            <w:pPr>
              <w:spacing w:line="240" w:lineRule="auto"/>
              <w:jc w:val="right"/>
            </w:pPr>
            <w:r>
              <w:rPr>
                <w:rFonts w:ascii="宋体" w:hAnsi="宋体" w:cs="宋体" w:eastAsia="宋体"/>
                <w:b w:val="false"/>
              </w:rPr>
              <w:t>5.77</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688313</w:t>
            </w:r>
          </w:p>
        </w:tc>
        <w:tc>
          <w:tcPr>
            <w:tcW/>
            <w:vAlign w:val="center"/>
          </w:tcPr>
          <w:p>
            <w:pPr>
              <w:spacing w:line="240" w:lineRule="auto"/>
              <w:jc w:val="left"/>
            </w:pPr>
            <w:r>
              <w:rPr>
                <w:rFonts w:ascii="宋体" w:hAnsi="宋体" w:cs="宋体" w:eastAsia="宋体"/>
                <w:b w:val="false"/>
              </w:rPr>
              <w:t>仕佳光子</w:t>
            </w:r>
          </w:p>
        </w:tc>
        <w:tc>
          <w:tcPr>
            <w:tcW/>
            <w:vAlign w:val="center"/>
          </w:tcPr>
          <w:p>
            <w:pPr>
              <w:spacing w:line="240" w:lineRule="auto"/>
              <w:jc w:val="right"/>
            </w:pPr>
            <w:r>
              <w:rPr>
                <w:rFonts w:ascii="宋体" w:hAnsi="宋体" w:cs="宋体" w:eastAsia="宋体"/>
                <w:b w:val="false"/>
              </w:rPr>
              <w:t>1,800,937</w:t>
            </w:r>
          </w:p>
        </w:tc>
        <w:tc>
          <w:tcPr>
            <w:tcW/>
            <w:vAlign w:val="center"/>
          </w:tcPr>
          <w:p>
            <w:pPr>
              <w:spacing w:line="240" w:lineRule="auto"/>
              <w:jc w:val="right"/>
            </w:pPr>
            <w:r>
              <w:rPr>
                <w:rFonts w:ascii="宋体" w:hAnsi="宋体" w:cs="宋体" w:eastAsia="宋体"/>
                <w:b w:val="false"/>
              </w:rPr>
              <w:t>159,887,186.86</w:t>
            </w:r>
          </w:p>
        </w:tc>
        <w:tc>
          <w:tcPr>
            <w:tcW/>
            <w:vAlign w:val="center"/>
          </w:tcPr>
          <w:p>
            <w:pPr>
              <w:spacing w:line="240" w:lineRule="auto"/>
              <w:jc w:val="right"/>
            </w:pPr>
            <w:r>
              <w:rPr>
                <w:rFonts w:ascii="宋体" w:hAnsi="宋体" w:cs="宋体" w:eastAsia="宋体"/>
                <w:b w:val="false"/>
              </w:rPr>
              <w:t>5.38</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688498</w:t>
            </w:r>
          </w:p>
        </w:tc>
        <w:tc>
          <w:tcPr>
            <w:tcW/>
            <w:vAlign w:val="center"/>
          </w:tcPr>
          <w:p>
            <w:pPr>
              <w:spacing w:line="240" w:lineRule="auto"/>
              <w:jc w:val="left"/>
            </w:pPr>
            <w:r>
              <w:rPr>
                <w:rFonts w:ascii="宋体" w:hAnsi="宋体" w:cs="宋体" w:eastAsia="宋体"/>
                <w:b w:val="false"/>
              </w:rPr>
              <w:t>源杰科技</w:t>
            </w:r>
          </w:p>
        </w:tc>
        <w:tc>
          <w:tcPr>
            <w:tcW/>
            <w:vAlign w:val="center"/>
          </w:tcPr>
          <w:p>
            <w:pPr>
              <w:spacing w:line="240" w:lineRule="auto"/>
              <w:jc w:val="right"/>
            </w:pPr>
            <w:r>
              <w:rPr>
                <w:rFonts w:ascii="宋体" w:hAnsi="宋体" w:cs="宋体" w:eastAsia="宋体"/>
                <w:b w:val="false"/>
              </w:rPr>
              <w:t>220,812</w:t>
            </w:r>
          </w:p>
        </w:tc>
        <w:tc>
          <w:tcPr>
            <w:tcW/>
            <w:vAlign w:val="center"/>
          </w:tcPr>
          <w:p>
            <w:pPr>
              <w:spacing w:line="240" w:lineRule="auto"/>
              <w:jc w:val="right"/>
            </w:pPr>
            <w:r>
              <w:rPr>
                <w:rFonts w:ascii="宋体" w:hAnsi="宋体" w:cs="宋体" w:eastAsia="宋体"/>
                <w:b w:val="false"/>
              </w:rPr>
              <w:t>141,759,095.88</w:t>
            </w:r>
          </w:p>
        </w:tc>
        <w:tc>
          <w:tcPr>
            <w:tcW/>
            <w:vAlign w:val="center"/>
          </w:tcPr>
          <w:p>
            <w:pPr>
              <w:spacing w:line="240" w:lineRule="auto"/>
              <w:jc w:val="right"/>
            </w:pPr>
            <w:r>
              <w:rPr>
                <w:rFonts w:ascii="宋体" w:hAnsi="宋体" w:cs="宋体" w:eastAsia="宋体"/>
                <w:b w:val="false"/>
              </w:rPr>
              <w:t>4.77</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202,475,302.46</w:t>
            </w:r>
          </w:p>
        </w:tc>
        <w:tc>
          <w:tcPr>
            <w:tcW/>
            <w:vAlign w:val="center"/>
          </w:tcPr>
          <w:p>
            <w:pPr>
              <w:spacing w:line="240" w:lineRule="auto"/>
              <w:jc w:val="right"/>
            </w:pPr>
            <w:r>
              <w:rPr>
                <w:rFonts w:ascii="宋体" w:hAnsi="宋体" w:cs="宋体" w:eastAsia="宋体"/>
                <w:b w:val="false"/>
              </w:rPr>
              <w:t>6.81</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202,475,302.46</w:t>
            </w:r>
          </w:p>
        </w:tc>
        <w:tc>
          <w:tcPr>
            <w:tcW/>
            <w:vAlign w:val="center"/>
          </w:tcPr>
          <w:p>
            <w:pPr>
              <w:spacing w:line="240" w:lineRule="auto"/>
              <w:jc w:val="right"/>
            </w:pPr>
            <w:r>
              <w:rPr>
                <w:rFonts w:ascii="宋体" w:hAnsi="宋体" w:cs="宋体" w:eastAsia="宋体"/>
                <w:b w:val="false"/>
              </w:rPr>
              <w:t>6.81</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019766</w:t>
            </w:r>
          </w:p>
        </w:tc>
        <w:tc>
          <w:tcPr>
            <w:tcW/>
            <w:vAlign w:val="center"/>
          </w:tcPr>
          <w:p>
            <w:pPr>
              <w:spacing w:line="240" w:lineRule="auto"/>
              <w:jc w:val="left"/>
            </w:pPr>
            <w:r>
              <w:rPr>
                <w:rFonts w:ascii="宋体" w:hAnsi="宋体" w:cs="宋体" w:eastAsia="宋体"/>
                <w:b w:val="false"/>
              </w:rPr>
              <w:t>25国债01</w:t>
            </w:r>
          </w:p>
        </w:tc>
        <w:tc>
          <w:tcPr>
            <w:tcW/>
            <w:vAlign w:val="center"/>
          </w:tcPr>
          <w:p>
            <w:pPr>
              <w:spacing w:line="240" w:lineRule="auto"/>
              <w:jc w:val="right"/>
            </w:pPr>
            <w:r>
              <w:rPr>
                <w:rFonts w:ascii="宋体" w:hAnsi="宋体" w:cs="宋体" w:eastAsia="宋体"/>
                <w:b w:val="false"/>
              </w:rPr>
              <w:t>726,000</w:t>
            </w:r>
          </w:p>
        </w:tc>
        <w:tc>
          <w:tcPr>
            <w:tcW/>
            <w:vAlign w:val="center"/>
          </w:tcPr>
          <w:p>
            <w:pPr>
              <w:spacing w:line="240" w:lineRule="auto"/>
              <w:jc w:val="right"/>
            </w:pPr>
            <w:r>
              <w:rPr>
                <w:rFonts w:ascii="宋体" w:hAnsi="宋体" w:cs="宋体" w:eastAsia="宋体"/>
                <w:b w:val="false"/>
              </w:rPr>
              <w:t>73,409,857.97</w:t>
            </w:r>
          </w:p>
        </w:tc>
        <w:tc>
          <w:tcPr>
            <w:tcW/>
            <w:vAlign w:val="center"/>
          </w:tcPr>
          <w:p>
            <w:pPr>
              <w:spacing w:line="240" w:lineRule="auto"/>
              <w:jc w:val="right"/>
            </w:pPr>
            <w:r>
              <w:rPr>
                <w:rFonts w:ascii="宋体" w:hAnsi="宋体" w:cs="宋体" w:eastAsia="宋体"/>
                <w:b w:val="false"/>
              </w:rPr>
              <w:t>2.47</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019773</w:t>
            </w:r>
          </w:p>
        </w:tc>
        <w:tc>
          <w:tcPr>
            <w:tcW/>
            <w:vAlign w:val="center"/>
          </w:tcPr>
          <w:p>
            <w:pPr>
              <w:spacing w:line="240" w:lineRule="auto"/>
              <w:jc w:val="left"/>
            </w:pPr>
            <w:r>
              <w:rPr>
                <w:rFonts w:ascii="宋体" w:hAnsi="宋体" w:cs="宋体" w:eastAsia="宋体"/>
                <w:b w:val="false"/>
              </w:rPr>
              <w:t>25国债08</w:t>
            </w:r>
          </w:p>
        </w:tc>
        <w:tc>
          <w:tcPr>
            <w:tcW/>
            <w:vAlign w:val="center"/>
          </w:tcPr>
          <w:p>
            <w:pPr>
              <w:spacing w:line="240" w:lineRule="auto"/>
              <w:jc w:val="right"/>
            </w:pPr>
            <w:r>
              <w:rPr>
                <w:rFonts w:ascii="宋体" w:hAnsi="宋体" w:cs="宋体" w:eastAsia="宋体"/>
                <w:b w:val="false"/>
              </w:rPr>
              <w:t>722,000</w:t>
            </w:r>
          </w:p>
        </w:tc>
        <w:tc>
          <w:tcPr>
            <w:tcW/>
            <w:vAlign w:val="center"/>
          </w:tcPr>
          <w:p>
            <w:pPr>
              <w:spacing w:line="240" w:lineRule="auto"/>
              <w:jc w:val="right"/>
            </w:pPr>
            <w:r>
              <w:rPr>
                <w:rFonts w:ascii="宋体" w:hAnsi="宋体" w:cs="宋体" w:eastAsia="宋体"/>
                <w:b w:val="false"/>
              </w:rPr>
              <w:t>72,928,962.85</w:t>
            </w:r>
          </w:p>
        </w:tc>
        <w:tc>
          <w:tcPr>
            <w:tcW/>
            <w:vAlign w:val="center"/>
          </w:tcPr>
          <w:p>
            <w:pPr>
              <w:spacing w:line="240" w:lineRule="auto"/>
              <w:jc w:val="right"/>
            </w:pPr>
            <w:r>
              <w:rPr>
                <w:rFonts w:ascii="宋体" w:hAnsi="宋体" w:cs="宋体" w:eastAsia="宋体"/>
                <w:b w:val="false"/>
              </w:rPr>
              <w:t>2.45</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558,000</w:t>
            </w:r>
          </w:p>
        </w:tc>
        <w:tc>
          <w:tcPr>
            <w:tcW/>
            <w:vAlign w:val="center"/>
          </w:tcPr>
          <w:p>
            <w:pPr>
              <w:spacing w:line="240" w:lineRule="auto"/>
              <w:jc w:val="right"/>
            </w:pPr>
            <w:r>
              <w:rPr>
                <w:rFonts w:ascii="宋体" w:hAnsi="宋体" w:cs="宋体" w:eastAsia="宋体"/>
                <w:b w:val="false"/>
              </w:rPr>
              <w:t>56,136,481.64</w:t>
            </w:r>
          </w:p>
        </w:tc>
        <w:tc>
          <w:tcPr>
            <w:tcW/>
            <w:vAlign w:val="center"/>
          </w:tcPr>
          <w:p>
            <w:pPr>
              <w:spacing w:line="240" w:lineRule="auto"/>
              <w:jc w:val="right"/>
            </w:pPr>
            <w:r>
              <w:rPr>
                <w:rFonts w:ascii="宋体" w:hAnsi="宋体" w:cs="宋体" w:eastAsia="宋体"/>
                <w:b w:val="false"/>
              </w:rPr>
              <w:t>1.89</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28,383,980.80</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28,383,980.80</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东方阿尔法优势产业混合A</w:t>
            </w:r>
          </w:p>
        </w:tc>
        <w:tc>
          <w:tcPr>
            <w:tcW w:type="pct" w:w="1300"/>
            <w:vAlign w:val="center"/>
          </w:tcPr>
          <w:p>
            <w:pPr>
              <w:spacing w:line="240" w:lineRule="auto"/>
              <w:jc w:val="center"/>
            </w:pPr>
            <w:r>
              <w:rPr>
                <w:rFonts w:ascii="宋体" w:hAnsi="宋体" w:cs="宋体" w:eastAsia="宋体"/>
                <w:b w:val="false"/>
              </w:rPr>
              <w:t>东方阿尔法优势产业混合C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923,338,416.42</w:t>
            </w:r>
          </w:p>
        </w:tc>
        <w:tc>
          <w:tcPr>
            <w:tcW w:type="pct" w:w="1300"/>
            <w:vAlign w:val="center"/>
          </w:tcPr>
          <w:p>
            <w:pPr>
              <w:spacing w:line="240" w:lineRule="auto"/>
              <w:jc w:val="right"/>
            </w:pPr>
            <w:r>
              <w:rPr>
                <w:rFonts w:ascii="宋体" w:hAnsi="宋体" w:cs="宋体" w:eastAsia="宋体"/>
                <w:b w:val="false"/>
              </w:rPr>
              <w:t>1,007,746,975.54</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96,883,047.06</w:t>
            </w:r>
          </w:p>
        </w:tc>
        <w:tc>
          <w:tcPr>
            <w:tcW w:type="pct" w:w="1300"/>
            <w:vAlign w:val="center"/>
          </w:tcPr>
          <w:p>
            <w:pPr>
              <w:spacing w:line="240" w:lineRule="auto"/>
              <w:jc w:val="right"/>
            </w:pPr>
            <w:r>
              <w:rPr>
                <w:rFonts w:ascii="宋体" w:hAnsi="宋体" w:cs="宋体" w:eastAsia="宋体"/>
                <w:b w:val="false"/>
              </w:rPr>
              <w:t>323,592,813.08</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255,698,930.08</w:t>
            </w:r>
          </w:p>
        </w:tc>
        <w:tc>
          <w:tcPr>
            <w:tcW w:type="pct" w:w="1300"/>
            <w:vAlign w:val="center"/>
          </w:tcPr>
          <w:p>
            <w:pPr>
              <w:spacing w:line="240" w:lineRule="auto"/>
              <w:jc w:val="right"/>
            </w:pPr>
            <w:r>
              <w:rPr>
                <w:rFonts w:ascii="宋体" w:hAnsi="宋体" w:cs="宋体" w:eastAsia="宋体"/>
                <w:b w:val="false"/>
              </w:rPr>
              <w:t>651,138,506.88</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764,522,533.40</w:t>
            </w:r>
          </w:p>
        </w:tc>
        <w:tc>
          <w:tcPr>
            <w:tcW w:type="pct" w:w="1300"/>
            <w:vAlign w:val="center"/>
          </w:tcPr>
          <w:p>
            <w:pPr>
              <w:spacing w:line="240" w:lineRule="auto"/>
              <w:jc w:val="right"/>
            </w:pPr>
            <w:r>
              <w:rPr>
                <w:rFonts w:ascii="宋体" w:hAnsi="宋体" w:cs="宋体" w:eastAsia="宋体"/>
                <w:b w:val="false"/>
              </w:rPr>
              <w:t>680,201,281.74</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r>
        <w:rPr>
          <w:rFonts w:ascii="宋体" w:hAnsi="宋体" w:cs="宋体" w:eastAsia="宋体"/>
          <w:b w:val="false"/>
        </w:rPr>
        <w:t xml:space="preserve">    截至本报告期末，本基金管理人未持有本基金份额。</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2020年06月28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1、中国证券监督管理委员会批准的东方阿尔法优势产业混合型发起式证券投资基金设立的文件；</w:t>
        <w:cr/>
      </w:r>
      <w:r>
        <w:rPr>
          <w:rFonts w:ascii="宋体" w:hAnsi="宋体" w:cs="宋体" w:eastAsia="宋体"/>
          <w:b w:val="false"/>
        </w:rPr>
        <w:t xml:space="preserve">    2、《东方阿尔法优势产业混合型发起式证券投资基金基金合同》；</w:t>
        <w:cr/>
      </w:r>
      <w:r>
        <w:rPr>
          <w:rFonts w:ascii="宋体" w:hAnsi="宋体" w:cs="宋体" w:eastAsia="宋体"/>
          <w:b w:val="false"/>
        </w:rPr>
        <w:t xml:space="preserve">    3、《东方阿尔法优势产业混合型发起式证券投资基金托管协议》；</w:t>
        <w:cr/>
      </w:r>
      <w:r>
        <w:rPr>
          <w:rFonts w:ascii="宋体" w:hAnsi="宋体" w:cs="宋体" w:eastAsia="宋体"/>
          <w:b w:val="false"/>
        </w:rPr>
        <w:t xml:space="preserve">    4、《东方阿尔法优势产业混合型发起式证券投资基金招募说明书》（含更新）；</w:t>
        <w:c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cr/>
      </w:r>
      <w:r>
        <w:rPr>
          <w:rFonts w:ascii="宋体" w:hAnsi="宋体" w:cs="宋体" w:eastAsia="宋体"/>
          <w:b w:val="false"/>
        </w:rPr>
        <w:t xml:space="preserve">    2、投资者对本报告书如有疑问，可咨询本基金管理人东方阿尔法基金管理有限公司，客户服务电话：400-930-6677（免长途话费）。</w:t>
        <w:c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二〇二六年一月十六日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东方阿尔法优势产业混合型发起式证券投资基金2025年第4季度报告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