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东方阿尔法产业先锋混合型发起式证券投资基金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2026年01月22日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基金托管人招商银行股份有限公司根据本基金合同规定，于2026年01月21日复核了本报告中的财务指标、净值表现和投资组合报告等内容，保证复核内容不存在虚假记载、误导性陈述或者重大遗漏。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本报告期自2025年10月01日起至2025年12月31日止。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东方阿尔法产业先锋混合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1,620,194,193.49份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本基金的投资策略主要有以下10个方面内容：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本基金根据对宏观经济周期的分析研究，结合基本面、市面场、政策面等多种因素的综合考量，研判所处经济周期的位置及未来发展方向，以确定组合中股票、债券、货币市场工具及其他金融工具的比例。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r>
              <w:rPr>
                <w:rFonts w:ascii="宋体" w:hAnsi="宋体" w:eastAsia="宋体" w:cs="宋体"/>
                <w:b w:val="0"/>
              </w:rPr>
              <w:br w:type="textWrapping"/>
            </w:r>
            <w:r>
              <w:rPr>
                <w:rFonts w:ascii="宋体" w:hAnsi="宋体" w:eastAsia="宋体" w:cs="宋体"/>
                <w:b w:val="0"/>
              </w:rPr>
              <w:t>3、存托凭证投资策略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对于可转换债券的投资，本基金将在评估其偿债能力的同时兼顾公司的成长性，以期通过转换条款分享因股价上升带来的高收益。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9、股票期权的投资策略</w:t>
            </w:r>
            <w:r>
              <w:rPr>
                <w:rFonts w:ascii="宋体" w:hAnsi="宋体" w:eastAsia="宋体" w:cs="宋体"/>
                <w:b w:val="0"/>
              </w:rPr>
              <w:br w:type="textWrapping"/>
            </w:r>
            <w:r>
              <w:rPr>
                <w:rFonts w:ascii="宋体" w:hAnsi="宋体" w:eastAsia="宋体" w:cs="宋体"/>
                <w:b w:val="0"/>
              </w:rPr>
              <w:t>本基金投资股票期权将以套期保值为主要目的，结合投资目标、比例限制、风险收益特征以及法律法规的相关限定和要求，确定参与股票期权交易的投资时机和投资比例。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10、资产支持证券投资策略</w:t>
            </w:r>
            <w:r>
              <w:rPr>
                <w:rFonts w:ascii="宋体" w:hAnsi="宋体" w:eastAsia="宋体" w:cs="宋体"/>
                <w:b w:val="0"/>
              </w:rPr>
              <w:br w:type="textWrapping"/>
            </w:r>
            <w:r>
              <w:rPr>
                <w:rFonts w:ascii="宋体" w:hAnsi="宋体" w:eastAsia="宋体" w:cs="宋体"/>
                <w:b w:val="0"/>
              </w:rPr>
              <w:t>本基金可以投资包括资产抵押贷款支持证券(ABS)、住房抵押贷款支持证券(MBS)等在内的资产支持证券。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东方阿尔法产业先锋混合A</w:t>
            </w:r>
          </w:p>
        </w:tc>
        <w:tc>
          <w:tcPr>
            <w:tcW w:w="1500" w:type="pct"/>
            <w:vAlign w:val="center"/>
          </w:tcPr>
          <w:p>
            <w:pPr>
              <w:spacing w:line="240" w:lineRule="auto"/>
              <w:jc w:val="left"/>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011704</w:t>
            </w:r>
          </w:p>
        </w:tc>
        <w:tc>
          <w:tcPr>
            <w:tcW w:w="1500" w:type="pct"/>
            <w:vAlign w:val="center"/>
          </w:tcPr>
          <w:p>
            <w:pPr>
              <w:spacing w:line="240" w:lineRule="auto"/>
              <w:jc w:val="left"/>
            </w:pPr>
            <w:r>
              <w:rPr>
                <w:rFonts w:ascii="宋体" w:hAnsi="宋体" w:eastAsia="宋体" w:cs="宋体"/>
                <w:b w:val="0"/>
              </w:rPr>
              <w:t>011705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1,145,587,691.28份</w:t>
            </w:r>
          </w:p>
        </w:tc>
        <w:tc>
          <w:tcPr>
            <w:tcW w:w="1500" w:type="pct"/>
            <w:vAlign w:val="center"/>
          </w:tcPr>
          <w:p>
            <w:pPr>
              <w:spacing w:line="240" w:lineRule="auto"/>
              <w:jc w:val="left"/>
            </w:pPr>
            <w:r>
              <w:rPr>
                <w:rFonts w:ascii="宋体" w:hAnsi="宋体" w:eastAsia="宋体" w:cs="宋体"/>
                <w:b w:val="0"/>
              </w:rPr>
              <w:t>474,606,502.21份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报告期（2025年10月01日-2025年12月31日）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55,993,272.74</w:t>
            </w:r>
          </w:p>
        </w:tc>
        <w:tc>
          <w:tcPr>
            <w:tcW w:w="1500" w:type="pct"/>
            <w:vAlign w:val="center"/>
          </w:tcPr>
          <w:p>
            <w:pPr>
              <w:spacing w:line="240" w:lineRule="auto"/>
              <w:jc w:val="right"/>
            </w:pPr>
            <w:r>
              <w:rPr>
                <w:rFonts w:ascii="宋体" w:hAnsi="宋体" w:eastAsia="宋体" w:cs="宋体"/>
                <w:b w:val="0"/>
              </w:rPr>
              <w:t>25,130,600.56</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-30,232,179.43</w:t>
            </w:r>
          </w:p>
        </w:tc>
        <w:tc>
          <w:tcPr>
            <w:tcW w:w="1500" w:type="pct"/>
            <w:vAlign w:val="center"/>
          </w:tcPr>
          <w:p>
            <w:pPr>
              <w:spacing w:line="240" w:lineRule="auto"/>
              <w:jc w:val="right"/>
            </w:pPr>
            <w:r>
              <w:rPr>
                <w:rFonts w:ascii="宋体" w:hAnsi="宋体" w:eastAsia="宋体" w:cs="宋体"/>
                <w:b w:val="0"/>
              </w:rPr>
              <w:t>-20,371,145.85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-0.0256</w:t>
            </w:r>
          </w:p>
        </w:tc>
        <w:tc>
          <w:tcPr>
            <w:tcW w:w="1500" w:type="pct"/>
            <w:vAlign w:val="center"/>
          </w:tcPr>
          <w:p>
            <w:pPr>
              <w:spacing w:line="240" w:lineRule="auto"/>
              <w:jc w:val="right"/>
            </w:pPr>
            <w:r>
              <w:rPr>
                <w:rFonts w:ascii="宋体" w:hAnsi="宋体" w:eastAsia="宋体" w:cs="宋体"/>
                <w:b w:val="0"/>
              </w:rPr>
              <w:t>-0.0351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725,973,018.32</w:t>
            </w:r>
          </w:p>
        </w:tc>
        <w:tc>
          <w:tcPr>
            <w:tcW w:w="1500" w:type="pct"/>
            <w:vAlign w:val="center"/>
          </w:tcPr>
          <w:p>
            <w:pPr>
              <w:spacing w:line="240" w:lineRule="auto"/>
              <w:jc w:val="right"/>
            </w:pPr>
            <w:r>
              <w:rPr>
                <w:rFonts w:ascii="宋体" w:hAnsi="宋体" w:eastAsia="宋体" w:cs="宋体"/>
                <w:b w:val="0"/>
              </w:rPr>
              <w:t>294,144,598.58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0.6337</w:t>
            </w:r>
          </w:p>
        </w:tc>
        <w:tc>
          <w:tcPr>
            <w:tcW w:w="1500" w:type="pct"/>
            <w:vAlign w:val="center"/>
          </w:tcPr>
          <w:p>
            <w:pPr>
              <w:spacing w:line="240" w:lineRule="auto"/>
              <w:jc w:val="right"/>
            </w:pPr>
            <w:r>
              <w:rPr>
                <w:rFonts w:ascii="宋体" w:hAnsi="宋体" w:eastAsia="宋体" w:cs="宋体"/>
                <w:b w:val="0"/>
              </w:rPr>
              <w:t>0.6198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东方阿尔法产业先锋混合A净值表现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-3.75%</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-3.92%</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41.55%</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25.94%</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41.14%</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24.33%</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-8.99%</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-29.90%</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-36.63%</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-37.07%</w:t>
            </w:r>
          </w:p>
        </w:tc>
        <w:tc>
          <w:tcPr>
            <w:tcW w:w="0" w:type="dxa"/>
            <w:vAlign w:val="center"/>
          </w:tcPr>
          <w:p>
            <w:pPr>
              <w:spacing w:line="240" w:lineRule="auto"/>
              <w:jc w:val="right"/>
            </w:pPr>
            <w:r>
              <w:rPr>
                <w:rFonts w:ascii="宋体" w:hAnsi="宋体" w:eastAsia="宋体" w:cs="宋体"/>
                <w:b w:val="0"/>
              </w:rPr>
              <w:t>1.05%</w:t>
            </w:r>
          </w:p>
        </w:tc>
      </w:tr>
    </w:tbl>
    <w:p>
      <w:pPr>
        <w:jc w:val="left"/>
      </w:pPr>
      <w:r>
        <w:rPr>
          <w:rFonts w:ascii="宋体" w:hAnsi="宋体" w:eastAsia="宋体" w:cs="宋体"/>
          <w:b/>
        </w:rPr>
        <w:t>东方阿尔法产业先锋混合C净值表现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-3.88%</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-4.05%</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41.22%</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25.61%</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40.45%</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23.64%</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-10.34%</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-31.25%</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-38.02%</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-38.46%</w:t>
            </w:r>
          </w:p>
        </w:tc>
        <w:tc>
          <w:tcPr>
            <w:tcW w:w="0" w:type="dxa"/>
            <w:vAlign w:val="center"/>
          </w:tcPr>
          <w:p>
            <w:pPr>
              <w:spacing w:line="240" w:lineRule="auto"/>
              <w:jc w:val="right"/>
            </w:pPr>
            <w:r>
              <w:rPr>
                <w:rFonts w:ascii="宋体" w:hAnsi="宋体" w:eastAsia="宋体" w:cs="宋体"/>
                <w:b w:val="0"/>
              </w:rPr>
              <w:t>1.05%</w:t>
            </w:r>
          </w:p>
        </w:tc>
      </w:tr>
    </w:tbl>
    <w:p>
      <w:r>
        <w:rPr>
          <w:rFonts w:ascii="宋体" w:hAnsi="宋体" w:eastAsia="宋体" w:cs="宋体"/>
          <w:b w:val="0"/>
        </w:rPr>
        <w:t>注：1、本基金业绩比较基准为：中证800指数收益率×80%+中证综合债券指数收益率×20%。</w:t>
      </w:r>
      <w:r>
        <w:rPr>
          <w:rFonts w:ascii="宋体" w:hAnsi="宋体" w:eastAsia="宋体" w:cs="宋体"/>
          <w:b w:val="0"/>
        </w:rPr>
        <w:cr/>
      </w:r>
      <w:r>
        <w:rPr>
          <w:rFonts w:ascii="宋体" w:hAnsi="宋体" w:eastAsia="宋体" w:cs="宋体"/>
          <w:b w:val="0"/>
        </w:rPr>
        <w:t>2、本基金自2021年07月21日成立至今尚未满五年，无过去五年的净值表现。</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2025-07-01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基金经理（已离任）</w:t>
            </w:r>
          </w:p>
        </w:tc>
        <w:tc>
          <w:tcPr>
            <w:tcW w:w="0" w:type="dxa"/>
            <w:vAlign w:val="center"/>
          </w:tcPr>
          <w:p>
            <w:pPr>
              <w:spacing w:line="240" w:lineRule="auto"/>
              <w:jc w:val="center"/>
            </w:pPr>
            <w:r>
              <w:rPr>
                <w:rFonts w:ascii="宋体" w:hAnsi="宋体" w:eastAsia="宋体" w:cs="宋体"/>
                <w:b w:val="0"/>
              </w:rPr>
              <w:t>2024-01-30</w:t>
            </w:r>
          </w:p>
        </w:tc>
        <w:tc>
          <w:tcPr>
            <w:tcW w:w="0" w:type="dxa"/>
            <w:vAlign w:val="center"/>
          </w:tcPr>
          <w:p>
            <w:pPr>
              <w:spacing w:line="240" w:lineRule="auto"/>
              <w:jc w:val="center"/>
            </w:pPr>
            <w:r>
              <w:rPr>
                <w:rFonts w:ascii="宋体" w:hAnsi="宋体" w:eastAsia="宋体" w:cs="宋体"/>
                <w:b w:val="0"/>
              </w:rPr>
              <w:t>2025-11-05</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的锂电池产业经历显著反转。年初市场对行业预期分化：新能源汽车在政策补贴、智驾渗透及新车型驱动下快速增长，动力电池需求乐观；而储能行业则因关税担忧、强制配储取消及电价交易机制变化等因素被看衰。实际情况却超预期，中美博弈后关税影响可控，强制配储取消后电价峰谷价差迅速拉大，储能系统盈利能力提升，带动中国和全球储能电池产销增速预计超80%。储能需求爆发进一步推升来年锂电设备订单预期，促使锂电设备在三季度表现突出。</w:t>
      </w:r>
      <w:r>
        <w:rPr>
          <w:rFonts w:ascii="宋体" w:hAnsi="宋体" w:eastAsia="宋体" w:cs="宋体"/>
          <w:b w:val="0"/>
        </w:rPr>
        <w:cr/>
      </w:r>
      <w:r>
        <w:rPr>
          <w:rFonts w:ascii="宋体" w:hAnsi="宋体" w:eastAsia="宋体" w:cs="宋体"/>
          <w:b w:val="0"/>
        </w:rPr>
        <w:t xml:space="preserve">    上游原材料供给端却显乏力。2023-2024年价格下行周期中行业经历激烈竞争与普遍亏损，导致中小产能出清，企业扩产意愿异常谨慎。三季度行业协会研讨中，多家企业已形成"不能盲目扩产"共识，并出现"反内卷"等限制产能提议。同时，锂电产业链各环节库存均处低位，市场缓冲能力薄弱，一旦需求出现脉冲式增长，补库行为极易推动价格快速拉升，这也促成了四季度锂电池材料价格的可观上行。</w:t>
      </w:r>
      <w:r>
        <w:rPr>
          <w:rFonts w:ascii="宋体" w:hAnsi="宋体" w:eastAsia="宋体" w:cs="宋体"/>
          <w:b w:val="0"/>
        </w:rPr>
        <w:cr/>
      </w:r>
      <w:r>
        <w:rPr>
          <w:rFonts w:ascii="宋体" w:hAnsi="宋体" w:eastAsia="宋体" w:cs="宋体"/>
          <w:b w:val="0"/>
        </w:rPr>
        <w:t xml:space="preserve">    政策层面，工信部四季度对硫化物全固态电池技术进行中期验收，市场反馈显示头部电池厂通过问题不大，12月也对半固态电池完成验收。预计明年2-3月工信部形成最终验收报告后，通过验收电池厂的设备与材料供应商将受益于后续固态电池扩产。</w:t>
      </w:r>
      <w:r>
        <w:rPr>
          <w:rFonts w:ascii="宋体" w:hAnsi="宋体" w:eastAsia="宋体" w:cs="宋体"/>
          <w:b w:val="0"/>
        </w:rPr>
        <w:cr/>
      </w:r>
      <w:r>
        <w:rPr>
          <w:rFonts w:ascii="宋体" w:hAnsi="宋体" w:eastAsia="宋体" w:cs="宋体"/>
          <w:b w:val="0"/>
        </w:rPr>
        <w:t xml:space="preserve">    本基金在三季度抓住了设备扩产机会，四季度成功把握六氟磷酸锂、电解液、正极材料的涨价行情。展望2026年，经产业链梳理，我们认为六氟磷酸锂上半年仍将紧缺，隔膜、铝箔、硫化锂等环节格局较优。工信部验收完成后，我们将及时梳理通过验收的电池厂及其供应商。2026年将是固态电池产业元年，一旦通过验收，其上车进度将加快，渗透率有望快速提升至远超液态锂电的市场规模。我们将密切跟踪固态电池产业结构变化，把握其中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产业先锋混合A基金份额净值为0.6337元，本报告期内，该类基金份额净值增长率为-3.75%，同期业绩比较基准收益率为0.17%；截至报告期末东方阿尔法产业先锋混合C基金份额净值为0.6198元，本报告期内，该类基金份额净值增长率为-3.88%，同期业绩比较基准收益率为0.17%。</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38,646,875.34</w:t>
            </w:r>
          </w:p>
        </w:tc>
        <w:tc>
          <w:tcPr>
            <w:tcW w:w="0" w:type="dxa"/>
            <w:vAlign w:val="center"/>
          </w:tcPr>
          <w:p>
            <w:pPr>
              <w:spacing w:line="240" w:lineRule="auto"/>
              <w:jc w:val="right"/>
            </w:pPr>
            <w:r>
              <w:rPr>
                <w:rFonts w:ascii="宋体" w:hAnsi="宋体" w:eastAsia="宋体" w:cs="宋体"/>
                <w:b w:val="0"/>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1,910,089.86</w:t>
            </w:r>
          </w:p>
        </w:tc>
        <w:tc>
          <w:tcPr>
            <w:tcW w:w="0" w:type="dxa"/>
            <w:vAlign w:val="center"/>
          </w:tcPr>
          <w:p>
            <w:pPr>
              <w:spacing w:line="240" w:lineRule="auto"/>
              <w:jc w:val="right"/>
            </w:pPr>
            <w:r>
              <w:rPr>
                <w:rFonts w:ascii="宋体" w:hAnsi="宋体" w:eastAsia="宋体" w:cs="宋体"/>
                <w:b w:val="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1,095,232,894.44</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426,830.84</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900,218,671.69</w:t>
            </w:r>
          </w:p>
        </w:tc>
        <w:tc>
          <w:tcPr>
            <w:tcW w:w="0" w:type="dxa"/>
            <w:vAlign w:val="center"/>
          </w:tcPr>
          <w:p>
            <w:pPr>
              <w:spacing w:line="240" w:lineRule="auto"/>
              <w:jc w:val="right"/>
            </w:pPr>
            <w:r>
              <w:rPr>
                <w:rFonts w:ascii="宋体" w:hAnsi="宋体" w:eastAsia="宋体" w:cs="宋体"/>
                <w:b w:val="0"/>
              </w:rPr>
              <w:t>88.25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425,955.33</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27,614.09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94.53</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1,863,100</w:t>
            </w:r>
          </w:p>
        </w:tc>
        <w:tc>
          <w:tcPr>
            <w:tcW w:w="0" w:type="dxa"/>
            <w:vAlign w:val="center"/>
          </w:tcPr>
          <w:p>
            <w:pPr>
              <w:spacing w:line="240" w:lineRule="auto"/>
              <w:jc w:val="right"/>
            </w:pPr>
            <w:r>
              <w:rPr>
                <w:rFonts w:ascii="宋体" w:hAnsi="宋体" w:eastAsia="宋体" w:cs="宋体"/>
                <w:b w:val="0"/>
              </w:rPr>
              <w:t>65,860,585.00</w:t>
            </w:r>
          </w:p>
        </w:tc>
        <w:tc>
          <w:tcPr>
            <w:tcW w:w="0" w:type="dxa"/>
            <w:vAlign w:val="center"/>
          </w:tcPr>
          <w:p>
            <w:pPr>
              <w:spacing w:line="240" w:lineRule="auto"/>
              <w:jc w:val="right"/>
            </w:pPr>
            <w:r>
              <w:rPr>
                <w:rFonts w:ascii="宋体" w:hAnsi="宋体" w:eastAsia="宋体" w:cs="宋体"/>
                <w:b w:val="0"/>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888,304</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791,527</w:t>
            </w:r>
          </w:p>
        </w:tc>
        <w:tc>
          <w:tcPr>
            <w:tcW w:w="0" w:type="dxa"/>
            <w:vAlign w:val="center"/>
          </w:tcPr>
          <w:p>
            <w:pPr>
              <w:spacing w:line="240" w:lineRule="auto"/>
              <w:jc w:val="right"/>
            </w:pPr>
            <w:r>
              <w:rPr>
                <w:rFonts w:ascii="宋体" w:hAnsi="宋体" w:eastAsia="宋体" w:cs="宋体"/>
                <w:b w:val="0"/>
              </w:rPr>
              <w:t>61,240,443.99</w:t>
            </w:r>
          </w:p>
        </w:tc>
        <w:tc>
          <w:tcPr>
            <w:tcW w:w="0" w:type="dxa"/>
            <w:vAlign w:val="center"/>
          </w:tcPr>
          <w:p>
            <w:pPr>
              <w:spacing w:line="240" w:lineRule="auto"/>
              <w:jc w:val="right"/>
            </w:pPr>
            <w:r>
              <w:rPr>
                <w:rFonts w:ascii="宋体" w:hAnsi="宋体" w:eastAsia="宋体" w:cs="宋体"/>
                <w:b w:val="0"/>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1,078,753</w:t>
            </w:r>
          </w:p>
        </w:tc>
        <w:tc>
          <w:tcPr>
            <w:tcW w:w="0" w:type="dxa"/>
            <w:vAlign w:val="center"/>
          </w:tcPr>
          <w:p>
            <w:pPr>
              <w:spacing w:line="240" w:lineRule="auto"/>
              <w:jc w:val="right"/>
            </w:pPr>
            <w:r>
              <w:rPr>
                <w:rFonts w:ascii="宋体" w:hAnsi="宋体" w:eastAsia="宋体" w:cs="宋体"/>
                <w:b w:val="0"/>
              </w:rPr>
              <w:t>51,844,869.18</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840,565</w:t>
            </w:r>
          </w:p>
        </w:tc>
        <w:tc>
          <w:tcPr>
            <w:tcW w:w="0" w:type="dxa"/>
            <w:vAlign w:val="center"/>
          </w:tcPr>
          <w:p>
            <w:pPr>
              <w:spacing w:line="240" w:lineRule="auto"/>
              <w:jc w:val="right"/>
            </w:pPr>
            <w:r>
              <w:rPr>
                <w:rFonts w:ascii="宋体" w:hAnsi="宋体" w:eastAsia="宋体" w:cs="宋体"/>
                <w:b w:val="0"/>
              </w:rPr>
              <w:t>51,350,115.85</w:t>
            </w:r>
          </w:p>
        </w:tc>
        <w:tc>
          <w:tcPr>
            <w:tcW w:w="0" w:type="dxa"/>
            <w:vAlign w:val="center"/>
          </w:tcPr>
          <w:p>
            <w:pPr>
              <w:spacing w:line="240" w:lineRule="auto"/>
              <w:jc w:val="right"/>
            </w:pPr>
            <w:r>
              <w:rPr>
                <w:rFonts w:ascii="宋体" w:hAnsi="宋体" w:eastAsia="宋体" w:cs="宋体"/>
                <w:b w:val="0"/>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2,086,328</w:t>
            </w:r>
          </w:p>
        </w:tc>
        <w:tc>
          <w:tcPr>
            <w:tcW w:w="0" w:type="dxa"/>
            <w:vAlign w:val="center"/>
          </w:tcPr>
          <w:p>
            <w:pPr>
              <w:spacing w:line="240" w:lineRule="auto"/>
              <w:jc w:val="right"/>
            </w:pPr>
            <w:r>
              <w:rPr>
                <w:rFonts w:ascii="宋体" w:hAnsi="宋体" w:eastAsia="宋体" w:cs="宋体"/>
                <w:b w:val="0"/>
              </w:rPr>
              <w:t>50,676,907.12</w:t>
            </w:r>
          </w:p>
        </w:tc>
        <w:tc>
          <w:tcPr>
            <w:tcW w:w="0" w:type="dxa"/>
            <w:vAlign w:val="center"/>
          </w:tcPr>
          <w:p>
            <w:pPr>
              <w:spacing w:line="240" w:lineRule="auto"/>
              <w:jc w:val="right"/>
            </w:pPr>
            <w:r>
              <w:rPr>
                <w:rFonts w:ascii="宋体" w:hAnsi="宋体" w:eastAsia="宋体" w:cs="宋体"/>
                <w:b w:val="0"/>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779,422</w:t>
            </w:r>
          </w:p>
        </w:tc>
        <w:tc>
          <w:tcPr>
            <w:tcW w:w="0" w:type="dxa"/>
            <w:vAlign w:val="center"/>
          </w:tcPr>
          <w:p>
            <w:pPr>
              <w:spacing w:line="240" w:lineRule="auto"/>
              <w:jc w:val="right"/>
            </w:pPr>
            <w:r>
              <w:rPr>
                <w:rFonts w:ascii="宋体" w:hAnsi="宋体" w:eastAsia="宋体" w:cs="宋体"/>
                <w:b w:val="0"/>
              </w:rPr>
              <w:t>47,116,059.90</w:t>
            </w:r>
          </w:p>
        </w:tc>
        <w:tc>
          <w:tcPr>
            <w:tcW w:w="0" w:type="dxa"/>
            <w:vAlign w:val="center"/>
          </w:tcPr>
          <w:p>
            <w:pPr>
              <w:spacing w:line="240" w:lineRule="auto"/>
              <w:jc w:val="right"/>
            </w:pPr>
            <w:r>
              <w:rPr>
                <w:rFonts w:ascii="宋体" w:hAnsi="宋体" w:eastAsia="宋体" w:cs="宋体"/>
                <w:b w:val="0"/>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301511</w:t>
            </w:r>
          </w:p>
        </w:tc>
        <w:tc>
          <w:tcPr>
            <w:tcW w:w="0" w:type="dxa"/>
            <w:vAlign w:val="center"/>
          </w:tcPr>
          <w:p>
            <w:pPr>
              <w:spacing w:line="240" w:lineRule="auto"/>
              <w:jc w:val="left"/>
            </w:pPr>
            <w:r>
              <w:rPr>
                <w:rFonts w:ascii="宋体" w:hAnsi="宋体" w:eastAsia="宋体" w:cs="宋体"/>
                <w:b w:val="0"/>
              </w:rPr>
              <w:t>德福科技</w:t>
            </w:r>
          </w:p>
        </w:tc>
        <w:tc>
          <w:tcPr>
            <w:tcW w:w="0" w:type="dxa"/>
            <w:vAlign w:val="center"/>
          </w:tcPr>
          <w:p>
            <w:pPr>
              <w:spacing w:line="240" w:lineRule="auto"/>
              <w:jc w:val="right"/>
            </w:pPr>
            <w:r>
              <w:rPr>
                <w:rFonts w:ascii="宋体" w:hAnsi="宋体" w:eastAsia="宋体" w:cs="宋体"/>
                <w:b w:val="0"/>
              </w:rPr>
              <w:t>1,290,205</w:t>
            </w:r>
          </w:p>
        </w:tc>
        <w:tc>
          <w:tcPr>
            <w:tcW w:w="0" w:type="dxa"/>
            <w:vAlign w:val="center"/>
          </w:tcPr>
          <w:p>
            <w:pPr>
              <w:spacing w:line="240" w:lineRule="auto"/>
              <w:jc w:val="right"/>
            </w:pPr>
            <w:r>
              <w:rPr>
                <w:rFonts w:ascii="宋体" w:hAnsi="宋体" w:eastAsia="宋体" w:cs="宋体"/>
                <w:b w:val="0"/>
              </w:rPr>
              <w:t>46,176,436.95</w:t>
            </w:r>
          </w:p>
        </w:tc>
        <w:tc>
          <w:tcPr>
            <w:tcW w:w="0" w:type="dxa"/>
            <w:vAlign w:val="center"/>
          </w:tcPr>
          <w:p>
            <w:pPr>
              <w:spacing w:line="240" w:lineRule="auto"/>
              <w:jc w:val="right"/>
            </w:pPr>
            <w:r>
              <w:rPr>
                <w:rFonts w:ascii="宋体" w:hAnsi="宋体" w:eastAsia="宋体" w:cs="宋体"/>
                <w:b w:val="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363,487</w:t>
            </w:r>
          </w:p>
        </w:tc>
        <w:tc>
          <w:tcPr>
            <w:tcW w:w="0" w:type="dxa"/>
            <w:vAlign w:val="center"/>
          </w:tcPr>
          <w:p>
            <w:pPr>
              <w:spacing w:line="240" w:lineRule="auto"/>
              <w:jc w:val="right"/>
            </w:pPr>
            <w:r>
              <w:rPr>
                <w:rFonts w:ascii="宋体" w:hAnsi="宋体" w:eastAsia="宋体" w:cs="宋体"/>
                <w:b w:val="0"/>
              </w:rPr>
              <w:t>43,720,216.36</w:t>
            </w:r>
          </w:p>
        </w:tc>
        <w:tc>
          <w:tcPr>
            <w:tcW w:w="0" w:type="dxa"/>
            <w:vAlign w:val="center"/>
          </w:tcPr>
          <w:p>
            <w:pPr>
              <w:spacing w:line="240" w:lineRule="auto"/>
              <w:jc w:val="right"/>
            </w:pPr>
            <w:r>
              <w:rPr>
                <w:rFonts w:ascii="宋体" w:hAnsi="宋体" w:eastAsia="宋体" w:cs="宋体"/>
                <w:b w:val="0"/>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301360</w:t>
            </w:r>
          </w:p>
        </w:tc>
        <w:tc>
          <w:tcPr>
            <w:tcW w:w="0" w:type="dxa"/>
            <w:vAlign w:val="center"/>
          </w:tcPr>
          <w:p>
            <w:pPr>
              <w:spacing w:line="240" w:lineRule="auto"/>
              <w:jc w:val="left"/>
            </w:pPr>
            <w:r>
              <w:rPr>
                <w:rFonts w:ascii="宋体" w:hAnsi="宋体" w:eastAsia="宋体" w:cs="宋体"/>
                <w:b w:val="0"/>
              </w:rPr>
              <w:t>荣旗科技</w:t>
            </w:r>
          </w:p>
        </w:tc>
        <w:tc>
          <w:tcPr>
            <w:tcW w:w="0" w:type="dxa"/>
            <w:vAlign w:val="center"/>
          </w:tcPr>
          <w:p>
            <w:pPr>
              <w:spacing w:line="240" w:lineRule="auto"/>
              <w:jc w:val="right"/>
            </w:pPr>
            <w:r>
              <w:rPr>
                <w:rFonts w:ascii="宋体" w:hAnsi="宋体" w:eastAsia="宋体" w:cs="宋体"/>
                <w:b w:val="0"/>
              </w:rPr>
              <w:t>566,300</w:t>
            </w:r>
          </w:p>
        </w:tc>
        <w:tc>
          <w:tcPr>
            <w:tcW w:w="0" w:type="dxa"/>
            <w:vAlign w:val="center"/>
          </w:tcPr>
          <w:p>
            <w:pPr>
              <w:spacing w:line="240" w:lineRule="auto"/>
              <w:jc w:val="right"/>
            </w:pPr>
            <w:r>
              <w:rPr>
                <w:rFonts w:ascii="宋体" w:hAnsi="宋体" w:eastAsia="宋体" w:cs="宋体"/>
                <w:b w:val="0"/>
              </w:rPr>
              <w:t>40,150,670.00</w:t>
            </w:r>
          </w:p>
        </w:tc>
        <w:tc>
          <w:tcPr>
            <w:tcW w:w="0" w:type="dxa"/>
            <w:vAlign w:val="center"/>
          </w:tcPr>
          <w:p>
            <w:pPr>
              <w:spacing w:line="240" w:lineRule="auto"/>
              <w:jc w:val="right"/>
            </w:pPr>
            <w:r>
              <w:rPr>
                <w:rFonts w:ascii="宋体" w:hAnsi="宋体" w:eastAsia="宋体" w:cs="宋体"/>
                <w:b w:val="0"/>
              </w:rPr>
              <w:t>3.94</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450,000</w:t>
            </w:r>
          </w:p>
        </w:tc>
        <w:tc>
          <w:tcPr>
            <w:tcW w:w="0" w:type="dxa"/>
            <w:vAlign w:val="center"/>
          </w:tcPr>
          <w:p>
            <w:pPr>
              <w:spacing w:line="240" w:lineRule="auto"/>
              <w:jc w:val="right"/>
            </w:pPr>
            <w:r>
              <w:rPr>
                <w:rFonts w:ascii="宋体" w:hAnsi="宋体" w:eastAsia="宋体" w:cs="宋体"/>
                <w:b w:val="0"/>
              </w:rPr>
              <w:t>45,501,978.08</w:t>
            </w:r>
          </w:p>
        </w:tc>
        <w:tc>
          <w:tcPr>
            <w:tcW w:w="0" w:type="dxa"/>
            <w:vAlign w:val="center"/>
          </w:tcPr>
          <w:p>
            <w:pPr>
              <w:spacing w:line="240" w:lineRule="auto"/>
              <w:jc w:val="right"/>
            </w:pPr>
            <w:r>
              <w:rPr>
                <w:rFonts w:ascii="宋体" w:hAnsi="宋体" w:eastAsia="宋体" w:cs="宋体"/>
                <w:b w:val="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446,000</w:t>
            </w:r>
          </w:p>
        </w:tc>
        <w:tc>
          <w:tcPr>
            <w:tcW w:w="0" w:type="dxa"/>
            <w:vAlign w:val="center"/>
          </w:tcPr>
          <w:p>
            <w:pPr>
              <w:spacing w:line="240" w:lineRule="auto"/>
              <w:jc w:val="right"/>
            </w:pPr>
            <w:r>
              <w:rPr>
                <w:rFonts w:ascii="宋体" w:hAnsi="宋体" w:eastAsia="宋体" w:cs="宋体"/>
                <w:b w:val="0"/>
              </w:rPr>
              <w:t>44,868,944.11</w:t>
            </w:r>
          </w:p>
        </w:tc>
        <w:tc>
          <w:tcPr>
            <w:tcW w:w="0" w:type="dxa"/>
            <w:vAlign w:val="center"/>
          </w:tcPr>
          <w:p>
            <w:pPr>
              <w:spacing w:line="240" w:lineRule="auto"/>
              <w:jc w:val="right"/>
            </w:pPr>
            <w:r>
              <w:rPr>
                <w:rFonts w:ascii="宋体" w:hAnsi="宋体" w:eastAsia="宋体" w:cs="宋体"/>
                <w:b w:val="0"/>
              </w:rPr>
              <w:t>4.40</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中，三祥新材股份有限公司在报告编制日前一年内受到中国证券监督管理委员会福建监管局的警示并计入诚信档案。本基金就上述证券的投资决策程序符合相关法规及公司制度的要求。</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1,910,089.86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1,910,089.86</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东方阿尔法产业先锋混合A</w:t>
            </w:r>
          </w:p>
        </w:tc>
        <w:tc>
          <w:tcPr>
            <w:tcW w:w="1300" w:type="pct"/>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1,216,883,984.63</w:t>
            </w:r>
          </w:p>
        </w:tc>
        <w:tc>
          <w:tcPr>
            <w:tcW w:w="1300" w:type="pct"/>
            <w:vAlign w:val="center"/>
          </w:tcPr>
          <w:p>
            <w:pPr>
              <w:spacing w:line="240" w:lineRule="auto"/>
              <w:jc w:val="right"/>
            </w:pPr>
            <w:r>
              <w:rPr>
                <w:rFonts w:ascii="宋体" w:hAnsi="宋体" w:eastAsia="宋体" w:cs="宋体"/>
                <w:b w:val="0"/>
              </w:rPr>
              <w:t>895,986,041.22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34,589,053.71</w:t>
            </w:r>
          </w:p>
        </w:tc>
        <w:tc>
          <w:tcPr>
            <w:tcW w:w="1300" w:type="pct"/>
            <w:vAlign w:val="center"/>
          </w:tcPr>
          <w:p>
            <w:pPr>
              <w:spacing w:line="240" w:lineRule="auto"/>
              <w:jc w:val="right"/>
            </w:pPr>
            <w:r>
              <w:rPr>
                <w:rFonts w:ascii="宋体" w:hAnsi="宋体" w:eastAsia="宋体" w:cs="宋体"/>
                <w:b w:val="0"/>
              </w:rPr>
              <w:t>238,731,564.51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105,885,347.06</w:t>
            </w:r>
          </w:p>
        </w:tc>
        <w:tc>
          <w:tcPr>
            <w:tcW w:w="1300" w:type="pct"/>
            <w:vAlign w:val="center"/>
          </w:tcPr>
          <w:p>
            <w:pPr>
              <w:spacing w:line="240" w:lineRule="auto"/>
              <w:jc w:val="right"/>
            </w:pPr>
            <w:r>
              <w:rPr>
                <w:rFonts w:ascii="宋体" w:hAnsi="宋体" w:eastAsia="宋体" w:cs="宋体"/>
                <w:b w:val="0"/>
              </w:rPr>
              <w:t>660,111,103.52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1,145,587,691.28</w:t>
            </w:r>
          </w:p>
        </w:tc>
        <w:tc>
          <w:tcPr>
            <w:tcW w:w="1300" w:type="pct"/>
            <w:vAlign w:val="center"/>
          </w:tcPr>
          <w:p>
            <w:pPr>
              <w:spacing w:line="240" w:lineRule="auto"/>
              <w:jc w:val="right"/>
            </w:pPr>
            <w:r>
              <w:rPr>
                <w:rFonts w:ascii="宋体" w:hAnsi="宋体" w:eastAsia="宋体" w:cs="宋体"/>
                <w:b w:val="0"/>
              </w:rPr>
              <w:t>474,606,502.21</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spacing w:line="240" w:lineRule="auto"/>
        <w:jc w:val="center"/>
      </w:pPr>
      <w:bookmarkStart w:id="1" w:name="_GoBack"/>
      <w:r>
        <w:rPr>
          <w:rFonts w:ascii="宋体" w:hAnsi="宋体" w:eastAsia="宋体" w:cs="宋体"/>
        </w:rPr>
        <w:t>§8 报告期末发起式基金发起资金持有份额情况</w:t>
      </w:r>
    </w:p>
    <w:p>
      <w:pPr>
        <w:spacing w:line="240" w:lineRule="auto"/>
      </w:pPr>
      <w:r>
        <w:rPr>
          <w:rFonts w:ascii="宋体" w:hAnsi="宋体" w:eastAsia="宋体" w:cs="宋体"/>
          <w:b w:val="0"/>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bookmarkEnd w:id="1"/>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1、中国证券监督管理委员会批准的东方阿尔法产业先锋混合型发起式证券投资基金设立的文件；</w:t>
      </w:r>
      <w:r>
        <w:rPr>
          <w:rFonts w:ascii="宋体" w:hAnsi="宋体" w:eastAsia="宋体" w:cs="宋体"/>
          <w:b w:val="0"/>
        </w:rPr>
        <w:cr/>
      </w:r>
      <w:r>
        <w:rPr>
          <w:rFonts w:ascii="宋体" w:hAnsi="宋体" w:eastAsia="宋体" w:cs="宋体"/>
          <w:b w:val="0"/>
        </w:rPr>
        <w:t xml:space="preserve">    2、《东方阿尔法产业先锋混合型发起式证券投资基金基金合同》；</w:t>
      </w:r>
      <w:r>
        <w:rPr>
          <w:rFonts w:ascii="宋体" w:hAnsi="宋体" w:eastAsia="宋体" w:cs="宋体"/>
          <w:b w:val="0"/>
        </w:rPr>
        <w:cr/>
      </w:r>
      <w:r>
        <w:rPr>
          <w:rFonts w:ascii="宋体" w:hAnsi="宋体" w:eastAsia="宋体" w:cs="宋体"/>
          <w:b w:val="0"/>
        </w:rPr>
        <w:t xml:space="preserve">    3、《东方阿尔法产业先锋混合型发起式证券投资基金托管协议》；</w:t>
      </w:r>
      <w:r>
        <w:rPr>
          <w:rFonts w:ascii="宋体" w:hAnsi="宋体" w:eastAsia="宋体" w:cs="宋体"/>
          <w:b w:val="0"/>
        </w:rPr>
        <w:cr/>
      </w:r>
      <w:r>
        <w:rPr>
          <w:rFonts w:ascii="宋体" w:hAnsi="宋体" w:eastAsia="宋体" w:cs="宋体"/>
          <w:b w:val="0"/>
        </w:rPr>
        <w:t xml:space="preserve">    4、《东方阿尔法产业先锋混合型发起式证券投资基金招募说明书》（含更新）；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二〇二六年一月二十二日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东方阿尔法产业先锋混合型发起式证券投资基金2025年第4季度报告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A710C29"/>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52</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2026-01-19T08:54:18Z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