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东方阿尔法科技优选混合型发起式证券投资基金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2025年第4季度报告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2025年12月31日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中信银行股份有限公司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2026年01月22日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基金托管人中信银行股份有限公司根据本基金合同规定，于2026年01月21日复核了本报告中的财务指标、净值表现和投资组合报告等内容，保证复核内容不存在虚假记载、误导性陈述或者重大遗漏。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本报告期自2025年10月01日起至2025年12月31日止。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东方阿尔法科技优选混合发起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024423</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2025年06月06日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57,518,550.99份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本基金在严格控制风险并保持良好流动性的前提下，重点投资于科技主题相关证券，力争获取超越业绩比较基准的投资回报，谋求基金资产的长期增值。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1、资产配置策略</w:t>
              <w:br/>
            </w:r>
            <w:r>
              <w:rPr>
                <w:rFonts w:ascii="宋体" w:hAnsi="宋体" w:cs="宋体" w:eastAsia="宋体"/>
                <w:b w:val="false"/>
              </w:rPr>
              <w:t>本基金结合定性与定量分析经济和市场趋势，评估风险和收益，确定股票、债券、现金等资产的配置比例和调整原则，追求稳定增值，同时持续监控风险并适时调整。</w:t>
              <w:br/>
            </w:r>
            <w:r>
              <w:rPr>
                <w:rFonts w:ascii="宋体" w:hAnsi="宋体" w:cs="宋体" w:eastAsia="宋体"/>
                <w:b w:val="false"/>
              </w:rPr>
              <w:t>2、股票投资策略</w:t>
              <w:br/>
            </w:r>
            <w:r>
              <w:rPr>
                <w:rFonts w:ascii="宋体" w:hAnsi="宋体" w:cs="宋体" w:eastAsia="宋体"/>
                <w:b w:val="false"/>
              </w:rPr>
              <w:t>本基金通过定性与定量结合的积极策略，自下而上精选科技主题股票，构建多元资产组合以实现长期稳健增值。</w:t>
              <w:br/>
            </w:r>
            <w:r>
              <w:rPr>
                <w:rFonts w:ascii="宋体" w:hAnsi="宋体" w:cs="宋体" w:eastAsia="宋体"/>
                <w:b w:val="false"/>
              </w:rPr>
              <w:t>3、港股投资策略</w:t>
              <w:br/>
            </w:r>
            <w:r>
              <w:rPr>
                <w:rFonts w:ascii="宋体" w:hAnsi="宋体" w:cs="宋体" w:eastAsia="宋体"/>
                <w:b w:val="false"/>
              </w:rPr>
              <w:t>本基金将通过内地与香港股票市场交易互联互通机制投资于香港股票市场，不使用合格境内机构投资者(QDII)境外投资额度进行境外投资。</w:t>
              <w:br/>
            </w:r>
            <w:r>
              <w:rPr>
                <w:rFonts w:ascii="宋体" w:hAnsi="宋体" w:cs="宋体" w:eastAsia="宋体"/>
                <w:b w:val="false"/>
              </w:rPr>
              <w:t>4、存托凭证投资策略</w:t>
              <w:br/>
            </w:r>
            <w:r>
              <w:rPr>
                <w:rFonts w:ascii="宋体" w:hAnsi="宋体" w:cs="宋体" w:eastAsia="宋体"/>
                <w:b w:val="false"/>
              </w:rPr>
              <w:t>本基金在深入研究的基础上，通过定性分析和定量分析相结合的方式，选择投资价值高的存托凭证进行投资。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本基金将按照风险管理的原则，以套期保值为主要目的，参与股指期货的投资。此外，本基金还将运用股指期货来管理特殊情况下的流动性风险，如预期大额申购赎回、大量分红等。</w:t>
              <w:br/>
            </w:r>
            <w:r>
              <w:rPr>
                <w:rFonts w:ascii="宋体" w:hAnsi="宋体" w:cs="宋体" w:eastAsia="宋体"/>
                <w:b w:val="false"/>
              </w:rPr>
              <w:t>8、融资业务投资策略</w:t>
              <w:br/>
            </w:r>
            <w:r>
              <w:rPr>
                <w:rFonts w:ascii="宋体" w:hAnsi="宋体" w:cs="宋体" w:eastAsia="宋体"/>
                <w:b w:val="false"/>
              </w:rPr>
              <w:t>本基金参与融资业务，将综合考虑融资成本、保证金比例、冲抵保证金证券折算率、信用资质等条件选择合适的交易对手方。同时，在保障基金投资组合充足流动性以及有效控制融资杠杆风险的前提下，确定融资比例。</w:t>
              <w:br/>
            </w:r>
            <w:r>
              <w:rPr>
                <w:rFonts w:ascii="宋体" w:hAnsi="宋体" w:cs="宋体" w:eastAsia="宋体"/>
                <w:b w:val="false"/>
              </w:rPr>
              <w:t>9、国债期货投资策略</w:t>
              <w:br/>
            </w:r>
            <w:r>
              <w:rPr>
                <w:rFonts w:ascii="宋体" w:hAnsi="宋体" w:cs="宋体" w:eastAsia="宋体"/>
                <w:b w:val="false"/>
              </w:rPr>
              <w:t>本基金以套期保值为主要目的，参与国债期货的投资，管理市场风险，故国债期货空头的合约价值主要与债券组合的多头价值相对应。</w:t>
              <w:br/>
            </w:r>
            <w:r>
              <w:rPr>
                <w:rFonts w:ascii="宋体" w:hAnsi="宋体" w:cs="宋体" w:eastAsia="宋体"/>
                <w:b w:val="false"/>
              </w:rPr>
              <w:t>10、股票期权投资策略</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本基金将综合运用久期管理、收益率曲线、个券选择以及把握市场交易机会等积极策略，在严格控制风险的情况下，结合信用研究和流动性管理，选择风险调整后收益高的品种进行投资，以期获得长期稳定收益。</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中国战略新兴产业成份指数收益率*70%+中债-综合指数(全价)收益率*20%+恒生科技指数收益率(按估值汇率折算)*10%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中信银行股份有限公司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东方阿尔法科技优选混合发起A</w:t>
            </w:r>
          </w:p>
        </w:tc>
        <w:tc>
          <w:tcPr>
            <w:tcW w:type="pct" w:w="1500"/>
            <w:vAlign w:val="center"/>
          </w:tcPr>
          <w:p>
            <w:pPr>
              <w:spacing w:line="240" w:lineRule="auto"/>
              <w:jc w:val="left"/>
            </w:pPr>
            <w:r>
              <w:rPr>
                <w:rFonts w:ascii="宋体" w:hAnsi="宋体" w:cs="宋体" w:eastAsia="宋体"/>
                <w:b w:val="false"/>
              </w:rPr>
              <w:t>东方阿尔法科技优选混合发起C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024423</w:t>
            </w:r>
          </w:p>
        </w:tc>
        <w:tc>
          <w:tcPr>
            <w:tcW w:type="pct" w:w="1500"/>
            <w:vAlign w:val="center"/>
          </w:tcPr>
          <w:p>
            <w:pPr>
              <w:spacing w:line="240" w:lineRule="auto"/>
              <w:jc w:val="left"/>
            </w:pPr>
            <w:r>
              <w:rPr>
                <w:rFonts w:ascii="宋体" w:hAnsi="宋体" w:cs="宋体" w:eastAsia="宋体"/>
                <w:b w:val="false"/>
              </w:rPr>
              <w:t>024424</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14,330,083.19份</w:t>
            </w:r>
          </w:p>
        </w:tc>
        <w:tc>
          <w:tcPr>
            <w:tcW w:type="pct" w:w="1500"/>
            <w:vAlign w:val="center"/>
          </w:tcPr>
          <w:p>
            <w:pPr>
              <w:spacing w:line="240" w:lineRule="auto"/>
              <w:jc w:val="left"/>
            </w:pPr>
            <w:r>
              <w:rPr>
                <w:rFonts w:ascii="宋体" w:hAnsi="宋体" w:cs="宋体" w:eastAsia="宋体"/>
                <w:b w:val="false"/>
              </w:rPr>
              <w:t>43,188,467.80份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报告期（2025年10月01日-2025年12月31日）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东方阿尔法科技优选混合发起A</w:t>
            </w:r>
          </w:p>
        </w:tc>
        <w:tc>
          <w:tcPr>
            <w:tcW w:type="pct" w:w="1500"/>
            <w:vAlign w:val="center"/>
          </w:tcPr>
          <w:tcPr>
            <w:shd w:fill="d9d9d9"/>
          </w:tcPr>
          <w:p>
            <w:pPr>
              <w:spacing w:line="240" w:lineRule="auto"/>
              <w:jc w:val="center"/>
            </w:pPr>
            <w:r>
              <w:rPr>
                <w:rFonts w:ascii="宋体" w:hAnsi="宋体" w:cs="宋体" w:eastAsia="宋体"/>
                <w:b w:val="false"/>
              </w:rPr>
              <w:t>东方阿尔法科技优选混合发起C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-588,979.91</w:t>
            </w:r>
          </w:p>
        </w:tc>
        <w:tc>
          <w:tcPr>
            <w:tcW w:type="pct" w:w="1500"/>
            <w:vAlign w:val="center"/>
          </w:tcPr>
          <w:p>
            <w:pPr>
              <w:spacing w:line="240" w:lineRule="auto"/>
              <w:jc w:val="right"/>
            </w:pPr>
            <w:r>
              <w:rPr>
                <w:rFonts w:ascii="宋体" w:hAnsi="宋体" w:cs="宋体" w:eastAsia="宋体"/>
                <w:b w:val="false"/>
              </w:rPr>
              <w:t>-596,802.38</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-183,270.26</w:t>
            </w:r>
          </w:p>
        </w:tc>
        <w:tc>
          <w:tcPr>
            <w:tcW w:type="pct" w:w="1500"/>
            <w:vAlign w:val="center"/>
          </w:tcPr>
          <w:p>
            <w:pPr>
              <w:spacing w:line="240" w:lineRule="auto"/>
              <w:jc w:val="right"/>
            </w:pPr>
            <w:r>
              <w:rPr>
                <w:rFonts w:ascii="宋体" w:hAnsi="宋体" w:cs="宋体" w:eastAsia="宋体"/>
                <w:b w:val="false"/>
              </w:rPr>
              <w:t>-210,522.85</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-0.0140</w:t>
            </w:r>
          </w:p>
        </w:tc>
        <w:tc>
          <w:tcPr>
            <w:tcW w:type="pct" w:w="1500"/>
            <w:vAlign w:val="center"/>
          </w:tcPr>
          <w:p>
            <w:pPr>
              <w:spacing w:line="240" w:lineRule="auto"/>
              <w:jc w:val="right"/>
            </w:pPr>
            <w:r>
              <w:rPr>
                <w:rFonts w:ascii="宋体" w:hAnsi="宋体" w:cs="宋体" w:eastAsia="宋体"/>
                <w:b w:val="false"/>
              </w:rPr>
              <w:t>-0.0146</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14,766,221.94</w:t>
            </w:r>
          </w:p>
        </w:tc>
        <w:tc>
          <w:tcPr>
            <w:tcW w:type="pct" w:w="1500"/>
            <w:vAlign w:val="center"/>
          </w:tcPr>
          <w:p>
            <w:pPr>
              <w:spacing w:line="240" w:lineRule="auto"/>
              <w:jc w:val="right"/>
            </w:pPr>
            <w:r>
              <w:rPr>
                <w:rFonts w:ascii="宋体" w:hAnsi="宋体" w:cs="宋体" w:eastAsia="宋体"/>
                <w:b w:val="false"/>
              </w:rPr>
              <w:t>44,406,548.37</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1.0304</w:t>
            </w:r>
          </w:p>
        </w:tc>
        <w:tc>
          <w:tcPr>
            <w:tcW w:type="pct" w:w="1500"/>
            <w:vAlign w:val="center"/>
          </w:tcPr>
          <w:p>
            <w:pPr>
              <w:spacing w:line="240" w:lineRule="auto"/>
              <w:jc w:val="right"/>
            </w:pPr>
            <w:r>
              <w:rPr>
                <w:rFonts w:ascii="宋体" w:hAnsi="宋体" w:cs="宋体" w:eastAsia="宋体"/>
                <w:b w:val="false"/>
              </w:rPr>
              <w:t>1.0282</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东方阿尔法科技优选混合发起A净值表现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-1.08%</w:t>
            </w:r>
          </w:p>
        </w:tc>
        <w:tc>
          <w:tcPr>
            <w:tcW/>
            <w:vAlign w:val="center"/>
          </w:tcPr>
          <w:p>
            <w:pPr>
              <w:spacing w:line="240" w:lineRule="auto"/>
              <w:jc w:val="right"/>
            </w:pPr>
            <w:r>
              <w:rPr>
                <w:rFonts w:ascii="宋体" w:hAnsi="宋体" w:cs="宋体" w:eastAsia="宋体"/>
                <w:b w:val="false"/>
              </w:rPr>
              <w:t>2.23%</w:t>
            </w:r>
          </w:p>
        </w:tc>
        <w:tc>
          <w:tcPr>
            <w:tcW/>
            <w:vAlign w:val="center"/>
          </w:tcPr>
          <w:p>
            <w:pPr>
              <w:spacing w:line="240" w:lineRule="auto"/>
              <w:jc w:val="right"/>
            </w:pPr>
            <w:r>
              <w:rPr>
                <w:rFonts w:ascii="宋体" w:hAnsi="宋体" w:cs="宋体" w:eastAsia="宋体"/>
                <w:b w:val="false"/>
              </w:rPr>
              <w:t>-2.39%</w:t>
            </w:r>
          </w:p>
        </w:tc>
        <w:tc>
          <w:tcPr>
            <w:tcW/>
            <w:vAlign w:val="center"/>
          </w:tcPr>
          <w:p>
            <w:pPr>
              <w:spacing w:line="240" w:lineRule="auto"/>
              <w:jc w:val="right"/>
            </w:pPr>
            <w:r>
              <w:rPr>
                <w:rFonts w:ascii="宋体" w:hAnsi="宋体" w:cs="宋体" w:eastAsia="宋体"/>
                <w:b w:val="false"/>
              </w:rPr>
              <w:t>1.51%</w:t>
            </w:r>
          </w:p>
        </w:tc>
        <w:tc>
          <w:tcPr>
            <w:tcW/>
            <w:vAlign w:val="center"/>
          </w:tcPr>
          <w:p>
            <w:pPr>
              <w:spacing w:line="240" w:lineRule="auto"/>
              <w:jc w:val="right"/>
            </w:pPr>
            <w:r>
              <w:rPr>
                <w:rFonts w:ascii="宋体" w:hAnsi="宋体" w:cs="宋体" w:eastAsia="宋体"/>
                <w:b w:val="false"/>
              </w:rPr>
              <w:t>1.31%</w:t>
            </w:r>
          </w:p>
        </w:tc>
        <w:tc>
          <w:tcPr>
            <w:tcW/>
            <w:vAlign w:val="center"/>
          </w:tcPr>
          <w:p>
            <w:pPr>
              <w:spacing w:line="240" w:lineRule="auto"/>
              <w:jc w:val="right"/>
            </w:pPr>
            <w:r>
              <w:rPr>
                <w:rFonts w:ascii="宋体" w:hAnsi="宋体" w:cs="宋体" w:eastAsia="宋体"/>
                <w:b w:val="false"/>
              </w:rPr>
              <w:t>0.72%</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3.77%</w:t>
            </w:r>
          </w:p>
        </w:tc>
        <w:tc>
          <w:tcPr>
            <w:tcW/>
            <w:vAlign w:val="center"/>
          </w:tcPr>
          <w:p>
            <w:pPr>
              <w:spacing w:line="240" w:lineRule="auto"/>
              <w:jc w:val="right"/>
            </w:pPr>
            <w:r>
              <w:rPr>
                <w:rFonts w:ascii="宋体" w:hAnsi="宋体" w:cs="宋体" w:eastAsia="宋体"/>
                <w:b w:val="false"/>
              </w:rPr>
              <w:t>1.89%</w:t>
            </w:r>
          </w:p>
        </w:tc>
        <w:tc>
          <w:tcPr>
            <w:tcW/>
            <w:vAlign w:val="center"/>
          </w:tcPr>
          <w:p>
            <w:pPr>
              <w:spacing w:line="240" w:lineRule="auto"/>
              <w:jc w:val="right"/>
            </w:pPr>
            <w:r>
              <w:rPr>
                <w:rFonts w:ascii="宋体" w:hAnsi="宋体" w:cs="宋体" w:eastAsia="宋体"/>
                <w:b w:val="false"/>
              </w:rPr>
              <w:t>32.97%</w:t>
            </w:r>
          </w:p>
        </w:tc>
        <w:tc>
          <w:tcPr>
            <w:tcW/>
            <w:vAlign w:val="center"/>
          </w:tcPr>
          <w:p>
            <w:pPr>
              <w:spacing w:line="240" w:lineRule="auto"/>
              <w:jc w:val="right"/>
            </w:pPr>
            <w:r>
              <w:rPr>
                <w:rFonts w:ascii="宋体" w:hAnsi="宋体" w:cs="宋体" w:eastAsia="宋体"/>
                <w:b w:val="false"/>
              </w:rPr>
              <w:t>1.50%</w:t>
            </w:r>
          </w:p>
        </w:tc>
        <w:tc>
          <w:tcPr>
            <w:tcW/>
            <w:vAlign w:val="center"/>
          </w:tcPr>
          <w:p>
            <w:pPr>
              <w:spacing w:line="240" w:lineRule="auto"/>
              <w:jc w:val="right"/>
            </w:pPr>
            <w:r>
              <w:rPr>
                <w:rFonts w:ascii="宋体" w:hAnsi="宋体" w:cs="宋体" w:eastAsia="宋体"/>
                <w:b w:val="false"/>
              </w:rPr>
              <w:t>-29.20%</w:t>
            </w:r>
          </w:p>
        </w:tc>
        <w:tc>
          <w:tcPr>
            <w:tcW/>
            <w:vAlign w:val="center"/>
          </w:tcPr>
          <w:p>
            <w:pPr>
              <w:spacing w:line="240" w:lineRule="auto"/>
              <w:jc w:val="right"/>
            </w:pPr>
            <w:r>
              <w:rPr>
                <w:rFonts w:ascii="宋体" w:hAnsi="宋体" w:cs="宋体" w:eastAsia="宋体"/>
                <w:b w:val="false"/>
              </w:rPr>
              <w:t>0.39%</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3.04%</w:t>
            </w:r>
          </w:p>
        </w:tc>
        <w:tc>
          <w:tcPr>
            <w:tcW/>
            <w:vAlign w:val="center"/>
          </w:tcPr>
          <w:p>
            <w:pPr>
              <w:spacing w:line="240" w:lineRule="auto"/>
              <w:jc w:val="right"/>
            </w:pPr>
            <w:r>
              <w:rPr>
                <w:rFonts w:ascii="宋体" w:hAnsi="宋体" w:cs="宋体" w:eastAsia="宋体"/>
                <w:b w:val="false"/>
              </w:rPr>
              <w:t>1.84%</w:t>
            </w:r>
          </w:p>
        </w:tc>
        <w:tc>
          <w:tcPr>
            <w:tcW/>
            <w:vAlign w:val="center"/>
          </w:tcPr>
          <w:p>
            <w:pPr>
              <w:spacing w:line="240" w:lineRule="auto"/>
              <w:jc w:val="right"/>
            </w:pPr>
            <w:r>
              <w:rPr>
                <w:rFonts w:ascii="宋体" w:hAnsi="宋体" w:cs="宋体" w:eastAsia="宋体"/>
                <w:b w:val="false"/>
              </w:rPr>
              <w:t>38.21%</w:t>
            </w:r>
          </w:p>
        </w:tc>
        <w:tc>
          <w:tcPr>
            <w:tcW/>
            <w:vAlign w:val="center"/>
          </w:tcPr>
          <w:p>
            <w:pPr>
              <w:spacing w:line="240" w:lineRule="auto"/>
              <w:jc w:val="right"/>
            </w:pPr>
            <w:r>
              <w:rPr>
                <w:rFonts w:ascii="宋体" w:hAnsi="宋体" w:cs="宋体" w:eastAsia="宋体"/>
                <w:b w:val="false"/>
              </w:rPr>
              <w:t>1.43%</w:t>
            </w:r>
          </w:p>
        </w:tc>
        <w:tc>
          <w:tcPr>
            <w:tcW/>
            <w:vAlign w:val="center"/>
          </w:tcPr>
          <w:p>
            <w:pPr>
              <w:spacing w:line="240" w:lineRule="auto"/>
              <w:jc w:val="right"/>
            </w:pPr>
            <w:r>
              <w:rPr>
                <w:rFonts w:ascii="宋体" w:hAnsi="宋体" w:cs="宋体" w:eastAsia="宋体"/>
                <w:b w:val="false"/>
              </w:rPr>
              <w:t>-35.17%</w:t>
            </w:r>
          </w:p>
        </w:tc>
        <w:tc>
          <w:tcPr>
            <w:tcW/>
            <w:vAlign w:val="center"/>
          </w:tcPr>
          <w:p>
            <w:pPr>
              <w:spacing w:line="240" w:lineRule="auto"/>
              <w:jc w:val="right"/>
            </w:pPr>
            <w:r>
              <w:rPr>
                <w:rFonts w:ascii="宋体" w:hAnsi="宋体" w:cs="宋体" w:eastAsia="宋体"/>
                <w:b w:val="false"/>
              </w:rPr>
              <w:t>0.41%</w:t>
            </w:r>
          </w:p>
        </w:tc>
      </w:tr>
    </w:tbl>
    <w:p>
      <w:pPr>
        <w:jc w:val="left"/>
      </w:pPr>
      <w:r>
        <w:rPr>
          <w:rFonts w:ascii="宋体" w:hAnsi="宋体" w:cs="宋体" w:eastAsia="宋体"/>
          <w:b w:val="true"/>
        </w:rPr>
        <w:t>东方阿尔法科技优选混合发起C净值表现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-1.17%</w:t>
            </w:r>
          </w:p>
        </w:tc>
        <w:tc>
          <w:tcPr>
            <w:tcW/>
            <w:vAlign w:val="center"/>
          </w:tcPr>
          <w:p>
            <w:pPr>
              <w:spacing w:line="240" w:lineRule="auto"/>
              <w:jc w:val="right"/>
            </w:pPr>
            <w:r>
              <w:rPr>
                <w:rFonts w:ascii="宋体" w:hAnsi="宋体" w:cs="宋体" w:eastAsia="宋体"/>
                <w:b w:val="false"/>
              </w:rPr>
              <w:t>2.23%</w:t>
            </w:r>
          </w:p>
        </w:tc>
        <w:tc>
          <w:tcPr>
            <w:tcW/>
            <w:vAlign w:val="center"/>
          </w:tcPr>
          <w:p>
            <w:pPr>
              <w:spacing w:line="240" w:lineRule="auto"/>
              <w:jc w:val="right"/>
            </w:pPr>
            <w:r>
              <w:rPr>
                <w:rFonts w:ascii="宋体" w:hAnsi="宋体" w:cs="宋体" w:eastAsia="宋体"/>
                <w:b w:val="false"/>
              </w:rPr>
              <w:t>-2.39%</w:t>
            </w:r>
          </w:p>
        </w:tc>
        <w:tc>
          <w:tcPr>
            <w:tcW/>
            <w:vAlign w:val="center"/>
          </w:tcPr>
          <w:p>
            <w:pPr>
              <w:spacing w:line="240" w:lineRule="auto"/>
              <w:jc w:val="right"/>
            </w:pPr>
            <w:r>
              <w:rPr>
                <w:rFonts w:ascii="宋体" w:hAnsi="宋体" w:cs="宋体" w:eastAsia="宋体"/>
                <w:b w:val="false"/>
              </w:rPr>
              <w:t>1.51%</w:t>
            </w:r>
          </w:p>
        </w:tc>
        <w:tc>
          <w:tcPr>
            <w:tcW/>
            <w:vAlign w:val="center"/>
          </w:tcPr>
          <w:p>
            <w:pPr>
              <w:spacing w:line="240" w:lineRule="auto"/>
              <w:jc w:val="right"/>
            </w:pPr>
            <w:r>
              <w:rPr>
                <w:rFonts w:ascii="宋体" w:hAnsi="宋体" w:cs="宋体" w:eastAsia="宋体"/>
                <w:b w:val="false"/>
              </w:rPr>
              <w:t>1.22%</w:t>
            </w:r>
          </w:p>
        </w:tc>
        <w:tc>
          <w:tcPr>
            <w:tcW/>
            <w:vAlign w:val="center"/>
          </w:tcPr>
          <w:p>
            <w:pPr>
              <w:spacing w:line="240" w:lineRule="auto"/>
              <w:jc w:val="right"/>
            </w:pPr>
            <w:r>
              <w:rPr>
                <w:rFonts w:ascii="宋体" w:hAnsi="宋体" w:cs="宋体" w:eastAsia="宋体"/>
                <w:b w:val="false"/>
              </w:rPr>
              <w:t>0.72%</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3.58%</w:t>
            </w:r>
          </w:p>
        </w:tc>
        <w:tc>
          <w:tcPr>
            <w:tcW/>
            <w:vAlign w:val="center"/>
          </w:tcPr>
          <w:p>
            <w:pPr>
              <w:spacing w:line="240" w:lineRule="auto"/>
              <w:jc w:val="right"/>
            </w:pPr>
            <w:r>
              <w:rPr>
                <w:rFonts w:ascii="宋体" w:hAnsi="宋体" w:cs="宋体" w:eastAsia="宋体"/>
                <w:b w:val="false"/>
              </w:rPr>
              <w:t>1.89%</w:t>
            </w:r>
          </w:p>
        </w:tc>
        <w:tc>
          <w:tcPr>
            <w:tcW/>
            <w:vAlign w:val="center"/>
          </w:tcPr>
          <w:p>
            <w:pPr>
              <w:spacing w:line="240" w:lineRule="auto"/>
              <w:jc w:val="right"/>
            </w:pPr>
            <w:r>
              <w:rPr>
                <w:rFonts w:ascii="宋体" w:hAnsi="宋体" w:cs="宋体" w:eastAsia="宋体"/>
                <w:b w:val="false"/>
              </w:rPr>
              <w:t>32.97%</w:t>
            </w:r>
          </w:p>
        </w:tc>
        <w:tc>
          <w:tcPr>
            <w:tcW/>
            <w:vAlign w:val="center"/>
          </w:tcPr>
          <w:p>
            <w:pPr>
              <w:spacing w:line="240" w:lineRule="auto"/>
              <w:jc w:val="right"/>
            </w:pPr>
            <w:r>
              <w:rPr>
                <w:rFonts w:ascii="宋体" w:hAnsi="宋体" w:cs="宋体" w:eastAsia="宋体"/>
                <w:b w:val="false"/>
              </w:rPr>
              <w:t>1.50%</w:t>
            </w:r>
          </w:p>
        </w:tc>
        <w:tc>
          <w:tcPr>
            <w:tcW/>
            <w:vAlign w:val="center"/>
          </w:tcPr>
          <w:p>
            <w:pPr>
              <w:spacing w:line="240" w:lineRule="auto"/>
              <w:jc w:val="right"/>
            </w:pPr>
            <w:r>
              <w:rPr>
                <w:rFonts w:ascii="宋体" w:hAnsi="宋体" w:cs="宋体" w:eastAsia="宋体"/>
                <w:b w:val="false"/>
              </w:rPr>
              <w:t>-29.39%</w:t>
            </w:r>
          </w:p>
        </w:tc>
        <w:tc>
          <w:tcPr>
            <w:tcW/>
            <w:vAlign w:val="center"/>
          </w:tcPr>
          <w:p>
            <w:pPr>
              <w:spacing w:line="240" w:lineRule="auto"/>
              <w:jc w:val="right"/>
            </w:pPr>
            <w:r>
              <w:rPr>
                <w:rFonts w:ascii="宋体" w:hAnsi="宋体" w:cs="宋体" w:eastAsia="宋体"/>
                <w:b w:val="false"/>
              </w:rPr>
              <w:t>0.39%</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2.82%</w:t>
            </w:r>
          </w:p>
        </w:tc>
        <w:tc>
          <w:tcPr>
            <w:tcW/>
            <w:vAlign w:val="center"/>
          </w:tcPr>
          <w:p>
            <w:pPr>
              <w:spacing w:line="240" w:lineRule="auto"/>
              <w:jc w:val="right"/>
            </w:pPr>
            <w:r>
              <w:rPr>
                <w:rFonts w:ascii="宋体" w:hAnsi="宋体" w:cs="宋体" w:eastAsia="宋体"/>
                <w:b w:val="false"/>
              </w:rPr>
              <w:t>1.84%</w:t>
            </w:r>
          </w:p>
        </w:tc>
        <w:tc>
          <w:tcPr>
            <w:tcW/>
            <w:vAlign w:val="center"/>
          </w:tcPr>
          <w:p>
            <w:pPr>
              <w:spacing w:line="240" w:lineRule="auto"/>
              <w:jc w:val="right"/>
            </w:pPr>
            <w:r>
              <w:rPr>
                <w:rFonts w:ascii="宋体" w:hAnsi="宋体" w:cs="宋体" w:eastAsia="宋体"/>
                <w:b w:val="false"/>
              </w:rPr>
              <w:t>38.21%</w:t>
            </w:r>
          </w:p>
        </w:tc>
        <w:tc>
          <w:tcPr>
            <w:tcW/>
            <w:vAlign w:val="center"/>
          </w:tcPr>
          <w:p>
            <w:pPr>
              <w:spacing w:line="240" w:lineRule="auto"/>
              <w:jc w:val="right"/>
            </w:pPr>
            <w:r>
              <w:rPr>
                <w:rFonts w:ascii="宋体" w:hAnsi="宋体" w:cs="宋体" w:eastAsia="宋体"/>
                <w:b w:val="false"/>
              </w:rPr>
              <w:t>1.43%</w:t>
            </w:r>
          </w:p>
        </w:tc>
        <w:tc>
          <w:tcPr>
            <w:tcW/>
            <w:vAlign w:val="center"/>
          </w:tcPr>
          <w:p>
            <w:pPr>
              <w:spacing w:line="240" w:lineRule="auto"/>
              <w:jc w:val="right"/>
            </w:pPr>
            <w:r>
              <w:rPr>
                <w:rFonts w:ascii="宋体" w:hAnsi="宋体" w:cs="宋体" w:eastAsia="宋体"/>
                <w:b w:val="false"/>
              </w:rPr>
              <w:t>-35.39%</w:t>
            </w:r>
          </w:p>
        </w:tc>
        <w:tc>
          <w:tcPr>
            <w:tcW/>
            <w:vAlign w:val="center"/>
          </w:tcPr>
          <w:p>
            <w:pPr>
              <w:spacing w:line="240" w:lineRule="auto"/>
              <w:jc w:val="right"/>
            </w:pPr>
            <w:r>
              <w:rPr>
                <w:rFonts w:ascii="宋体" w:hAnsi="宋体" w:cs="宋体" w:eastAsia="宋体"/>
                <w:b w:val="false"/>
              </w:rPr>
              <w:t>0.41%</w:t>
            </w:r>
          </w:p>
        </w:tc>
      </w:tr>
    </w:tbl>
    <w:p>
      <w:r>
        <w:rPr>
          <w:rFonts w:ascii="宋体" w:hAnsi="宋体" w:cs="宋体" w:eastAsia="宋体"/>
          <w:b w:val="false"/>
        </w:rPr>
        <w:t>注：1、本基金业绩比较基准为：中国战略新兴产业成份指数收益率*70%+中债-综合指数(全价)收益率*20%+恒生科技指数收益率(按估值汇率折算)*10%。</w:t>
        <w:cr/>
      </w:r>
      <w:r>
        <w:rPr>
          <w:rFonts w:ascii="宋体" w:hAnsi="宋体" w:cs="宋体" w:eastAsia="宋体"/>
          <w:b w:val="false"/>
        </w:rPr>
        <w:t>2、本基金自2025年06月06日成立至今尚未满一年，无过去一年、过去三年和过去五年的净值表现。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潘令梓</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2025-06-06</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6年</w:t>
            </w:r>
          </w:p>
        </w:tc>
        <w:tc>
          <w:tcPr>
            <w:tcW/>
            <w:vAlign w:val="center"/>
          </w:tcPr>
          <w:p>
            <w:pPr>
              <w:spacing w:line="240" w:lineRule="auto"/>
              <w:jc w:val="left"/>
            </w:pPr>
            <w:r>
              <w:rPr>
                <w:rFonts w:ascii="宋体" w:hAnsi="宋体" w:cs="宋体" w:eastAsia="宋体"/>
                <w:b w:val="false"/>
              </w:rPr>
              <w:t>潘令梓先生，南开大学保险学学士，香港大学会计学硕士，于2019年11月入职东方阿尔法基金管理有限公司，历任研究部研究员、基金经理助理。现任东方阿尔法基金管理有限公司基金经理。</w:t>
            </w:r>
          </w:p>
        </w:tc>
      </w:tr>
      <w:tr>
        <w:tc>
          <w:tcPr>
            <w:tcW/>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2025-06-12</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15年</w:t>
            </w:r>
          </w:p>
        </w:tc>
        <w:tc>
          <w:tcPr>
            <w:tcW/>
            <w:vAlign w:val="center"/>
          </w:tcPr>
          <w:p>
            <w:pPr>
              <w:spacing w:line="240" w:lineRule="auto"/>
              <w:jc w:val="left"/>
            </w:pPr>
            <w:r>
              <w:rPr>
                <w:rFonts w:ascii="宋体" w:hAnsi="宋体" w:cs="宋体" w:eastAsia="宋体"/>
                <w:b w:val="false"/>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r>
        <w:tc>
          <w:tcPr>
            <w:tcW/>
            <w:vAlign w:val="center"/>
          </w:tcPr>
          <w:p>
            <w:pPr>
              <w:spacing w:line="240" w:lineRule="auto"/>
              <w:jc w:val="left"/>
            </w:pPr>
            <w:r>
              <w:rPr>
                <w:rFonts w:ascii="宋体" w:hAnsi="宋体" w:cs="宋体" w:eastAsia="宋体"/>
                <w:b w:val="false"/>
              </w:rPr>
              <w:t>梁少文</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2025-12-01</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4年</w:t>
            </w:r>
          </w:p>
        </w:tc>
        <w:tc>
          <w:tcPr>
            <w:tcW/>
            <w:vAlign w:val="center"/>
          </w:tcPr>
          <w:p>
            <w:pPr>
              <w:spacing w:line="240" w:lineRule="auto"/>
              <w:jc w:val="left"/>
            </w:pPr>
            <w:r>
              <w:rPr>
                <w:rFonts w:ascii="宋体" w:hAnsi="宋体" w:cs="宋体" w:eastAsia="宋体"/>
                <w:b w:val="false"/>
              </w:rPr>
              <w:t>梁少文先生，华中科技大学工学学士，华中科技大学金融硕士，于2021年11月入职东方阿尔法基金管理有限公司，历任研究员、基金经理助理。现任东方阿尔法基金管理有限公司基金经理。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2025年四季度，宏观经济保持稳健增长态势，出口韧性延续，地缘政治动荡未对经济增长带来明显负面影响。国内货币与财政政策保持稳健，资本市场平稳健康运行，总体呈现稳健向上格局。</w:t>
        <w:cr/>
      </w:r>
      <w:r>
        <w:rPr>
          <w:rFonts w:ascii="宋体" w:hAnsi="宋体" w:cs="宋体" w:eastAsia="宋体"/>
          <w:b w:val="false"/>
        </w:rPr>
        <w:t xml:space="preserve">    半导体行业作为国家重点扶持的战略性产业，既是国民经济发展的重要支柱，也是中美博弈的前沿阵地。其中半导体设备和材料更是摆脱"卡脖子"困境、实现自主可控的关键环节，具备良好的投资机会。随着人工智能技术快速发展，先进制程芯片需求被快速拉动，全球半导体晶圆厂陆续扩产，带动半导体设备需求景气度上行。</w:t>
        <w:cr/>
      </w:r>
      <w:r>
        <w:rPr>
          <w:rFonts w:ascii="宋体" w:hAnsi="宋体" w:cs="宋体" w:eastAsia="宋体"/>
          <w:b w:val="false"/>
        </w:rPr>
        <w:t xml:space="preserve">    展望2026年，我们认为半导体设备材料行业将迎来良好投资机会。一方面，国内重要晶圆厂技术节点持续向前推进，将开启新一轮扩产周期；另一方面，国产半导体设备材料厂商配合实现工艺突破，将带动国产化率不断提升。</w:t>
        <w:cr/>
      </w:r>
      <w:r>
        <w:rPr>
          <w:rFonts w:ascii="宋体" w:hAnsi="宋体" w:cs="宋体" w:eastAsia="宋体"/>
          <w:b w:val="false"/>
        </w:rPr>
        <w:t xml:space="preserve">    基于以上分析，本基金将持续关注半导体设备材料产业链，重点聚焦国产化率提升与先进制程扩产相关领域，致力于把握半导体设备材料的投资机会，伴随国家半导体产业链共同成长。</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科技优选混合发起A基金份额净值为1.0304元，本报告期内，该类基金份额净值增长率为-1.08%，同期业绩比较基准收益率为-2.39%；截至报告期末东方阿尔法科技优选混合发起C基金份额净值为1.0282元，本报告期内，该类基金份额净值增长率为-1.17%，同期业绩比较基准收益率为-2.39%。</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无。</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55,604,897.97</w:t>
            </w:r>
          </w:p>
        </w:tc>
        <w:tc>
          <w:tcPr>
            <w:tcW/>
            <w:vAlign w:val="center"/>
          </w:tcPr>
          <w:p>
            <w:pPr>
              <w:spacing w:line="240" w:lineRule="auto"/>
              <w:jc w:val="right"/>
            </w:pPr>
            <w:r>
              <w:rPr>
                <w:rFonts w:ascii="宋体" w:hAnsi="宋体" w:cs="宋体" w:eastAsia="宋体"/>
                <w:b w:val="false"/>
              </w:rPr>
              <w:t>88.05</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55,604,897.97</w:t>
            </w:r>
          </w:p>
        </w:tc>
        <w:tc>
          <w:tcPr>
            <w:tcW/>
            <w:vAlign w:val="center"/>
          </w:tcPr>
          <w:p>
            <w:pPr>
              <w:spacing w:line="240" w:lineRule="auto"/>
              <w:jc w:val="right"/>
            </w:pPr>
            <w:r>
              <w:rPr>
                <w:rFonts w:ascii="宋体" w:hAnsi="宋体" w:cs="宋体" w:eastAsia="宋体"/>
                <w:b w:val="false"/>
              </w:rPr>
              <w:t>88.05</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3,202,694.53</w:t>
            </w:r>
          </w:p>
        </w:tc>
        <w:tc>
          <w:tcPr>
            <w:tcW/>
            <w:vAlign w:val="center"/>
          </w:tcPr>
          <w:p>
            <w:pPr>
              <w:spacing w:line="240" w:lineRule="auto"/>
              <w:jc w:val="right"/>
            </w:pPr>
            <w:r>
              <w:rPr>
                <w:rFonts w:ascii="宋体" w:hAnsi="宋体" w:cs="宋体" w:eastAsia="宋体"/>
                <w:b w:val="false"/>
              </w:rPr>
              <w:t>5.07</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3,202,694.53</w:t>
            </w:r>
          </w:p>
        </w:tc>
        <w:tc>
          <w:tcPr>
            <w:tcW/>
            <w:vAlign w:val="center"/>
          </w:tcPr>
          <w:p>
            <w:pPr>
              <w:spacing w:line="240" w:lineRule="auto"/>
              <w:jc w:val="right"/>
            </w:pPr>
            <w:r>
              <w:rPr>
                <w:rFonts w:ascii="宋体" w:hAnsi="宋体" w:cs="宋体" w:eastAsia="宋体"/>
                <w:b w:val="false"/>
              </w:rPr>
              <w:t>5.07</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1,611,138.21</w:t>
            </w:r>
          </w:p>
        </w:tc>
        <w:tc>
          <w:tcPr>
            <w:tcW/>
            <w:vAlign w:val="center"/>
          </w:tcPr>
          <w:p>
            <w:pPr>
              <w:spacing w:line="240" w:lineRule="auto"/>
              <w:jc w:val="right"/>
            </w:pPr>
            <w:r>
              <w:rPr>
                <w:rFonts w:ascii="宋体" w:hAnsi="宋体" w:cs="宋体" w:eastAsia="宋体"/>
                <w:b w:val="false"/>
              </w:rPr>
              <w:t>2.55</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2,735,430.87</w:t>
            </w:r>
          </w:p>
        </w:tc>
        <w:tc>
          <w:tcPr>
            <w:tcW/>
            <w:vAlign w:val="center"/>
          </w:tcPr>
          <w:p>
            <w:pPr>
              <w:spacing w:line="240" w:lineRule="auto"/>
              <w:jc w:val="right"/>
            </w:pPr>
            <w:r>
              <w:rPr>
                <w:rFonts w:ascii="宋体" w:hAnsi="宋体" w:cs="宋体" w:eastAsia="宋体"/>
                <w:b w:val="false"/>
              </w:rPr>
              <w:t>4.33</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63,154,161.58</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55,604,897.97</w:t>
            </w:r>
          </w:p>
        </w:tc>
        <w:tc>
          <w:tcPr>
            <w:tcW/>
            <w:vAlign w:val="center"/>
          </w:tcPr>
          <w:p>
            <w:pPr>
              <w:spacing w:line="240" w:lineRule="auto"/>
              <w:jc w:val="right"/>
            </w:pPr>
            <w:r>
              <w:rPr>
                <w:rFonts w:ascii="宋体" w:hAnsi="宋体" w:cs="宋体" w:eastAsia="宋体"/>
                <w:b w:val="false"/>
              </w:rPr>
              <w:t>93.97</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55,604,897.97</w:t>
            </w:r>
          </w:p>
        </w:tc>
        <w:tc>
          <w:tcPr>
            <w:tcW/>
            <w:vAlign w:val="center"/>
          </w:tcPr>
          <w:p>
            <w:pPr>
              <w:spacing w:line="240" w:lineRule="auto"/>
              <w:jc w:val="right"/>
            </w:pPr>
            <w:r>
              <w:rPr>
                <w:rFonts w:ascii="宋体" w:hAnsi="宋体" w:cs="宋体" w:eastAsia="宋体"/>
                <w:b w:val="false"/>
              </w:rPr>
              <w:t>93.97</w:t>
            </w:r>
          </w:p>
        </w:tc>
      </w:tr>
    </w:tbl>
    <w:p/>
    <w:p>
      <w:pPr>
        <w:pStyle w:val="zhangjiep2"/>
      </w:pPr>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300567</w:t>
            </w:r>
          </w:p>
        </w:tc>
        <w:tc>
          <w:tcPr>
            <w:tcW/>
            <w:vAlign w:val="center"/>
          </w:tcPr>
          <w:p>
            <w:pPr>
              <w:spacing w:line="240" w:lineRule="auto"/>
              <w:jc w:val="left"/>
            </w:pPr>
            <w:r>
              <w:rPr>
                <w:rFonts w:ascii="宋体" w:hAnsi="宋体" w:cs="宋体" w:eastAsia="宋体"/>
                <w:b w:val="false"/>
              </w:rPr>
              <w:t>精测电子</w:t>
            </w:r>
          </w:p>
        </w:tc>
        <w:tc>
          <w:tcPr>
            <w:tcW/>
            <w:vAlign w:val="center"/>
          </w:tcPr>
          <w:p>
            <w:pPr>
              <w:spacing w:line="240" w:lineRule="auto"/>
              <w:jc w:val="right"/>
            </w:pPr>
            <w:r>
              <w:rPr>
                <w:rFonts w:ascii="宋体" w:hAnsi="宋体" w:cs="宋体" w:eastAsia="宋体"/>
                <w:b w:val="false"/>
              </w:rPr>
              <w:t>61,100</w:t>
            </w:r>
          </w:p>
        </w:tc>
        <w:tc>
          <w:tcPr>
            <w:tcW/>
            <w:vAlign w:val="center"/>
          </w:tcPr>
          <w:p>
            <w:pPr>
              <w:spacing w:line="240" w:lineRule="auto"/>
              <w:jc w:val="right"/>
            </w:pPr>
            <w:r>
              <w:rPr>
                <w:rFonts w:ascii="宋体" w:hAnsi="宋体" w:cs="宋体" w:eastAsia="宋体"/>
                <w:b w:val="false"/>
              </w:rPr>
              <w:t>5,572,320.00</w:t>
            </w:r>
          </w:p>
        </w:tc>
        <w:tc>
          <w:tcPr>
            <w:tcW/>
            <w:vAlign w:val="center"/>
          </w:tcPr>
          <w:p>
            <w:pPr>
              <w:spacing w:line="240" w:lineRule="auto"/>
              <w:jc w:val="right"/>
            </w:pPr>
            <w:r>
              <w:rPr>
                <w:rFonts w:ascii="宋体" w:hAnsi="宋体" w:cs="宋体" w:eastAsia="宋体"/>
                <w:b w:val="false"/>
              </w:rPr>
              <w:t>9.42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688072</w:t>
            </w:r>
          </w:p>
        </w:tc>
        <w:tc>
          <w:tcPr>
            <w:tcW/>
            <w:vAlign w:val="center"/>
          </w:tcPr>
          <w:p>
            <w:pPr>
              <w:spacing w:line="240" w:lineRule="auto"/>
              <w:jc w:val="left"/>
            </w:pPr>
            <w:r>
              <w:rPr>
                <w:rFonts w:ascii="宋体" w:hAnsi="宋体" w:cs="宋体" w:eastAsia="宋体"/>
                <w:b w:val="false"/>
              </w:rPr>
              <w:t>拓荆科技</w:t>
            </w:r>
          </w:p>
        </w:tc>
        <w:tc>
          <w:tcPr>
            <w:tcW/>
            <w:vAlign w:val="center"/>
          </w:tcPr>
          <w:p>
            <w:pPr>
              <w:spacing w:line="240" w:lineRule="auto"/>
              <w:jc w:val="right"/>
            </w:pPr>
            <w:r>
              <w:rPr>
                <w:rFonts w:ascii="宋体" w:hAnsi="宋体" w:cs="宋体" w:eastAsia="宋体"/>
                <w:b w:val="false"/>
              </w:rPr>
              <w:t>16,672</w:t>
            </w:r>
          </w:p>
        </w:tc>
        <w:tc>
          <w:tcPr>
            <w:tcW/>
            <w:vAlign w:val="center"/>
          </w:tcPr>
          <w:p>
            <w:pPr>
              <w:spacing w:line="240" w:lineRule="auto"/>
              <w:jc w:val="right"/>
            </w:pPr>
            <w:r>
              <w:rPr>
                <w:rFonts w:ascii="宋体" w:hAnsi="宋体" w:cs="宋体" w:eastAsia="宋体"/>
                <w:b w:val="false"/>
              </w:rPr>
              <w:t>5,501,760.00</w:t>
            </w:r>
          </w:p>
        </w:tc>
        <w:tc>
          <w:tcPr>
            <w:tcW/>
            <w:vAlign w:val="center"/>
          </w:tcPr>
          <w:p>
            <w:pPr>
              <w:spacing w:line="240" w:lineRule="auto"/>
              <w:jc w:val="right"/>
            </w:pPr>
            <w:r>
              <w:rPr>
                <w:rFonts w:ascii="宋体" w:hAnsi="宋体" w:cs="宋体" w:eastAsia="宋体"/>
                <w:b w:val="false"/>
              </w:rPr>
              <w:t>9.30</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688361</w:t>
            </w:r>
          </w:p>
        </w:tc>
        <w:tc>
          <w:tcPr>
            <w:tcW/>
            <w:vAlign w:val="center"/>
          </w:tcPr>
          <w:p>
            <w:pPr>
              <w:spacing w:line="240" w:lineRule="auto"/>
              <w:jc w:val="left"/>
            </w:pPr>
            <w:r>
              <w:rPr>
                <w:rFonts w:ascii="宋体" w:hAnsi="宋体" w:cs="宋体" w:eastAsia="宋体"/>
                <w:b w:val="false"/>
              </w:rPr>
              <w:t>中科飞测</w:t>
            </w:r>
          </w:p>
        </w:tc>
        <w:tc>
          <w:tcPr>
            <w:tcW/>
            <w:vAlign w:val="center"/>
          </w:tcPr>
          <w:p>
            <w:pPr>
              <w:spacing w:line="240" w:lineRule="auto"/>
              <w:jc w:val="right"/>
            </w:pPr>
            <w:r>
              <w:rPr>
                <w:rFonts w:ascii="宋体" w:hAnsi="宋体" w:cs="宋体" w:eastAsia="宋体"/>
                <w:b w:val="false"/>
              </w:rPr>
              <w:t>35,084</w:t>
            </w:r>
          </w:p>
        </w:tc>
        <w:tc>
          <w:tcPr>
            <w:tcW/>
            <w:vAlign w:val="center"/>
          </w:tcPr>
          <w:p>
            <w:pPr>
              <w:spacing w:line="240" w:lineRule="auto"/>
              <w:jc w:val="right"/>
            </w:pPr>
            <w:r>
              <w:rPr>
                <w:rFonts w:ascii="宋体" w:hAnsi="宋体" w:cs="宋体" w:eastAsia="宋体"/>
                <w:b w:val="false"/>
              </w:rPr>
              <w:t>5,367,501.16</w:t>
            </w:r>
          </w:p>
        </w:tc>
        <w:tc>
          <w:tcPr>
            <w:tcW/>
            <w:vAlign w:val="center"/>
          </w:tcPr>
          <w:p>
            <w:pPr>
              <w:spacing w:line="240" w:lineRule="auto"/>
              <w:jc w:val="right"/>
            </w:pPr>
            <w:r>
              <w:rPr>
                <w:rFonts w:ascii="宋体" w:hAnsi="宋体" w:cs="宋体" w:eastAsia="宋体"/>
                <w:b w:val="false"/>
              </w:rPr>
              <w:t>9.07</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688037</w:t>
            </w:r>
          </w:p>
        </w:tc>
        <w:tc>
          <w:tcPr>
            <w:tcW/>
            <w:vAlign w:val="center"/>
          </w:tcPr>
          <w:p>
            <w:pPr>
              <w:spacing w:line="240" w:lineRule="auto"/>
              <w:jc w:val="left"/>
            </w:pPr>
            <w:r>
              <w:rPr>
                <w:rFonts w:ascii="宋体" w:hAnsi="宋体" w:cs="宋体" w:eastAsia="宋体"/>
                <w:b w:val="false"/>
              </w:rPr>
              <w:t>芯源微</w:t>
            </w:r>
          </w:p>
        </w:tc>
        <w:tc>
          <w:tcPr>
            <w:tcW/>
            <w:vAlign w:val="center"/>
          </w:tcPr>
          <w:p>
            <w:pPr>
              <w:spacing w:line="240" w:lineRule="auto"/>
              <w:jc w:val="right"/>
            </w:pPr>
            <w:r>
              <w:rPr>
                <w:rFonts w:ascii="宋体" w:hAnsi="宋体" w:cs="宋体" w:eastAsia="宋体"/>
                <w:b w:val="false"/>
              </w:rPr>
              <w:t>35,322</w:t>
            </w:r>
          </w:p>
        </w:tc>
        <w:tc>
          <w:tcPr>
            <w:tcW/>
            <w:vAlign w:val="center"/>
          </w:tcPr>
          <w:p>
            <w:pPr>
              <w:spacing w:line="240" w:lineRule="auto"/>
              <w:jc w:val="right"/>
            </w:pPr>
            <w:r>
              <w:rPr>
                <w:rFonts w:ascii="宋体" w:hAnsi="宋体" w:cs="宋体" w:eastAsia="宋体"/>
                <w:b w:val="false"/>
              </w:rPr>
              <w:t>5,245,670.22</w:t>
            </w:r>
          </w:p>
        </w:tc>
        <w:tc>
          <w:tcPr>
            <w:tcW/>
            <w:vAlign w:val="center"/>
          </w:tcPr>
          <w:p>
            <w:pPr>
              <w:spacing w:line="240" w:lineRule="auto"/>
              <w:jc w:val="right"/>
            </w:pPr>
            <w:r>
              <w:rPr>
                <w:rFonts w:ascii="宋体" w:hAnsi="宋体" w:cs="宋体" w:eastAsia="宋体"/>
                <w:b w:val="false"/>
              </w:rPr>
              <w:t>8.87</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688627</w:t>
            </w:r>
          </w:p>
        </w:tc>
        <w:tc>
          <w:tcPr>
            <w:tcW/>
            <w:vAlign w:val="center"/>
          </w:tcPr>
          <w:p>
            <w:pPr>
              <w:spacing w:line="240" w:lineRule="auto"/>
              <w:jc w:val="left"/>
            </w:pPr>
            <w:r>
              <w:rPr>
                <w:rFonts w:ascii="宋体" w:hAnsi="宋体" w:cs="宋体" w:eastAsia="宋体"/>
                <w:b w:val="false"/>
              </w:rPr>
              <w:t>精智达</w:t>
            </w:r>
          </w:p>
        </w:tc>
        <w:tc>
          <w:tcPr>
            <w:tcW/>
            <w:vAlign w:val="center"/>
          </w:tcPr>
          <w:p>
            <w:pPr>
              <w:spacing w:line="240" w:lineRule="auto"/>
              <w:jc w:val="right"/>
            </w:pPr>
            <w:r>
              <w:rPr>
                <w:rFonts w:ascii="宋体" w:hAnsi="宋体" w:cs="宋体" w:eastAsia="宋体"/>
                <w:b w:val="false"/>
              </w:rPr>
              <w:t>23,383</w:t>
            </w:r>
          </w:p>
        </w:tc>
        <w:tc>
          <w:tcPr>
            <w:tcW/>
            <w:vAlign w:val="center"/>
          </w:tcPr>
          <w:p>
            <w:pPr>
              <w:spacing w:line="240" w:lineRule="auto"/>
              <w:jc w:val="right"/>
            </w:pPr>
            <w:r>
              <w:rPr>
                <w:rFonts w:ascii="宋体" w:hAnsi="宋体" w:cs="宋体" w:eastAsia="宋体"/>
                <w:b w:val="false"/>
              </w:rPr>
              <w:t>5,228,204.97</w:t>
            </w:r>
          </w:p>
        </w:tc>
        <w:tc>
          <w:tcPr>
            <w:tcW/>
            <w:vAlign w:val="center"/>
          </w:tcPr>
          <w:p>
            <w:pPr>
              <w:spacing w:line="240" w:lineRule="auto"/>
              <w:jc w:val="right"/>
            </w:pPr>
            <w:r>
              <w:rPr>
                <w:rFonts w:ascii="宋体" w:hAnsi="宋体" w:cs="宋体" w:eastAsia="宋体"/>
                <w:b w:val="false"/>
              </w:rPr>
              <w:t>8.84</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002371</w:t>
            </w:r>
          </w:p>
        </w:tc>
        <w:tc>
          <w:tcPr>
            <w:tcW/>
            <w:vAlign w:val="center"/>
          </w:tcPr>
          <w:p>
            <w:pPr>
              <w:spacing w:line="240" w:lineRule="auto"/>
              <w:jc w:val="left"/>
            </w:pPr>
            <w:r>
              <w:rPr>
                <w:rFonts w:ascii="宋体" w:hAnsi="宋体" w:cs="宋体" w:eastAsia="宋体"/>
                <w:b w:val="false"/>
              </w:rPr>
              <w:t>北方华创</w:t>
            </w:r>
          </w:p>
        </w:tc>
        <w:tc>
          <w:tcPr>
            <w:tcW/>
            <w:vAlign w:val="center"/>
          </w:tcPr>
          <w:p>
            <w:pPr>
              <w:spacing w:line="240" w:lineRule="auto"/>
              <w:jc w:val="right"/>
            </w:pPr>
            <w:r>
              <w:rPr>
                <w:rFonts w:ascii="宋体" w:hAnsi="宋体" w:cs="宋体" w:eastAsia="宋体"/>
                <w:b w:val="false"/>
              </w:rPr>
              <w:t>10,500</w:t>
            </w:r>
          </w:p>
        </w:tc>
        <w:tc>
          <w:tcPr>
            <w:tcW/>
            <w:vAlign w:val="center"/>
          </w:tcPr>
          <w:p>
            <w:pPr>
              <w:spacing w:line="240" w:lineRule="auto"/>
              <w:jc w:val="right"/>
            </w:pPr>
            <w:r>
              <w:rPr>
                <w:rFonts w:ascii="宋体" w:hAnsi="宋体" w:cs="宋体" w:eastAsia="宋体"/>
                <w:b w:val="false"/>
              </w:rPr>
              <w:t>4,820,340.00</w:t>
            </w:r>
          </w:p>
        </w:tc>
        <w:tc>
          <w:tcPr>
            <w:tcW/>
            <w:vAlign w:val="center"/>
          </w:tcPr>
          <w:p>
            <w:pPr>
              <w:spacing w:line="240" w:lineRule="auto"/>
              <w:jc w:val="right"/>
            </w:pPr>
            <w:r>
              <w:rPr>
                <w:rFonts w:ascii="宋体" w:hAnsi="宋体" w:cs="宋体" w:eastAsia="宋体"/>
                <w:b w:val="false"/>
              </w:rPr>
              <w:t>8.15</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300604</w:t>
            </w:r>
          </w:p>
        </w:tc>
        <w:tc>
          <w:tcPr>
            <w:tcW/>
            <w:vAlign w:val="center"/>
          </w:tcPr>
          <w:p>
            <w:pPr>
              <w:spacing w:line="240" w:lineRule="auto"/>
              <w:jc w:val="left"/>
            </w:pPr>
            <w:r>
              <w:rPr>
                <w:rFonts w:ascii="宋体" w:hAnsi="宋体" w:cs="宋体" w:eastAsia="宋体"/>
                <w:b w:val="false"/>
              </w:rPr>
              <w:t>长川科技</w:t>
            </w:r>
          </w:p>
        </w:tc>
        <w:tc>
          <w:tcPr>
            <w:tcW/>
            <w:vAlign w:val="center"/>
          </w:tcPr>
          <w:p>
            <w:pPr>
              <w:spacing w:line="240" w:lineRule="auto"/>
              <w:jc w:val="right"/>
            </w:pPr>
            <w:r>
              <w:rPr>
                <w:rFonts w:ascii="宋体" w:hAnsi="宋体" w:cs="宋体" w:eastAsia="宋体"/>
                <w:b w:val="false"/>
              </w:rPr>
              <w:t>44,400</w:t>
            </w:r>
          </w:p>
        </w:tc>
        <w:tc>
          <w:tcPr>
            <w:tcW/>
            <w:vAlign w:val="center"/>
          </w:tcPr>
          <w:p>
            <w:pPr>
              <w:spacing w:line="240" w:lineRule="auto"/>
              <w:jc w:val="right"/>
            </w:pPr>
            <w:r>
              <w:rPr>
                <w:rFonts w:ascii="宋体" w:hAnsi="宋体" w:cs="宋体" w:eastAsia="宋体"/>
                <w:b w:val="false"/>
              </w:rPr>
              <w:t>4,498,164.00</w:t>
            </w:r>
          </w:p>
        </w:tc>
        <w:tc>
          <w:tcPr>
            <w:tcW/>
            <w:vAlign w:val="center"/>
          </w:tcPr>
          <w:p>
            <w:pPr>
              <w:spacing w:line="240" w:lineRule="auto"/>
              <w:jc w:val="right"/>
            </w:pPr>
            <w:r>
              <w:rPr>
                <w:rFonts w:ascii="宋体" w:hAnsi="宋体" w:cs="宋体" w:eastAsia="宋体"/>
                <w:b w:val="false"/>
              </w:rPr>
              <w:t>7.60</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688652</w:t>
            </w:r>
          </w:p>
        </w:tc>
        <w:tc>
          <w:tcPr>
            <w:tcW/>
            <w:vAlign w:val="center"/>
          </w:tcPr>
          <w:p>
            <w:pPr>
              <w:spacing w:line="240" w:lineRule="auto"/>
              <w:jc w:val="left"/>
            </w:pPr>
            <w:r>
              <w:rPr>
                <w:rFonts w:ascii="宋体" w:hAnsi="宋体" w:cs="宋体" w:eastAsia="宋体"/>
                <w:b w:val="false"/>
              </w:rPr>
              <w:t>京仪装备</w:t>
            </w:r>
          </w:p>
        </w:tc>
        <w:tc>
          <w:tcPr>
            <w:tcW/>
            <w:vAlign w:val="center"/>
          </w:tcPr>
          <w:p>
            <w:pPr>
              <w:spacing w:line="240" w:lineRule="auto"/>
              <w:jc w:val="right"/>
            </w:pPr>
            <w:r>
              <w:rPr>
                <w:rFonts w:ascii="宋体" w:hAnsi="宋体" w:cs="宋体" w:eastAsia="宋体"/>
                <w:b w:val="false"/>
              </w:rPr>
              <w:t>45,139</w:t>
            </w:r>
          </w:p>
        </w:tc>
        <w:tc>
          <w:tcPr>
            <w:tcW/>
            <w:vAlign w:val="center"/>
          </w:tcPr>
          <w:p>
            <w:pPr>
              <w:spacing w:line="240" w:lineRule="auto"/>
              <w:jc w:val="right"/>
            </w:pPr>
            <w:r>
              <w:rPr>
                <w:rFonts w:ascii="宋体" w:hAnsi="宋体" w:cs="宋体" w:eastAsia="宋体"/>
                <w:b w:val="false"/>
              </w:rPr>
              <w:t>4,437,615.09</w:t>
            </w:r>
          </w:p>
        </w:tc>
        <w:tc>
          <w:tcPr>
            <w:tcW/>
            <w:vAlign w:val="center"/>
          </w:tcPr>
          <w:p>
            <w:pPr>
              <w:spacing w:line="240" w:lineRule="auto"/>
              <w:jc w:val="right"/>
            </w:pPr>
            <w:r>
              <w:rPr>
                <w:rFonts w:ascii="宋体" w:hAnsi="宋体" w:cs="宋体" w:eastAsia="宋体"/>
                <w:b w:val="false"/>
              </w:rPr>
              <w:t>7.50</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688147</w:t>
            </w:r>
          </w:p>
        </w:tc>
        <w:tc>
          <w:tcPr>
            <w:tcW/>
            <w:vAlign w:val="center"/>
          </w:tcPr>
          <w:p>
            <w:pPr>
              <w:spacing w:line="240" w:lineRule="auto"/>
              <w:jc w:val="left"/>
            </w:pPr>
            <w:r>
              <w:rPr>
                <w:rFonts w:ascii="宋体" w:hAnsi="宋体" w:cs="宋体" w:eastAsia="宋体"/>
                <w:b w:val="false"/>
              </w:rPr>
              <w:t>微导纳米</w:t>
            </w:r>
          </w:p>
        </w:tc>
        <w:tc>
          <w:tcPr>
            <w:tcW/>
            <w:vAlign w:val="center"/>
          </w:tcPr>
          <w:p>
            <w:pPr>
              <w:spacing w:line="240" w:lineRule="auto"/>
              <w:jc w:val="right"/>
            </w:pPr>
            <w:r>
              <w:rPr>
                <w:rFonts w:ascii="宋体" w:hAnsi="宋体" w:cs="宋体" w:eastAsia="宋体"/>
                <w:b w:val="false"/>
              </w:rPr>
              <w:t>70,072</w:t>
            </w:r>
          </w:p>
        </w:tc>
        <w:tc>
          <w:tcPr>
            <w:tcW/>
            <w:vAlign w:val="center"/>
          </w:tcPr>
          <w:p>
            <w:pPr>
              <w:spacing w:line="240" w:lineRule="auto"/>
              <w:jc w:val="right"/>
            </w:pPr>
            <w:r>
              <w:rPr>
                <w:rFonts w:ascii="宋体" w:hAnsi="宋体" w:cs="宋体" w:eastAsia="宋体"/>
                <w:b w:val="false"/>
              </w:rPr>
              <w:t>4,399,820.88</w:t>
            </w:r>
          </w:p>
        </w:tc>
        <w:tc>
          <w:tcPr>
            <w:tcW/>
            <w:vAlign w:val="center"/>
          </w:tcPr>
          <w:p>
            <w:pPr>
              <w:spacing w:line="240" w:lineRule="auto"/>
              <w:jc w:val="right"/>
            </w:pPr>
            <w:r>
              <w:rPr>
                <w:rFonts w:ascii="宋体" w:hAnsi="宋体" w:cs="宋体" w:eastAsia="宋体"/>
                <w:b w:val="false"/>
              </w:rPr>
              <w:t>7.44</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688502</w:t>
            </w:r>
          </w:p>
        </w:tc>
        <w:tc>
          <w:tcPr>
            <w:tcW/>
            <w:vAlign w:val="center"/>
          </w:tcPr>
          <w:p>
            <w:pPr>
              <w:spacing w:line="240" w:lineRule="auto"/>
              <w:jc w:val="left"/>
            </w:pPr>
            <w:r>
              <w:rPr>
                <w:rFonts w:ascii="宋体" w:hAnsi="宋体" w:cs="宋体" w:eastAsia="宋体"/>
                <w:b w:val="false"/>
              </w:rPr>
              <w:t>茂莱光学</w:t>
            </w:r>
          </w:p>
        </w:tc>
        <w:tc>
          <w:tcPr>
            <w:tcW/>
            <w:vAlign w:val="center"/>
          </w:tcPr>
          <w:p>
            <w:pPr>
              <w:spacing w:line="240" w:lineRule="auto"/>
              <w:jc w:val="right"/>
            </w:pPr>
            <w:r>
              <w:rPr>
                <w:rFonts w:ascii="宋体" w:hAnsi="宋体" w:cs="宋体" w:eastAsia="宋体"/>
                <w:b w:val="false"/>
              </w:rPr>
              <w:t>7,313</w:t>
            </w:r>
          </w:p>
        </w:tc>
        <w:tc>
          <w:tcPr>
            <w:tcW/>
            <w:vAlign w:val="center"/>
          </w:tcPr>
          <w:p>
            <w:pPr>
              <w:spacing w:line="240" w:lineRule="auto"/>
              <w:jc w:val="right"/>
            </w:pPr>
            <w:r>
              <w:rPr>
                <w:rFonts w:ascii="宋体" w:hAnsi="宋体" w:cs="宋体" w:eastAsia="宋体"/>
                <w:b w:val="false"/>
              </w:rPr>
              <w:t>2,918,252.65</w:t>
            </w:r>
          </w:p>
        </w:tc>
        <w:tc>
          <w:tcPr>
            <w:tcW/>
            <w:vAlign w:val="center"/>
          </w:tcPr>
          <w:p>
            <w:pPr>
              <w:spacing w:line="240" w:lineRule="auto"/>
              <w:jc w:val="right"/>
            </w:pPr>
            <w:r>
              <w:rPr>
                <w:rFonts w:ascii="宋体" w:hAnsi="宋体" w:cs="宋体" w:eastAsia="宋体"/>
                <w:b w:val="false"/>
              </w:rPr>
              <w:t>4.93</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3,202,694.53</w:t>
            </w:r>
          </w:p>
        </w:tc>
        <w:tc>
          <w:tcPr>
            <w:tcW/>
            <w:vAlign w:val="center"/>
          </w:tcPr>
          <w:p>
            <w:pPr>
              <w:spacing w:line="240" w:lineRule="auto"/>
              <w:jc w:val="right"/>
            </w:pPr>
            <w:r>
              <w:rPr>
                <w:rFonts w:ascii="宋体" w:hAnsi="宋体" w:cs="宋体" w:eastAsia="宋体"/>
                <w:b w:val="false"/>
              </w:rPr>
              <w:t>5.41</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3,202,694.53</w:t>
            </w:r>
          </w:p>
        </w:tc>
        <w:tc>
          <w:tcPr>
            <w:tcW/>
            <w:vAlign w:val="center"/>
          </w:tcPr>
          <w:p>
            <w:pPr>
              <w:spacing w:line="240" w:lineRule="auto"/>
              <w:jc w:val="right"/>
            </w:pPr>
            <w:r>
              <w:rPr>
                <w:rFonts w:ascii="宋体" w:hAnsi="宋体" w:cs="宋体" w:eastAsia="宋体"/>
                <w:b w:val="false"/>
              </w:rPr>
              <w:t>5.41</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019792</w:t>
            </w:r>
          </w:p>
        </w:tc>
        <w:tc>
          <w:tcPr>
            <w:tcW/>
            <w:vAlign w:val="center"/>
          </w:tcPr>
          <w:p>
            <w:pPr>
              <w:spacing w:line="240" w:lineRule="auto"/>
              <w:jc w:val="left"/>
            </w:pPr>
            <w:r>
              <w:rPr>
                <w:rFonts w:ascii="宋体" w:hAnsi="宋体" w:cs="宋体" w:eastAsia="宋体"/>
                <w:b w:val="false"/>
              </w:rPr>
              <w:t>25国债19</w:t>
            </w:r>
          </w:p>
        </w:tc>
        <w:tc>
          <w:tcPr>
            <w:tcW/>
            <w:vAlign w:val="center"/>
          </w:tcPr>
          <w:p>
            <w:pPr>
              <w:spacing w:line="240" w:lineRule="auto"/>
              <w:jc w:val="right"/>
            </w:pPr>
            <w:r>
              <w:rPr>
                <w:rFonts w:ascii="宋体" w:hAnsi="宋体" w:cs="宋体" w:eastAsia="宋体"/>
                <w:b w:val="false"/>
              </w:rPr>
              <w:t>20,000</w:t>
            </w:r>
          </w:p>
        </w:tc>
        <w:tc>
          <w:tcPr>
            <w:tcW/>
            <w:vAlign w:val="center"/>
          </w:tcPr>
          <w:p>
            <w:pPr>
              <w:spacing w:line="240" w:lineRule="auto"/>
              <w:jc w:val="right"/>
            </w:pPr>
            <w:r>
              <w:rPr>
                <w:rFonts w:ascii="宋体" w:hAnsi="宋体" w:cs="宋体" w:eastAsia="宋体"/>
                <w:b w:val="false"/>
              </w:rPr>
              <w:t>2,006,498.08</w:t>
            </w:r>
          </w:p>
        </w:tc>
        <w:tc>
          <w:tcPr>
            <w:tcW/>
            <w:vAlign w:val="center"/>
          </w:tcPr>
          <w:p>
            <w:pPr>
              <w:spacing w:line="240" w:lineRule="auto"/>
              <w:jc w:val="right"/>
            </w:pPr>
            <w:r>
              <w:rPr>
                <w:rFonts w:ascii="宋体" w:hAnsi="宋体" w:cs="宋体" w:eastAsia="宋体"/>
                <w:b w:val="false"/>
              </w:rPr>
              <w:t>3.39</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019766</w:t>
            </w:r>
          </w:p>
        </w:tc>
        <w:tc>
          <w:tcPr>
            <w:tcW/>
            <w:vAlign w:val="center"/>
          </w:tcPr>
          <w:p>
            <w:pPr>
              <w:spacing w:line="240" w:lineRule="auto"/>
              <w:jc w:val="left"/>
            </w:pPr>
            <w:r>
              <w:rPr>
                <w:rFonts w:ascii="宋体" w:hAnsi="宋体" w:cs="宋体" w:eastAsia="宋体"/>
                <w:b w:val="false"/>
              </w:rPr>
              <w:t>25国债01</w:t>
            </w:r>
          </w:p>
        </w:tc>
        <w:tc>
          <w:tcPr>
            <w:tcW/>
            <w:vAlign w:val="center"/>
          </w:tcPr>
          <w:p>
            <w:pPr>
              <w:spacing w:line="240" w:lineRule="auto"/>
              <w:jc w:val="right"/>
            </w:pPr>
            <w:r>
              <w:rPr>
                <w:rFonts w:ascii="宋体" w:hAnsi="宋体" w:cs="宋体" w:eastAsia="宋体"/>
                <w:b w:val="false"/>
              </w:rPr>
              <w:t>11,830</w:t>
            </w:r>
          </w:p>
        </w:tc>
        <w:tc>
          <w:tcPr>
            <w:tcW/>
            <w:vAlign w:val="center"/>
          </w:tcPr>
          <w:p>
            <w:pPr>
              <w:spacing w:line="240" w:lineRule="auto"/>
              <w:jc w:val="right"/>
            </w:pPr>
            <w:r>
              <w:rPr>
                <w:rFonts w:ascii="宋体" w:hAnsi="宋体" w:cs="宋体" w:eastAsia="宋体"/>
                <w:b w:val="false"/>
              </w:rPr>
              <w:t>1,196,196.45</w:t>
            </w:r>
          </w:p>
        </w:tc>
        <w:tc>
          <w:tcPr>
            <w:tcW/>
            <w:vAlign w:val="center"/>
          </w:tcPr>
          <w:p>
            <w:pPr>
              <w:spacing w:line="240" w:lineRule="auto"/>
              <w:jc w:val="right"/>
            </w:pPr>
            <w:r>
              <w:rPr>
                <w:rFonts w:ascii="宋体" w:hAnsi="宋体" w:cs="宋体" w:eastAsia="宋体"/>
                <w:b w:val="false"/>
              </w:rPr>
              <w:t>2.02</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本基金投资的前十名证券的发行中，杭州长川科技股份有限公司在报告编制日前一年内受到中国证监会浙江监管局警示并计入诚信档案。本基金对上述证券的投资决策程序符合相关法规及公司制度要求。</w:t>
        <w:cr/>
      </w:r>
      <w:r>
        <w:rPr>
          <w:rFonts w:ascii="宋体" w:hAnsi="宋体" w:cs="宋体" w:eastAsia="宋体"/>
          <w:b w:val="false"/>
        </w:rPr>
        <w:t xml:space="preserve">    本基金投资前十名的其余证券的发行主体本期未出现被监管部门立案调查，或在报告编制日前一年内受到公开谴责、处罚的情形。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2,735,430.87</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2,735,430.87</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东方阿尔法科技优选混合发起A</w:t>
            </w:r>
          </w:p>
        </w:tc>
        <w:tc>
          <w:tcPr>
            <w:tcW w:type="pct" w:w="1300"/>
            <w:vAlign w:val="center"/>
          </w:tcPr>
          <w:p>
            <w:pPr>
              <w:spacing w:line="240" w:lineRule="auto"/>
              <w:jc w:val="center"/>
            </w:pPr>
            <w:r>
              <w:rPr>
                <w:rFonts w:ascii="宋体" w:hAnsi="宋体" w:cs="宋体" w:eastAsia="宋体"/>
                <w:b w:val="false"/>
              </w:rPr>
              <w:t>东方阿尔法科技优选混合发起C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12,619,405.39</w:t>
            </w:r>
          </w:p>
        </w:tc>
        <w:tc>
          <w:tcPr>
            <w:tcW w:type="pct" w:w="1300"/>
            <w:vAlign w:val="center"/>
          </w:tcPr>
          <w:p>
            <w:pPr>
              <w:spacing w:line="240" w:lineRule="auto"/>
              <w:jc w:val="right"/>
            </w:pPr>
            <w:r>
              <w:rPr>
                <w:rFonts w:ascii="宋体" w:hAnsi="宋体" w:cs="宋体" w:eastAsia="宋体"/>
                <w:b w:val="false"/>
              </w:rPr>
              <w:t>6,705,676.63</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3,835,331.42</w:t>
            </w:r>
          </w:p>
        </w:tc>
        <w:tc>
          <w:tcPr>
            <w:tcW w:type="pct" w:w="1300"/>
            <w:vAlign w:val="center"/>
          </w:tcPr>
          <w:p>
            <w:pPr>
              <w:spacing w:line="240" w:lineRule="auto"/>
              <w:jc w:val="right"/>
            </w:pPr>
            <w:r>
              <w:rPr>
                <w:rFonts w:ascii="宋体" w:hAnsi="宋体" w:cs="宋体" w:eastAsia="宋体"/>
                <w:b w:val="false"/>
              </w:rPr>
              <w:t>83,968,914.92</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2,124,653.62</w:t>
            </w:r>
          </w:p>
        </w:tc>
        <w:tc>
          <w:tcPr>
            <w:tcW w:type="pct" w:w="1300"/>
            <w:vAlign w:val="center"/>
          </w:tcPr>
          <w:p>
            <w:pPr>
              <w:spacing w:line="240" w:lineRule="auto"/>
              <w:jc w:val="right"/>
            </w:pPr>
            <w:r>
              <w:rPr>
                <w:rFonts w:ascii="宋体" w:hAnsi="宋体" w:cs="宋体" w:eastAsia="宋体"/>
                <w:b w:val="false"/>
              </w:rPr>
              <w:t>47,486,123.75</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14,330,083.19</w:t>
            </w:r>
          </w:p>
        </w:tc>
        <w:tc>
          <w:tcPr>
            <w:tcW w:type="pct" w:w="1300"/>
            <w:vAlign w:val="center"/>
          </w:tcPr>
          <w:p>
            <w:pPr>
              <w:spacing w:line="240" w:lineRule="auto"/>
              <w:jc w:val="right"/>
            </w:pPr>
            <w:r>
              <w:rPr>
                <w:rFonts w:ascii="宋体" w:hAnsi="宋体" w:cs="宋体" w:eastAsia="宋体"/>
                <w:b w:val="false"/>
              </w:rPr>
              <w:t>43,188,467.80</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1538"/>
            <w:vAlign w:val="center"/>
          </w:tcPr>
          <w:tcPr>
            <w:shd w:fill="d9d9d9"/>
          </w:tcPr>
          <w:p>
            <w:pPr>
              <w:spacing w:line="240" w:lineRule="auto"/>
              <w:jc w:val="center"/>
            </w:pPr>
            <w:r>
              <w:rPr>
                <w:rFonts w:ascii="宋体" w:hAnsi="宋体" w:cs="宋体" w:eastAsia="宋体"/>
                <w:b w:val="false"/>
              </w:rPr>
              <w:t>项目</w:t>
            </w:r>
          </w:p>
        </w:tc>
        <w:tc>
          <w:tcPr>
            <w:tcW w:type="pct" w:w="692"/>
            <w:vAlign w:val="center"/>
          </w:tcPr>
          <w:tcPr>
            <w:shd w:fill="d9d9d9"/>
          </w:tcPr>
          <w:p>
            <w:pPr>
              <w:spacing w:line="240" w:lineRule="auto"/>
              <w:jc w:val="center"/>
            </w:pPr>
            <w:r>
              <w:rPr>
                <w:rFonts w:ascii="宋体" w:hAnsi="宋体" w:cs="宋体" w:eastAsia="宋体"/>
                <w:b w:val="false"/>
              </w:rPr>
              <w:t>持有份额总数</w:t>
            </w:r>
          </w:p>
        </w:tc>
        <w:tc>
          <w:tcPr>
            <w:tcW w:type="pct" w:w="692"/>
            <w:vAlign w:val="center"/>
          </w:tcPr>
          <w:tcPr>
            <w:shd w:fill="d9d9d9"/>
          </w:tcPr>
          <w:p>
            <w:pPr>
              <w:spacing w:line="240" w:lineRule="auto"/>
              <w:jc w:val="center"/>
            </w:pPr>
            <w:r>
              <w:rPr>
                <w:rFonts w:ascii="宋体" w:hAnsi="宋体" w:cs="宋体" w:eastAsia="宋体"/>
                <w:b w:val="false"/>
              </w:rPr>
              <w:t>持有份额占基金总份额比例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发起份额总数</w:t>
            </w:r>
          </w:p>
        </w:tc>
        <w:tc>
          <w:tcPr>
            <w:tcW w:type="pct" w:w="692"/>
            <w:vAlign w:val="center"/>
          </w:tcPr>
          <w:tcPr>
            <w:shd w:fill="d9d9d9"/>
          </w:tcPr>
          <w:p>
            <w:pPr>
              <w:spacing w:line="240" w:lineRule="auto"/>
              <w:jc w:val="center"/>
            </w:pPr>
            <w:r>
              <w:rPr>
                <w:rFonts w:ascii="宋体" w:hAnsi="宋体" w:cs="宋体" w:eastAsia="宋体"/>
                <w:b w:val="false"/>
              </w:rPr>
              <w:t>发起份额占基金总份额比例</w:t>
            </w:r>
          </w:p>
        </w:tc>
        <w:tc>
          <w:tcPr>
            <w:tcW w:type="pct" w:w="692"/>
            <w:vAlign w:val="center"/>
          </w:tcPr>
          <w:tcPr>
            <w:shd w:fill="d9d9d9"/>
          </w:tcPr>
          <w:p>
            <w:pPr>
              <w:spacing w:line="240" w:lineRule="auto"/>
              <w:jc w:val="center"/>
            </w:pPr>
            <w:r>
              <w:rPr>
                <w:rFonts w:ascii="宋体" w:hAnsi="宋体" w:cs="宋体" w:eastAsia="宋体"/>
                <w:b w:val="false"/>
              </w:rPr>
              <w:t>发起份额承诺持有期限</w:t>
            </w:r>
          </w:p>
        </w:tc>
      </w:tr>
      <w:tr>
        <w:tc>
          <w:tcPr>
            <w:tcW/>
            <w:vAlign w:val="center"/>
          </w:tcPr>
          <w:p>
            <w:pPr>
              <w:spacing w:line="240" w:lineRule="auto"/>
              <w:jc w:val="left"/>
            </w:pPr>
            <w:r>
              <w:rPr>
                <w:rFonts w:ascii="宋体" w:hAnsi="宋体" w:cs="宋体" w:eastAsia="宋体"/>
                <w:b w:val="false"/>
              </w:rPr>
              <w:t>基金管理人固有资金</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基金管理人高级管理人员</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17.39%</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17.39%</w:t>
            </w:r>
          </w:p>
        </w:tc>
        <w:tc>
          <w:tcPr>
            <w:tcW/>
            <w:vAlign w:val="center"/>
          </w:tcPr>
          <w:p>
            <w:pPr>
              <w:spacing w:line="240" w:lineRule="auto"/>
              <w:jc w:val="left"/>
            </w:pPr>
            <w:r>
              <w:rPr>
                <w:rFonts w:ascii="宋体" w:hAnsi="宋体" w:cs="宋体" w:eastAsia="宋体"/>
                <w:b w:val="false"/>
              </w:rPr>
              <w:t>自合同生效之日起不少于3年</w:t>
            </w:r>
          </w:p>
        </w:tc>
      </w:tr>
      <w:tr>
        <w:tc>
          <w:tcPr>
            <w:tcW/>
            <w:vAlign w:val="center"/>
          </w:tcPr>
          <w:p>
            <w:pPr>
              <w:spacing w:line="240" w:lineRule="auto"/>
              <w:jc w:val="left"/>
            </w:pPr>
            <w:r>
              <w:rPr>
                <w:rFonts w:ascii="宋体" w:hAnsi="宋体" w:cs="宋体" w:eastAsia="宋体"/>
                <w:b w:val="false"/>
              </w:rPr>
              <w:t>基金经理等人员</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基金管理人股东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lef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17.39%</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17.39%</w:t>
            </w:r>
          </w:p>
        </w:tc>
        <w:tc>
          <w:tcPr>
            <w:tcW/>
            <w:vAlign w:val="center"/>
          </w:tcPr>
          <w:p>
            <w:pPr>
              <w:spacing w:line="240" w:lineRule="auto"/>
              <w:jc w:val="left"/>
            </w:pPr>
            <w:r>
              <w:rPr>
                <w:rFonts w:ascii="宋体" w:hAnsi="宋体" w:cs="宋体" w:eastAsia="宋体"/>
                <w:b w:val="false"/>
              </w:rPr>
              <w:t>-</w:t>
            </w:r>
          </w:p>
        </w:tc>
      </w:tr>
    </w:tbl>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个人</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2025年10月01日-2025年12月24日</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10,000,388.92</w:t>
            </w:r>
          </w:p>
        </w:tc>
        <w:tc>
          <w:tcPr>
            <w:tcW/>
            <w:vAlign w:val="center"/>
          </w:tcPr>
          <w:p>
            <w:pPr>
              <w:spacing w:line="240" w:lineRule="auto"/>
              <w:jc w:val="right"/>
            </w:pPr>
            <w:r>
              <w:rPr>
                <w:rFonts w:ascii="宋体" w:hAnsi="宋体" w:cs="宋体" w:eastAsia="宋体"/>
                <w:b w:val="false"/>
              </w:rPr>
              <w:t>17.39%</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1、中国证券监督管理委员会批准的东方阿尔法科技优选混合型发起式证券投资基金设立的文件；</w:t>
        <w:cr/>
      </w:r>
      <w:r>
        <w:rPr>
          <w:rFonts w:ascii="宋体" w:hAnsi="宋体" w:cs="宋体" w:eastAsia="宋体"/>
          <w:b w:val="false"/>
        </w:rPr>
        <w:t xml:space="preserve">    2、《东方阿尔法科技优选混合型发起式证券投资基金基金合同》；</w:t>
        <w:cr/>
      </w:r>
      <w:r>
        <w:rPr>
          <w:rFonts w:ascii="宋体" w:hAnsi="宋体" w:cs="宋体" w:eastAsia="宋体"/>
          <w:b w:val="false"/>
        </w:rPr>
        <w:t xml:space="preserve">    3、《东方阿尔法科技优选混合型发起式证券投资基金托管协议》；</w:t>
        <w:cr/>
      </w:r>
      <w:r>
        <w:rPr>
          <w:rFonts w:ascii="宋体" w:hAnsi="宋体" w:cs="宋体" w:eastAsia="宋体"/>
          <w:b w:val="false"/>
        </w:rPr>
        <w:t xml:space="preserve">    4、《东方阿尔法科技优选混合型发起式证券投资基金招募说明书》（含更新）；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二〇二六年一月二十二日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东方阿尔法科技优选混合型发起式证券投资基金2025年第4季度报告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