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东方阿尔法兴科一年持有期混合型证券投资基金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2025年第4季度报告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2025年12月31日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兴业银行股份有限公司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2026年01月22日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基金托管人兴业银行股份有限公司根据本基金合同规定，于2026年01月21日复核了本报告中的财务指标、净值表现和投资组合报告等内容，保证复核内容不存在虚假记载、误导性陈述或者重大遗漏。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本报告期自2025年10月01日起至2025年12月31日止。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东方阿尔法兴科一年持有混合</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015900</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契约型开放式。每个开放日开放申购，每笔申购/转换转入申请所得基金份额持有满一年后每个开放日开放赎回/转换转出。</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2022年09月28日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73,590,923.52份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本基金在有效控制组合风险并保持良好流动性的前提下，通过深入研究、优选个股、主动的投资管理方式力求实现组合资产的稳健增值。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本基金的投资策略主要有以下11个方面内容：</w:t>
              <w:br/>
            </w:r>
            <w:r>
              <w:rPr>
                <w:rFonts w:ascii="宋体" w:hAnsi="宋体" w:cs="宋体" w:eastAsia="宋体"/>
                <w:b w:val="false"/>
              </w:rPr>
              <w:t>1、大类资产配置策略</w:t>
              <w:br/>
            </w:r>
            <w:r>
              <w:rPr>
                <w:rFonts w:ascii="宋体" w:hAnsi="宋体" w:cs="宋体" w:eastAsia="宋体"/>
                <w:b w:val="false"/>
              </w:rPr>
              <w:t>本基金根据对宏观经济周期的分析研究，结合基本面、市场面、政策面等多种因素的综合考量，研判所处经济周期的位置及未来发展方向，以确定组合中股票、债券、货币市场工具及其他金融工具的比例。</w:t>
              <w:br/>
            </w:r>
            <w:r>
              <w:rPr>
                <w:rFonts w:ascii="宋体" w:hAnsi="宋体" w:cs="宋体" w:eastAsia="宋体"/>
                <w:b w:val="false"/>
              </w:rPr>
              <w:t>2、股票投资策略</w:t>
              <w:br/>
            </w:r>
            <w:r>
              <w:rPr>
                <w:rFonts w:ascii="宋体" w:hAnsi="宋体" w:cs="宋体" w:eastAsia="宋体"/>
                <w:b w:val="false"/>
              </w:rPr>
              <w:t>本基金股票投资策略为通过自上而下的选股模式，通过产业精选和个股研究相结合，优选成长期产业，把握景气周期上行阶段的投资机会，选择产业内在经营模式、市场格局、竞争壁垒、产能投放、研发投入、新业务拓展和公司治理等方面具有领先优势的优质上市公司。</w:t>
              <w:br/>
            </w:r>
            <w:r>
              <w:rPr>
                <w:rFonts w:ascii="宋体" w:hAnsi="宋体" w:cs="宋体" w:eastAsia="宋体"/>
                <w:b w:val="false"/>
              </w:rPr>
              <w:t>3、港股投资策略</w:t>
              <w:br/>
            </w:r>
            <w:r>
              <w:rPr>
                <w:rFonts w:ascii="宋体" w:hAnsi="宋体" w:cs="宋体" w:eastAsia="宋体"/>
                <w:b w:val="false"/>
              </w:rPr>
              <w:t>本基金可通过内地与香港股票市场交易互联互通机制投资于香港股票市场，不使用合格境内机构投资者(QDII)境外投资额度进行境外投资。</w:t>
              <w:br/>
            </w:r>
            <w:r>
              <w:rPr>
                <w:rFonts w:ascii="宋体" w:hAnsi="宋体" w:cs="宋体" w:eastAsia="宋体"/>
                <w:b w:val="false"/>
              </w:rPr>
              <w:t>4、存托凭证投资策略</w:t>
              <w:br/>
            </w:r>
            <w:r>
              <w:rPr>
                <w:rFonts w:ascii="宋体" w:hAnsi="宋体" w:cs="宋体" w:eastAsia="宋体"/>
                <w:b w:val="false"/>
              </w:rPr>
              <w:t>本基金在深入研究的基础上，通过定性分析和定量分析相结合的方式，可选择投资价值高的存托凭证进行投资。</w:t>
              <w:br/>
            </w:r>
            <w:r>
              <w:rPr>
                <w:rFonts w:ascii="宋体" w:hAnsi="宋体" w:cs="宋体" w:eastAsia="宋体"/>
                <w:b w:val="false"/>
              </w:rPr>
              <w:t>5、债券类资产投资策略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6、可转债（含分离交易可转债）及可交换债券投资策略</w:t>
              <w:br/>
            </w:r>
            <w:r>
              <w:rPr>
                <w:rFonts w:ascii="宋体" w:hAnsi="宋体" w:cs="宋体" w:eastAsia="宋体"/>
                <w:b w:val="false"/>
              </w:rPr>
              <w:t>对于可转换债券的投资，本基金在评估其偿债能力的同时兼顾公司的成长性，以期通过转换条款分享因股价上升带来的高收益。</w:t>
              <w:br/>
            </w:r>
            <w:r>
              <w:rPr>
                <w:rFonts w:ascii="宋体" w:hAnsi="宋体" w:cs="宋体" w:eastAsia="宋体"/>
                <w:b w:val="false"/>
              </w:rPr>
              <w:t>7、股指期货投资策略</w:t>
              <w:br/>
            </w:r>
            <w:r>
              <w:rPr>
                <w:rFonts w:ascii="宋体" w:hAnsi="宋体" w:cs="宋体" w:eastAsia="宋体"/>
                <w:b w:val="false"/>
              </w:rPr>
              <w:t>本基金以套期保值为目的，在风险可控的前提下，参与股指期货的投资。本基金还将运用股指期货来管理特殊情况下的流动性风险，如预期大额申购赎回、大量分红等。</w:t>
              <w:br/>
            </w:r>
            <w:r>
              <w:rPr>
                <w:rFonts w:ascii="宋体" w:hAnsi="宋体" w:cs="宋体" w:eastAsia="宋体"/>
                <w:b w:val="false"/>
              </w:rPr>
              <w:t>8、融资业务的投资策略</w:t>
              <w:br/>
            </w:r>
            <w:r>
              <w:rPr>
                <w:rFonts w:ascii="宋体" w:hAnsi="宋体" w:cs="宋体" w:eastAsia="宋体"/>
                <w:b w:val="false"/>
              </w:rPr>
              <w:t>本基金参与融资业务，将综合考虑融资成本、保证金比例、冲抵保证金证券折算率、信用资质等条件选择合适的交易对手方。在保障基金投资组合充足流动性以及有效控制融资杠杆风险的前提下，确定融资比例。</w:t>
              <w:br/>
            </w:r>
            <w:r>
              <w:rPr>
                <w:rFonts w:ascii="宋体" w:hAnsi="宋体" w:cs="宋体" w:eastAsia="宋体"/>
                <w:b w:val="false"/>
              </w:rPr>
              <w:t>9、国债期货的投资策略</w:t>
              <w:br/>
            </w:r>
            <w:r>
              <w:rPr>
                <w:rFonts w:ascii="宋体" w:hAnsi="宋体" w:cs="宋体" w:eastAsia="宋体"/>
                <w:b w:val="false"/>
              </w:rPr>
              <w:t>本基金以套期保值为目的，以回避市场风险，通过动态管理国债期货合约数量，以萃取相应债券组合的超额收益。</w:t>
              <w:br/>
            </w:r>
            <w:r>
              <w:rPr>
                <w:rFonts w:ascii="宋体" w:hAnsi="宋体" w:cs="宋体" w:eastAsia="宋体"/>
                <w:b w:val="false"/>
              </w:rPr>
              <w:t xml:space="preserve">10、股票期权投资策略 </w:t>
              <w:br/>
            </w:r>
            <w:r>
              <w:rPr>
                <w:rFonts w:ascii="宋体" w:hAnsi="宋体" w:cs="宋体" w:eastAsia="宋体"/>
                <w:b w:val="false"/>
              </w:rPr>
              <w:t>本基金以套期保值为主要目的参与股票期权交易，结合投资目标、比例限制、风险收益特征以及法律法规的相关限定和要求，确定参与股票期权交易的投资时机和投资比例。</w:t>
              <w:br/>
            </w:r>
            <w:r>
              <w:rPr>
                <w:rFonts w:ascii="宋体" w:hAnsi="宋体" w:cs="宋体" w:eastAsia="宋体"/>
                <w:b w:val="false"/>
              </w:rPr>
              <w:t>11、资产支持证券投资策略</w:t>
              <w:br/>
            </w:r>
            <w:r>
              <w:rPr>
                <w:rFonts w:ascii="宋体" w:hAnsi="宋体" w:cs="宋体" w:eastAsia="宋体"/>
                <w:b w:val="false"/>
              </w:rPr>
              <w:t>本基金将投资包括资产抵押贷款支持证券(ABS)、住房抵押贷款支持证券(MBS)等在内的资产支持证券。</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中证800指数收益率×60%+中证综合债券指数收益率×20%+恒生指数收益率×20%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兴业银行股份有限公司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东方阿尔法兴科一年持有混合A</w:t>
            </w:r>
          </w:p>
        </w:tc>
        <w:tc>
          <w:tcPr>
            <w:tcW w:type="pct" w:w="1500"/>
            <w:vAlign w:val="center"/>
          </w:tcPr>
          <w:p>
            <w:pPr>
              <w:spacing w:line="240" w:lineRule="auto"/>
              <w:jc w:val="left"/>
            </w:pPr>
            <w:r>
              <w:rPr>
                <w:rFonts w:ascii="宋体" w:hAnsi="宋体" w:cs="宋体" w:eastAsia="宋体"/>
                <w:b w:val="false"/>
              </w:rPr>
              <w:t>东方阿尔法兴科一年持有混合C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015900</w:t>
            </w:r>
          </w:p>
        </w:tc>
        <w:tc>
          <w:tcPr>
            <w:tcW w:type="pct" w:w="1500"/>
            <w:vAlign w:val="center"/>
          </w:tcPr>
          <w:p>
            <w:pPr>
              <w:spacing w:line="240" w:lineRule="auto"/>
              <w:jc w:val="left"/>
            </w:pPr>
            <w:r>
              <w:rPr>
                <w:rFonts w:ascii="宋体" w:hAnsi="宋体" w:cs="宋体" w:eastAsia="宋体"/>
                <w:b w:val="false"/>
              </w:rPr>
              <w:t>015901</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60,945,022.14份</w:t>
            </w:r>
          </w:p>
        </w:tc>
        <w:tc>
          <w:tcPr>
            <w:tcW w:type="pct" w:w="1500"/>
            <w:vAlign w:val="center"/>
          </w:tcPr>
          <w:p>
            <w:pPr>
              <w:spacing w:line="240" w:lineRule="auto"/>
              <w:jc w:val="left"/>
            </w:pPr>
            <w:r>
              <w:rPr>
                <w:rFonts w:ascii="宋体" w:hAnsi="宋体" w:cs="宋体" w:eastAsia="宋体"/>
                <w:b w:val="false"/>
              </w:rPr>
              <w:t>12,645,901.38份</w:t>
            </w:r>
          </w:p>
        </w:tc>
      </w:tr>
    </w:tbl>
    <w:p>
      <w:r>
        <w:rPr>
          <w:rFonts w:ascii="宋体" w:hAnsi="宋体" w:cs="宋体" w:eastAsia="宋体"/>
          <w:b w:val="false"/>
        </w:rPr>
        <w:t>注：本基金对每份基金份额设置一年的最短持有期限。</w:t>
        <w:cr/>
      </w:r>
      <w:r>
        <w:rPr>
          <w:rFonts w:ascii="宋体" w:hAnsi="宋体" w:cs="宋体" w:eastAsia="宋体"/>
          <w:b w:val="false"/>
        </w:rPr>
        <w:t>最短持有期限指从基金合同生效日（对认购份额而言，下同）、基金份额申购确认日（对申购份额而言，下同）或基金份额转换转入确认日（对转换转入份额而言，下同）起，至基金合同生效日、基金份额申购确认日或基金份额转换转入确认日次年的年度对应日的前一日。相应基金份额在最短持有期限内不可办理赎回及转换转出业务，最短持有期限届满后的下一个工作日起可以办理赎回及转换转出业务。</w:t>
        <w:cr/>
      </w:r>
      <w:r>
        <w:rPr>
          <w:rFonts w:ascii="宋体" w:hAnsi="宋体" w:cs="宋体" w:eastAsia="宋体"/>
          <w:b w:val="false"/>
        </w:rPr>
        <w:t>因不可抗力或基金合同约定的其他情形致使基金管理人无法在基金份额的最短持有期限届满后按时开放办理该基金份额的赎回和转换转出业务的，则顺延至不可抗力或基金合同约定的其他情形的影响因素消除之日起的下一个工作日。</w:t>
      </w:r>
    </w:p>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报告期（2025年10月01日-2025年12月31日）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东方阿尔法兴科一年持有混合A</w:t>
            </w:r>
          </w:p>
        </w:tc>
        <w:tc>
          <w:tcPr>
            <w:tcW w:type="pct" w:w="1500"/>
            <w:vAlign w:val="center"/>
          </w:tcPr>
          <w:tcPr>
            <w:shd w:fill="d9d9d9"/>
          </w:tcPr>
          <w:p>
            <w:pPr>
              <w:spacing w:line="240" w:lineRule="auto"/>
              <w:jc w:val="center"/>
            </w:pPr>
            <w:r>
              <w:rPr>
                <w:rFonts w:ascii="宋体" w:hAnsi="宋体" w:cs="宋体" w:eastAsia="宋体"/>
                <w:b w:val="false"/>
              </w:rPr>
              <w:t>东方阿尔法兴科一年持有混合C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3,628,817.03</w:t>
            </w:r>
          </w:p>
        </w:tc>
        <w:tc>
          <w:tcPr>
            <w:tcW w:type="pct" w:w="1500"/>
            <w:vAlign w:val="center"/>
          </w:tcPr>
          <w:p>
            <w:pPr>
              <w:spacing w:line="240" w:lineRule="auto"/>
              <w:jc w:val="right"/>
            </w:pPr>
            <w:r>
              <w:rPr>
                <w:rFonts w:ascii="宋体" w:hAnsi="宋体" w:cs="宋体" w:eastAsia="宋体"/>
                <w:b w:val="false"/>
              </w:rPr>
              <w:t>789,248.38</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3,630,040.33</w:t>
            </w:r>
          </w:p>
        </w:tc>
        <w:tc>
          <w:tcPr>
            <w:tcW w:type="pct" w:w="1500"/>
            <w:vAlign w:val="center"/>
          </w:tcPr>
          <w:p>
            <w:pPr>
              <w:spacing w:line="240" w:lineRule="auto"/>
              <w:jc w:val="right"/>
            </w:pPr>
            <w:r>
              <w:rPr>
                <w:rFonts w:ascii="宋体" w:hAnsi="宋体" w:cs="宋体" w:eastAsia="宋体"/>
                <w:b w:val="false"/>
              </w:rPr>
              <w:t>807,808.13</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0.0616</w:t>
            </w:r>
          </w:p>
        </w:tc>
        <w:tc>
          <w:tcPr>
            <w:tcW w:type="pct" w:w="1500"/>
            <w:vAlign w:val="center"/>
          </w:tcPr>
          <w:p>
            <w:pPr>
              <w:spacing w:line="240" w:lineRule="auto"/>
              <w:jc w:val="right"/>
            </w:pPr>
            <w:r>
              <w:rPr>
                <w:rFonts w:ascii="宋体" w:hAnsi="宋体" w:cs="宋体" w:eastAsia="宋体"/>
                <w:b w:val="false"/>
              </w:rPr>
              <w:t>0.0609</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60,279,878.09</w:t>
            </w:r>
          </w:p>
        </w:tc>
        <w:tc>
          <w:tcPr>
            <w:tcW w:type="pct" w:w="1500"/>
            <w:vAlign w:val="center"/>
          </w:tcPr>
          <w:p>
            <w:pPr>
              <w:spacing w:line="240" w:lineRule="auto"/>
              <w:jc w:val="right"/>
            </w:pPr>
            <w:r>
              <w:rPr>
                <w:rFonts w:ascii="宋体" w:hAnsi="宋体" w:cs="宋体" w:eastAsia="宋体"/>
                <w:b w:val="false"/>
              </w:rPr>
              <w:t>12,264,594.48</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0.9891</w:t>
            </w:r>
          </w:p>
        </w:tc>
        <w:tc>
          <w:tcPr>
            <w:tcW w:type="pct" w:w="1500"/>
            <w:vAlign w:val="center"/>
          </w:tcPr>
          <w:p>
            <w:pPr>
              <w:spacing w:line="240" w:lineRule="auto"/>
              <w:jc w:val="right"/>
            </w:pPr>
            <w:r>
              <w:rPr>
                <w:rFonts w:ascii="宋体" w:hAnsi="宋体" w:cs="宋体" w:eastAsia="宋体"/>
                <w:b w:val="false"/>
              </w:rPr>
              <w:t>0.9698</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pPr>
        <w:pStyle w:val="zhangjiep2"/>
      </w:pPr>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东方阿尔法兴科一年持有混合A净值表现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6.49%</w:t>
            </w:r>
          </w:p>
        </w:tc>
        <w:tc>
          <w:tcPr>
            <w:tcW/>
            <w:vAlign w:val="center"/>
          </w:tcPr>
          <w:p>
            <w:pPr>
              <w:spacing w:line="240" w:lineRule="auto"/>
              <w:jc w:val="right"/>
            </w:pPr>
            <w:r>
              <w:rPr>
                <w:rFonts w:ascii="宋体" w:hAnsi="宋体" w:cs="宋体" w:eastAsia="宋体"/>
                <w:b w:val="false"/>
              </w:rPr>
              <w:t>0.78%</w:t>
            </w:r>
          </w:p>
        </w:tc>
        <w:tc>
          <w:tcPr>
            <w:tcW/>
            <w:vAlign w:val="center"/>
          </w:tcPr>
          <w:p>
            <w:pPr>
              <w:spacing w:line="240" w:lineRule="auto"/>
              <w:jc w:val="right"/>
            </w:pPr>
            <w:r>
              <w:rPr>
                <w:rFonts w:ascii="宋体" w:hAnsi="宋体" w:cs="宋体" w:eastAsia="宋体"/>
                <w:b w:val="false"/>
              </w:rPr>
              <w:t>-0.95%</w:t>
            </w:r>
          </w:p>
        </w:tc>
        <w:tc>
          <w:tcPr>
            <w:tcW/>
            <w:vAlign w:val="center"/>
          </w:tcPr>
          <w:p>
            <w:pPr>
              <w:spacing w:line="240" w:lineRule="auto"/>
              <w:jc w:val="right"/>
            </w:pPr>
            <w:r>
              <w:rPr>
                <w:rFonts w:ascii="宋体" w:hAnsi="宋体" w:cs="宋体" w:eastAsia="宋体"/>
                <w:b w:val="false"/>
              </w:rPr>
              <w:t>0.78%</w:t>
            </w:r>
          </w:p>
        </w:tc>
        <w:tc>
          <w:tcPr>
            <w:tcW/>
            <w:vAlign w:val="center"/>
          </w:tcPr>
          <w:p>
            <w:pPr>
              <w:spacing w:line="240" w:lineRule="auto"/>
              <w:jc w:val="right"/>
            </w:pPr>
            <w:r>
              <w:rPr>
                <w:rFonts w:ascii="宋体" w:hAnsi="宋体" w:cs="宋体" w:eastAsia="宋体"/>
                <w:b w:val="false"/>
              </w:rPr>
              <w:t>7.44%</w:t>
            </w:r>
          </w:p>
        </w:tc>
        <w:tc>
          <w:tcPr>
            <w:tcW/>
            <w:vAlign w:val="center"/>
          </w:tcPr>
          <w:p>
            <w:pPr>
              <w:spacing w:line="240" w:lineRule="auto"/>
              <w:jc w:val="right"/>
            </w:pPr>
            <w:r>
              <w:rPr>
                <w:rFonts w:ascii="宋体" w:hAnsi="宋体" w:cs="宋体" w:eastAsia="宋体"/>
                <w:b w:val="false"/>
              </w:rPr>
              <w:t>0.00%</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15.39%</w:t>
            </w:r>
          </w:p>
        </w:tc>
        <w:tc>
          <w:tcPr>
            <w:tcW/>
            <w:vAlign w:val="center"/>
          </w:tcPr>
          <w:p>
            <w:pPr>
              <w:spacing w:line="240" w:lineRule="auto"/>
              <w:jc w:val="right"/>
            </w:pPr>
            <w:r>
              <w:rPr>
                <w:rFonts w:ascii="宋体" w:hAnsi="宋体" w:cs="宋体" w:eastAsia="宋体"/>
                <w:b w:val="false"/>
              </w:rPr>
              <w:t>0.84%</w:t>
            </w:r>
          </w:p>
        </w:tc>
        <w:tc>
          <w:tcPr>
            <w:tcW/>
            <w:vAlign w:val="center"/>
          </w:tcPr>
          <w:p>
            <w:pPr>
              <w:spacing w:line="240" w:lineRule="auto"/>
              <w:jc w:val="right"/>
            </w:pPr>
            <w:r>
              <w:rPr>
                <w:rFonts w:ascii="宋体" w:hAnsi="宋体" w:cs="宋体" w:eastAsia="宋体"/>
                <w:b w:val="false"/>
              </w:rPr>
              <w:t>12.76%</w:t>
            </w:r>
          </w:p>
        </w:tc>
        <w:tc>
          <w:tcPr>
            <w:tcW/>
            <w:vAlign w:val="center"/>
          </w:tcPr>
          <w:p>
            <w:pPr>
              <w:spacing w:line="240" w:lineRule="auto"/>
              <w:jc w:val="right"/>
            </w:pPr>
            <w:r>
              <w:rPr>
                <w:rFonts w:ascii="宋体" w:hAnsi="宋体" w:cs="宋体" w:eastAsia="宋体"/>
                <w:b w:val="false"/>
              </w:rPr>
              <w:t>0.72%</w:t>
            </w:r>
          </w:p>
        </w:tc>
        <w:tc>
          <w:tcPr>
            <w:tcW/>
            <w:vAlign w:val="center"/>
          </w:tcPr>
          <w:p>
            <w:pPr>
              <w:spacing w:line="240" w:lineRule="auto"/>
              <w:jc w:val="right"/>
            </w:pPr>
            <w:r>
              <w:rPr>
                <w:rFonts w:ascii="宋体" w:hAnsi="宋体" w:cs="宋体" w:eastAsia="宋体"/>
                <w:b w:val="false"/>
              </w:rPr>
              <w:t>2.63%</w:t>
            </w:r>
          </w:p>
        </w:tc>
        <w:tc>
          <w:tcPr>
            <w:tcW/>
            <w:vAlign w:val="center"/>
          </w:tcPr>
          <w:p>
            <w:pPr>
              <w:spacing w:line="240" w:lineRule="auto"/>
              <w:jc w:val="right"/>
            </w:pPr>
            <w:r>
              <w:rPr>
                <w:rFonts w:ascii="宋体" w:hAnsi="宋体" w:cs="宋体" w:eastAsia="宋体"/>
                <w:b w:val="false"/>
              </w:rPr>
              <w:t>0.12%</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14.56%</w:t>
            </w:r>
          </w:p>
        </w:tc>
        <w:tc>
          <w:tcPr>
            <w:tcW/>
            <w:vAlign w:val="center"/>
          </w:tcPr>
          <w:p>
            <w:pPr>
              <w:spacing w:line="240" w:lineRule="auto"/>
              <w:jc w:val="right"/>
            </w:pPr>
            <w:r>
              <w:rPr>
                <w:rFonts w:ascii="宋体" w:hAnsi="宋体" w:cs="宋体" w:eastAsia="宋体"/>
                <w:b w:val="false"/>
              </w:rPr>
              <w:t>1.07%</w:t>
            </w:r>
          </w:p>
        </w:tc>
        <w:tc>
          <w:tcPr>
            <w:tcW/>
            <w:vAlign w:val="center"/>
          </w:tcPr>
          <w:p>
            <w:pPr>
              <w:spacing w:line="240" w:lineRule="auto"/>
              <w:jc w:val="right"/>
            </w:pPr>
            <w:r>
              <w:rPr>
                <w:rFonts w:ascii="宋体" w:hAnsi="宋体" w:cs="宋体" w:eastAsia="宋体"/>
                <w:b w:val="false"/>
              </w:rPr>
              <w:t>17.79%</w:t>
            </w:r>
          </w:p>
        </w:tc>
        <w:tc>
          <w:tcPr>
            <w:tcW/>
            <w:vAlign w:val="center"/>
          </w:tcPr>
          <w:p>
            <w:pPr>
              <w:spacing w:line="240" w:lineRule="auto"/>
              <w:jc w:val="right"/>
            </w:pPr>
            <w:r>
              <w:rPr>
                <w:rFonts w:ascii="宋体" w:hAnsi="宋体" w:cs="宋体" w:eastAsia="宋体"/>
                <w:b w:val="false"/>
              </w:rPr>
              <w:t>0.85%</w:t>
            </w:r>
          </w:p>
        </w:tc>
        <w:tc>
          <w:tcPr>
            <w:tcW/>
            <w:vAlign w:val="center"/>
          </w:tcPr>
          <w:p>
            <w:pPr>
              <w:spacing w:line="240" w:lineRule="auto"/>
              <w:jc w:val="right"/>
            </w:pPr>
            <w:r>
              <w:rPr>
                <w:rFonts w:ascii="宋体" w:hAnsi="宋体" w:cs="宋体" w:eastAsia="宋体"/>
                <w:b w:val="false"/>
              </w:rPr>
              <w:t>-3.23%</w:t>
            </w:r>
          </w:p>
        </w:tc>
        <w:tc>
          <w:tcPr>
            <w:tcW/>
            <w:vAlign w:val="center"/>
          </w:tcPr>
          <w:p>
            <w:pPr>
              <w:spacing w:line="240" w:lineRule="auto"/>
              <w:jc w:val="right"/>
            </w:pPr>
            <w:r>
              <w:rPr>
                <w:rFonts w:ascii="宋体" w:hAnsi="宋体" w:cs="宋体" w:eastAsia="宋体"/>
                <w:b w:val="false"/>
              </w:rPr>
              <w:t>0.22%</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1.77%</w:t>
            </w:r>
          </w:p>
        </w:tc>
        <w:tc>
          <w:tcPr>
            <w:tcW/>
            <w:vAlign w:val="center"/>
          </w:tcPr>
          <w:p>
            <w:pPr>
              <w:spacing w:line="240" w:lineRule="auto"/>
              <w:jc w:val="right"/>
            </w:pPr>
            <w:r>
              <w:rPr>
                <w:rFonts w:ascii="宋体" w:hAnsi="宋体" w:cs="宋体" w:eastAsia="宋体"/>
                <w:b w:val="false"/>
              </w:rPr>
              <w:t>1.40%</w:t>
            </w:r>
          </w:p>
        </w:tc>
        <w:tc>
          <w:tcPr>
            <w:tcW/>
            <w:vAlign w:val="center"/>
          </w:tcPr>
          <w:p>
            <w:pPr>
              <w:spacing w:line="240" w:lineRule="auto"/>
              <w:jc w:val="right"/>
            </w:pPr>
            <w:r>
              <w:rPr>
                <w:rFonts w:ascii="宋体" w:hAnsi="宋体" w:cs="宋体" w:eastAsia="宋体"/>
                <w:b w:val="false"/>
              </w:rPr>
              <w:t>23.59%</w:t>
            </w:r>
          </w:p>
        </w:tc>
        <w:tc>
          <w:tcPr>
            <w:tcW/>
            <w:vAlign w:val="center"/>
          </w:tcPr>
          <w:p>
            <w:pPr>
              <w:spacing w:line="240" w:lineRule="auto"/>
              <w:jc w:val="right"/>
            </w:pPr>
            <w:r>
              <w:rPr>
                <w:rFonts w:ascii="宋体" w:hAnsi="宋体" w:cs="宋体" w:eastAsia="宋体"/>
                <w:b w:val="false"/>
              </w:rPr>
              <w:t>0.87%</w:t>
            </w:r>
          </w:p>
        </w:tc>
        <w:tc>
          <w:tcPr>
            <w:tcW/>
            <w:vAlign w:val="center"/>
          </w:tcPr>
          <w:p>
            <w:pPr>
              <w:spacing w:line="240" w:lineRule="auto"/>
              <w:jc w:val="right"/>
            </w:pPr>
            <w:r>
              <w:rPr>
                <w:rFonts w:ascii="宋体" w:hAnsi="宋体" w:cs="宋体" w:eastAsia="宋体"/>
                <w:b w:val="false"/>
              </w:rPr>
              <w:t>-21.82%</w:t>
            </w:r>
          </w:p>
        </w:tc>
        <w:tc>
          <w:tcPr>
            <w:tcW/>
            <w:vAlign w:val="center"/>
          </w:tcPr>
          <w:p>
            <w:pPr>
              <w:spacing w:line="240" w:lineRule="auto"/>
              <w:jc w:val="right"/>
            </w:pPr>
            <w:r>
              <w:rPr>
                <w:rFonts w:ascii="宋体" w:hAnsi="宋体" w:cs="宋体" w:eastAsia="宋体"/>
                <w:b w:val="false"/>
              </w:rPr>
              <w:t>0.53%</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-1.09%</w:t>
            </w:r>
          </w:p>
        </w:tc>
        <w:tc>
          <w:tcPr>
            <w:tcW/>
            <w:vAlign w:val="center"/>
          </w:tcPr>
          <w:p>
            <w:pPr>
              <w:spacing w:line="240" w:lineRule="auto"/>
              <w:jc w:val="right"/>
            </w:pPr>
            <w:r>
              <w:rPr>
                <w:rFonts w:ascii="宋体" w:hAnsi="宋体" w:cs="宋体" w:eastAsia="宋体"/>
                <w:b w:val="false"/>
              </w:rPr>
              <w:t>1.41%</w:t>
            </w:r>
          </w:p>
        </w:tc>
        <w:tc>
          <w:tcPr>
            <w:tcW/>
            <w:vAlign w:val="center"/>
          </w:tcPr>
          <w:p>
            <w:pPr>
              <w:spacing w:line="240" w:lineRule="auto"/>
              <w:jc w:val="right"/>
            </w:pPr>
            <w:r>
              <w:rPr>
                <w:rFonts w:ascii="宋体" w:hAnsi="宋体" w:cs="宋体" w:eastAsia="宋体"/>
                <w:b w:val="false"/>
              </w:rPr>
              <w:t>25.68%</w:t>
            </w:r>
          </w:p>
        </w:tc>
        <w:tc>
          <w:tcPr>
            <w:tcW/>
            <w:vAlign w:val="center"/>
          </w:tcPr>
          <w:p>
            <w:pPr>
              <w:spacing w:line="240" w:lineRule="auto"/>
              <w:jc w:val="right"/>
            </w:pPr>
            <w:r>
              <w:rPr>
                <w:rFonts w:ascii="宋体" w:hAnsi="宋体" w:cs="宋体" w:eastAsia="宋体"/>
                <w:b w:val="false"/>
              </w:rPr>
              <w:t>0.89%</w:t>
            </w:r>
          </w:p>
        </w:tc>
        <w:tc>
          <w:tcPr>
            <w:tcW/>
            <w:vAlign w:val="center"/>
          </w:tcPr>
          <w:p>
            <w:pPr>
              <w:spacing w:line="240" w:lineRule="auto"/>
              <w:jc w:val="right"/>
            </w:pPr>
            <w:r>
              <w:rPr>
                <w:rFonts w:ascii="宋体" w:hAnsi="宋体" w:cs="宋体" w:eastAsia="宋体"/>
                <w:b w:val="false"/>
              </w:rPr>
              <w:t>-26.77%</w:t>
            </w:r>
          </w:p>
        </w:tc>
        <w:tc>
          <w:tcPr>
            <w:tcW/>
            <w:vAlign w:val="center"/>
          </w:tcPr>
          <w:p>
            <w:pPr>
              <w:spacing w:line="240" w:lineRule="auto"/>
              <w:jc w:val="right"/>
            </w:pPr>
            <w:r>
              <w:rPr>
                <w:rFonts w:ascii="宋体" w:hAnsi="宋体" w:cs="宋体" w:eastAsia="宋体"/>
                <w:b w:val="false"/>
              </w:rPr>
              <w:t>0.52%</w:t>
            </w:r>
          </w:p>
        </w:tc>
      </w:tr>
    </w:tbl>
    <w:p>
      <w:pPr>
        <w:jc w:val="left"/>
      </w:pPr>
      <w:r>
        <w:rPr>
          <w:rFonts w:ascii="宋体" w:hAnsi="宋体" w:cs="宋体" w:eastAsia="宋体"/>
          <w:b w:val="true"/>
        </w:rPr>
        <w:t>东方阿尔法兴科一年持有混合C净值表现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6.31%</w:t>
            </w:r>
          </w:p>
        </w:tc>
        <w:tc>
          <w:tcPr>
            <w:tcW/>
            <w:vAlign w:val="center"/>
          </w:tcPr>
          <w:p>
            <w:pPr>
              <w:spacing w:line="240" w:lineRule="auto"/>
              <w:jc w:val="right"/>
            </w:pPr>
            <w:r>
              <w:rPr>
                <w:rFonts w:ascii="宋体" w:hAnsi="宋体" w:cs="宋体" w:eastAsia="宋体"/>
                <w:b w:val="false"/>
              </w:rPr>
              <w:t>0.78%</w:t>
            </w:r>
          </w:p>
        </w:tc>
        <w:tc>
          <w:tcPr>
            <w:tcW/>
            <w:vAlign w:val="center"/>
          </w:tcPr>
          <w:p>
            <w:pPr>
              <w:spacing w:line="240" w:lineRule="auto"/>
              <w:jc w:val="right"/>
            </w:pPr>
            <w:r>
              <w:rPr>
                <w:rFonts w:ascii="宋体" w:hAnsi="宋体" w:cs="宋体" w:eastAsia="宋体"/>
                <w:b w:val="false"/>
              </w:rPr>
              <w:t>-0.95%</w:t>
            </w:r>
          </w:p>
        </w:tc>
        <w:tc>
          <w:tcPr>
            <w:tcW/>
            <w:vAlign w:val="center"/>
          </w:tcPr>
          <w:p>
            <w:pPr>
              <w:spacing w:line="240" w:lineRule="auto"/>
              <w:jc w:val="right"/>
            </w:pPr>
            <w:r>
              <w:rPr>
                <w:rFonts w:ascii="宋体" w:hAnsi="宋体" w:cs="宋体" w:eastAsia="宋体"/>
                <w:b w:val="false"/>
              </w:rPr>
              <w:t>0.78%</w:t>
            </w:r>
          </w:p>
        </w:tc>
        <w:tc>
          <w:tcPr>
            <w:tcW/>
            <w:vAlign w:val="center"/>
          </w:tcPr>
          <w:p>
            <w:pPr>
              <w:spacing w:line="240" w:lineRule="auto"/>
              <w:jc w:val="right"/>
            </w:pPr>
            <w:r>
              <w:rPr>
                <w:rFonts w:ascii="宋体" w:hAnsi="宋体" w:cs="宋体" w:eastAsia="宋体"/>
                <w:b w:val="false"/>
              </w:rPr>
              <w:t>7.26%</w:t>
            </w:r>
          </w:p>
        </w:tc>
        <w:tc>
          <w:tcPr>
            <w:tcW/>
            <w:vAlign w:val="center"/>
          </w:tcPr>
          <w:p>
            <w:pPr>
              <w:spacing w:line="240" w:lineRule="auto"/>
              <w:jc w:val="right"/>
            </w:pPr>
            <w:r>
              <w:rPr>
                <w:rFonts w:ascii="宋体" w:hAnsi="宋体" w:cs="宋体" w:eastAsia="宋体"/>
                <w:b w:val="false"/>
              </w:rPr>
              <w:t>0.00%</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15.03%</w:t>
            </w:r>
          </w:p>
        </w:tc>
        <w:tc>
          <w:tcPr>
            <w:tcW/>
            <w:vAlign w:val="center"/>
          </w:tcPr>
          <w:p>
            <w:pPr>
              <w:spacing w:line="240" w:lineRule="auto"/>
              <w:jc w:val="right"/>
            </w:pPr>
            <w:r>
              <w:rPr>
                <w:rFonts w:ascii="宋体" w:hAnsi="宋体" w:cs="宋体" w:eastAsia="宋体"/>
                <w:b w:val="false"/>
              </w:rPr>
              <w:t>0.84%</w:t>
            </w:r>
          </w:p>
        </w:tc>
        <w:tc>
          <w:tcPr>
            <w:tcW/>
            <w:vAlign w:val="center"/>
          </w:tcPr>
          <w:p>
            <w:pPr>
              <w:spacing w:line="240" w:lineRule="auto"/>
              <w:jc w:val="right"/>
            </w:pPr>
            <w:r>
              <w:rPr>
                <w:rFonts w:ascii="宋体" w:hAnsi="宋体" w:cs="宋体" w:eastAsia="宋体"/>
                <w:b w:val="false"/>
              </w:rPr>
              <w:t>12.76%</w:t>
            </w:r>
          </w:p>
        </w:tc>
        <w:tc>
          <w:tcPr>
            <w:tcW/>
            <w:vAlign w:val="center"/>
          </w:tcPr>
          <w:p>
            <w:pPr>
              <w:spacing w:line="240" w:lineRule="auto"/>
              <w:jc w:val="right"/>
            </w:pPr>
            <w:r>
              <w:rPr>
                <w:rFonts w:ascii="宋体" w:hAnsi="宋体" w:cs="宋体" w:eastAsia="宋体"/>
                <w:b w:val="false"/>
              </w:rPr>
              <w:t>0.72%</w:t>
            </w:r>
          </w:p>
        </w:tc>
        <w:tc>
          <w:tcPr>
            <w:tcW/>
            <w:vAlign w:val="center"/>
          </w:tcPr>
          <w:p>
            <w:pPr>
              <w:spacing w:line="240" w:lineRule="auto"/>
              <w:jc w:val="right"/>
            </w:pPr>
            <w:r>
              <w:rPr>
                <w:rFonts w:ascii="宋体" w:hAnsi="宋体" w:cs="宋体" w:eastAsia="宋体"/>
                <w:b w:val="false"/>
              </w:rPr>
              <w:t>2.27%</w:t>
            </w:r>
          </w:p>
        </w:tc>
        <w:tc>
          <w:tcPr>
            <w:tcW/>
            <w:vAlign w:val="center"/>
          </w:tcPr>
          <w:p>
            <w:pPr>
              <w:spacing w:line="240" w:lineRule="auto"/>
              <w:jc w:val="right"/>
            </w:pPr>
            <w:r>
              <w:rPr>
                <w:rFonts w:ascii="宋体" w:hAnsi="宋体" w:cs="宋体" w:eastAsia="宋体"/>
                <w:b w:val="false"/>
              </w:rPr>
              <w:t>0.12%</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13.85%</w:t>
            </w:r>
          </w:p>
        </w:tc>
        <w:tc>
          <w:tcPr>
            <w:tcW/>
            <w:vAlign w:val="center"/>
          </w:tcPr>
          <w:p>
            <w:pPr>
              <w:spacing w:line="240" w:lineRule="auto"/>
              <w:jc w:val="right"/>
            </w:pPr>
            <w:r>
              <w:rPr>
                <w:rFonts w:ascii="宋体" w:hAnsi="宋体" w:cs="宋体" w:eastAsia="宋体"/>
                <w:b w:val="false"/>
              </w:rPr>
              <w:t>1.07%</w:t>
            </w:r>
          </w:p>
        </w:tc>
        <w:tc>
          <w:tcPr>
            <w:tcW/>
            <w:vAlign w:val="center"/>
          </w:tcPr>
          <w:p>
            <w:pPr>
              <w:spacing w:line="240" w:lineRule="auto"/>
              <w:jc w:val="right"/>
            </w:pPr>
            <w:r>
              <w:rPr>
                <w:rFonts w:ascii="宋体" w:hAnsi="宋体" w:cs="宋体" w:eastAsia="宋体"/>
                <w:b w:val="false"/>
              </w:rPr>
              <w:t>17.79%</w:t>
            </w:r>
          </w:p>
        </w:tc>
        <w:tc>
          <w:tcPr>
            <w:tcW/>
            <w:vAlign w:val="center"/>
          </w:tcPr>
          <w:p>
            <w:pPr>
              <w:spacing w:line="240" w:lineRule="auto"/>
              <w:jc w:val="right"/>
            </w:pPr>
            <w:r>
              <w:rPr>
                <w:rFonts w:ascii="宋体" w:hAnsi="宋体" w:cs="宋体" w:eastAsia="宋体"/>
                <w:b w:val="false"/>
              </w:rPr>
              <w:t>0.85%</w:t>
            </w:r>
          </w:p>
        </w:tc>
        <w:tc>
          <w:tcPr>
            <w:tcW/>
            <w:vAlign w:val="center"/>
          </w:tcPr>
          <w:p>
            <w:pPr>
              <w:spacing w:line="240" w:lineRule="auto"/>
              <w:jc w:val="right"/>
            </w:pPr>
            <w:r>
              <w:rPr>
                <w:rFonts w:ascii="宋体" w:hAnsi="宋体" w:cs="宋体" w:eastAsia="宋体"/>
                <w:b w:val="false"/>
              </w:rPr>
              <w:t>-3.94%</w:t>
            </w:r>
          </w:p>
        </w:tc>
        <w:tc>
          <w:tcPr>
            <w:tcW/>
            <w:vAlign w:val="center"/>
          </w:tcPr>
          <w:p>
            <w:pPr>
              <w:spacing w:line="240" w:lineRule="auto"/>
              <w:jc w:val="right"/>
            </w:pPr>
            <w:r>
              <w:rPr>
                <w:rFonts w:ascii="宋体" w:hAnsi="宋体" w:cs="宋体" w:eastAsia="宋体"/>
                <w:b w:val="false"/>
              </w:rPr>
              <w:t>0.22%</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-0.06%</w:t>
            </w:r>
          </w:p>
        </w:tc>
        <w:tc>
          <w:tcPr>
            <w:tcW/>
            <w:vAlign w:val="center"/>
          </w:tcPr>
          <w:p>
            <w:pPr>
              <w:spacing w:line="240" w:lineRule="auto"/>
              <w:jc w:val="right"/>
            </w:pPr>
            <w:r>
              <w:rPr>
                <w:rFonts w:ascii="宋体" w:hAnsi="宋体" w:cs="宋体" w:eastAsia="宋体"/>
                <w:b w:val="false"/>
              </w:rPr>
              <w:t>1.40%</w:t>
            </w:r>
          </w:p>
        </w:tc>
        <w:tc>
          <w:tcPr>
            <w:tcW/>
            <w:vAlign w:val="center"/>
          </w:tcPr>
          <w:p>
            <w:pPr>
              <w:spacing w:line="240" w:lineRule="auto"/>
              <w:jc w:val="right"/>
            </w:pPr>
            <w:r>
              <w:rPr>
                <w:rFonts w:ascii="宋体" w:hAnsi="宋体" w:cs="宋体" w:eastAsia="宋体"/>
                <w:b w:val="false"/>
              </w:rPr>
              <w:t>23.59%</w:t>
            </w:r>
          </w:p>
        </w:tc>
        <w:tc>
          <w:tcPr>
            <w:tcW/>
            <w:vAlign w:val="center"/>
          </w:tcPr>
          <w:p>
            <w:pPr>
              <w:spacing w:line="240" w:lineRule="auto"/>
              <w:jc w:val="right"/>
            </w:pPr>
            <w:r>
              <w:rPr>
                <w:rFonts w:ascii="宋体" w:hAnsi="宋体" w:cs="宋体" w:eastAsia="宋体"/>
                <w:b w:val="false"/>
              </w:rPr>
              <w:t>0.87%</w:t>
            </w:r>
          </w:p>
        </w:tc>
        <w:tc>
          <w:tcPr>
            <w:tcW/>
            <w:vAlign w:val="center"/>
          </w:tcPr>
          <w:p>
            <w:pPr>
              <w:spacing w:line="240" w:lineRule="auto"/>
              <w:jc w:val="right"/>
            </w:pPr>
            <w:r>
              <w:rPr>
                <w:rFonts w:ascii="宋体" w:hAnsi="宋体" w:cs="宋体" w:eastAsia="宋体"/>
                <w:b w:val="false"/>
              </w:rPr>
              <w:t>-23.65%</w:t>
            </w:r>
          </w:p>
        </w:tc>
        <w:tc>
          <w:tcPr>
            <w:tcW/>
            <w:vAlign w:val="center"/>
          </w:tcPr>
          <w:p>
            <w:pPr>
              <w:spacing w:line="240" w:lineRule="auto"/>
              <w:jc w:val="right"/>
            </w:pPr>
            <w:r>
              <w:rPr>
                <w:rFonts w:ascii="宋体" w:hAnsi="宋体" w:cs="宋体" w:eastAsia="宋体"/>
                <w:b w:val="false"/>
              </w:rPr>
              <w:t>0.53%</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-3.02%</w:t>
            </w:r>
          </w:p>
        </w:tc>
        <w:tc>
          <w:tcPr>
            <w:tcW/>
            <w:vAlign w:val="center"/>
          </w:tcPr>
          <w:p>
            <w:pPr>
              <w:spacing w:line="240" w:lineRule="auto"/>
              <w:jc w:val="right"/>
            </w:pPr>
            <w:r>
              <w:rPr>
                <w:rFonts w:ascii="宋体" w:hAnsi="宋体" w:cs="宋体" w:eastAsia="宋体"/>
                <w:b w:val="false"/>
              </w:rPr>
              <w:t>1.41%</w:t>
            </w:r>
          </w:p>
        </w:tc>
        <w:tc>
          <w:tcPr>
            <w:tcW/>
            <w:vAlign w:val="center"/>
          </w:tcPr>
          <w:p>
            <w:pPr>
              <w:spacing w:line="240" w:lineRule="auto"/>
              <w:jc w:val="right"/>
            </w:pPr>
            <w:r>
              <w:rPr>
                <w:rFonts w:ascii="宋体" w:hAnsi="宋体" w:cs="宋体" w:eastAsia="宋体"/>
                <w:b w:val="false"/>
              </w:rPr>
              <w:t>25.68%</w:t>
            </w:r>
          </w:p>
        </w:tc>
        <w:tc>
          <w:tcPr>
            <w:tcW/>
            <w:vAlign w:val="center"/>
          </w:tcPr>
          <w:p>
            <w:pPr>
              <w:spacing w:line="240" w:lineRule="auto"/>
              <w:jc w:val="right"/>
            </w:pPr>
            <w:r>
              <w:rPr>
                <w:rFonts w:ascii="宋体" w:hAnsi="宋体" w:cs="宋体" w:eastAsia="宋体"/>
                <w:b w:val="false"/>
              </w:rPr>
              <w:t>0.89%</w:t>
            </w:r>
          </w:p>
        </w:tc>
        <w:tc>
          <w:tcPr>
            <w:tcW/>
            <w:vAlign w:val="center"/>
          </w:tcPr>
          <w:p>
            <w:pPr>
              <w:spacing w:line="240" w:lineRule="auto"/>
              <w:jc w:val="right"/>
            </w:pPr>
            <w:r>
              <w:rPr>
                <w:rFonts w:ascii="宋体" w:hAnsi="宋体" w:cs="宋体" w:eastAsia="宋体"/>
                <w:b w:val="false"/>
              </w:rPr>
              <w:t>-28.70%</w:t>
            </w:r>
          </w:p>
        </w:tc>
        <w:tc>
          <w:tcPr>
            <w:tcW/>
            <w:vAlign w:val="center"/>
          </w:tcPr>
          <w:p>
            <w:pPr>
              <w:spacing w:line="240" w:lineRule="auto"/>
              <w:jc w:val="right"/>
            </w:pPr>
            <w:r>
              <w:rPr>
                <w:rFonts w:ascii="宋体" w:hAnsi="宋体" w:cs="宋体" w:eastAsia="宋体"/>
                <w:b w:val="false"/>
              </w:rPr>
              <w:t>0.52%</w:t>
            </w:r>
          </w:p>
        </w:tc>
      </w:tr>
    </w:tbl>
    <w:p>
      <w:r>
        <w:rPr>
          <w:rFonts w:ascii="宋体" w:hAnsi="宋体" w:cs="宋体" w:eastAsia="宋体"/>
          <w:b w:val="false"/>
        </w:rPr>
        <w:t>注：1、本基金业绩比较基准为：中证800指数收益率×60%+中证综合债券指数收益率×20%+恒生指数收益率×20%。</w:t>
        <w:cr/>
      </w:r>
      <w:r>
        <w:rPr>
          <w:rFonts w:ascii="宋体" w:hAnsi="宋体" w:cs="宋体" w:eastAsia="宋体"/>
          <w:b w:val="false"/>
        </w:rPr>
        <w:t>2、本基金自2022年09月28日成立至今尚未满五年，无过去五年的净值表现。</w:t>
      </w:r>
    </w:p>
    <w:p/>
    <w:p>
      <w:pPr>
        <w:pStyle w:val="zhangjiep2"/>
      </w:pPr>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尹智斌</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2023-11-01</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7年</w:t>
            </w:r>
          </w:p>
        </w:tc>
        <w:tc>
          <w:tcPr>
            <w:tcW/>
            <w:vAlign w:val="center"/>
          </w:tcPr>
          <w:p>
            <w:pPr>
              <w:spacing w:line="240" w:lineRule="auto"/>
              <w:jc w:val="left"/>
            </w:pPr>
            <w:r>
              <w:rPr>
                <w:rFonts w:ascii="宋体" w:hAnsi="宋体" w:cs="宋体" w:eastAsia="宋体"/>
                <w:b w:val="false"/>
              </w:rPr>
              <w:t>尹智斌先生，清华大学工学及经济学双学士，清华大学工学硕士，历任东方阿尔法基金管理有限公司电子、传媒互联网、建筑建材、社服行业研究员，曾担任东方阿尔法优选混合型发起式证券投资基金基金经理助理。现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pPr>
        <w:pStyle w:val="zhangjiep2"/>
      </w:pPr>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pPr>
        <w:pStyle w:val="zhangjiep2"/>
      </w:pPr>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zhangjiep2"/>
      </w:pPr>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报告期内，市场风险偏好维持高位，成长股行情活跃。基于能力圈及确定性考虑，本基金坚守偏价值、重分红策略，追求稳健回报。</w:t>
        <w:cr/>
      </w:r>
      <w:r>
        <w:rPr>
          <w:rFonts w:ascii="宋体" w:hAnsi="宋体" w:cs="宋体" w:eastAsia="宋体"/>
          <w:b w:val="false"/>
        </w:rPr>
        <w:t xml:space="preserve">    2024年4月国务院发布资本市场新“国九条”，推动市场从融资型向投资型转变，这是历史性拐点。借鉴发达国家经验，经济进入高质量发展阶段后，资本市场将更重视中小股东利益，有望迎来慢牛长牛。新“国九条”围绕高质量发展，提出多措并举提高股息率，增强分红稳定性、持续性和可预期性。</w:t>
        <w:cr/>
      </w:r>
      <w:r>
        <w:rPr>
          <w:rFonts w:ascii="宋体" w:hAnsi="宋体" w:cs="宋体" w:eastAsia="宋体"/>
          <w:b w:val="false"/>
        </w:rPr>
        <w:t xml:space="preserve">    近期上市公司分红水平持续提升，尽管在市场风格下稍显逊色，但相较于债券已具极强吸引力，稳健型投资者应予以重视。</w:t>
        <w:cr/>
      </w:r>
      <w:r>
        <w:rPr>
          <w:rFonts w:ascii="宋体" w:hAnsi="宋体" w:cs="宋体" w:eastAsia="宋体"/>
          <w:b w:val="false"/>
        </w:rPr>
        <w:t xml:space="preserve">    本基金运作核心思路为“追求稳稳的幸福”，主要围绕分红、现金流、低估值、良好竞争格局与商业模式进行均衡配置：</w:t>
        <w:cr/>
      </w:r>
      <w:r>
        <w:rPr>
          <w:rFonts w:ascii="宋体" w:hAnsi="宋体" w:cs="宋体" w:eastAsia="宋体"/>
          <w:b w:val="false"/>
        </w:rPr>
        <w:t xml:space="preserve">    （1）内需相关龙头，包括家电、消费医疗器械、物业等，在目前市场持续担心内需的背景下，这些公司估值已压到较低位置，在未来超常规逆周期调节下，业绩的悲观预期有望得到明显的修复。</w:t>
        <w:cr/>
      </w:r>
      <w:r>
        <w:rPr>
          <w:rFonts w:ascii="宋体" w:hAnsi="宋体" w:cs="宋体" w:eastAsia="宋体"/>
          <w:b w:val="false"/>
        </w:rPr>
        <w:t xml:space="preserve">    （2）制造业细分龙头。广义制造业中，如建材、机械、轻工等，已产生众多竞争格局相当稳定且现金流优秀的细分龙头，在目前内需悲观预期下估值较低，这些行业远期资本开支有望大幅度下降，进而自由现金流将逐渐提升，潜在分红能力持续增强。同时，我们也重点关注部分低估值、出海逻辑的制造业龙头，其产品的海外竞争力在持续增强。</w:t>
        <w:cr/>
      </w:r>
      <w:r>
        <w:rPr>
          <w:rFonts w:ascii="宋体" w:hAnsi="宋体" w:cs="宋体" w:eastAsia="宋体"/>
          <w:b w:val="false"/>
        </w:rPr>
        <w:t xml:space="preserve">    （3）上游资源类公司，目前主要关注油气相关的低估值、高现金流公司。</w:t>
        <w:cr/>
      </w:r>
      <w:r>
        <w:rPr>
          <w:rFonts w:ascii="宋体" w:hAnsi="宋体" w:cs="宋体" w:eastAsia="宋体"/>
          <w:b w:val="false"/>
        </w:rPr>
        <w:t xml:space="preserve">    当前众多行业中小企业仍面临较大经营压力甚至出清，而龙头企业估值处于低位。未来在超常规逆周期调节下，龙头有望抢占中小企业出清份额，展现较大业绩弹性。后续组合将继续偏好龙头企业。</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兴科一年持有混合A基金份额净值为0.9891元，本报告期内，该类基金份额净值增长率为6.49%，同期业绩比较基准收益率为-0.95%；截至报告期末东方阿尔法兴科一年持有混合C基金份额净值为0.9698元，本报告期内，该类基金份额净值增长率为6.31%，同期业绩比较基准收益率为-0.95%。</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67,656,098.87</w:t>
            </w:r>
          </w:p>
        </w:tc>
        <w:tc>
          <w:tcPr>
            <w:tcW/>
            <w:vAlign w:val="center"/>
          </w:tcPr>
          <w:p>
            <w:pPr>
              <w:spacing w:line="240" w:lineRule="auto"/>
              <w:jc w:val="right"/>
            </w:pPr>
            <w:r>
              <w:rPr>
                <w:rFonts w:ascii="宋体" w:hAnsi="宋体" w:cs="宋体" w:eastAsia="宋体"/>
                <w:b w:val="false"/>
              </w:rPr>
              <w:t>93.06</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67,656,098.87</w:t>
            </w:r>
          </w:p>
        </w:tc>
        <w:tc>
          <w:tcPr>
            <w:tcW/>
            <w:vAlign w:val="center"/>
          </w:tcPr>
          <w:p>
            <w:pPr>
              <w:spacing w:line="240" w:lineRule="auto"/>
              <w:jc w:val="right"/>
            </w:pPr>
            <w:r>
              <w:rPr>
                <w:rFonts w:ascii="宋体" w:hAnsi="宋体" w:cs="宋体" w:eastAsia="宋体"/>
                <w:b w:val="false"/>
              </w:rPr>
              <w:t>93.06</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3,939,376.11</w:t>
            </w:r>
          </w:p>
        </w:tc>
        <w:tc>
          <w:tcPr>
            <w:tcW/>
            <w:vAlign w:val="center"/>
          </w:tcPr>
          <w:p>
            <w:pPr>
              <w:spacing w:line="240" w:lineRule="auto"/>
              <w:jc w:val="right"/>
            </w:pPr>
            <w:r>
              <w:rPr>
                <w:rFonts w:ascii="宋体" w:hAnsi="宋体" w:cs="宋体" w:eastAsia="宋体"/>
                <w:b w:val="false"/>
              </w:rPr>
              <w:t>5.42</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3,939,376.11</w:t>
            </w:r>
          </w:p>
        </w:tc>
        <w:tc>
          <w:tcPr>
            <w:tcW/>
            <w:vAlign w:val="center"/>
          </w:tcPr>
          <w:p>
            <w:pPr>
              <w:spacing w:line="240" w:lineRule="auto"/>
              <w:jc w:val="right"/>
            </w:pPr>
            <w:r>
              <w:rPr>
                <w:rFonts w:ascii="宋体" w:hAnsi="宋体" w:cs="宋体" w:eastAsia="宋体"/>
                <w:b w:val="false"/>
              </w:rPr>
              <w:t>5.42</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1,103,464.35</w:t>
            </w:r>
          </w:p>
        </w:tc>
        <w:tc>
          <w:tcPr>
            <w:tcW/>
            <w:vAlign w:val="center"/>
          </w:tcPr>
          <w:p>
            <w:pPr>
              <w:spacing w:line="240" w:lineRule="auto"/>
              <w:jc w:val="right"/>
            </w:pPr>
            <w:r>
              <w:rPr>
                <w:rFonts w:ascii="宋体" w:hAnsi="宋体" w:cs="宋体" w:eastAsia="宋体"/>
                <w:b w:val="false"/>
              </w:rPr>
              <w:t>1.52</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1,347.70</w:t>
            </w:r>
          </w:p>
        </w:tc>
        <w:tc>
          <w:tcPr>
            <w:tcW/>
            <w:vAlign w:val="center"/>
          </w:tcPr>
          <w:p>
            <w:pPr>
              <w:spacing w:line="240" w:lineRule="auto"/>
              <w:jc w:val="right"/>
            </w:pPr>
            <w:r>
              <w:rPr>
                <w:rFonts w:ascii="宋体" w:hAnsi="宋体" w:cs="宋体" w:eastAsia="宋体"/>
                <w:b w:val="false"/>
              </w:rPr>
              <w:t>0.00</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72,700,287.03</w:t>
            </w:r>
          </w:p>
        </w:tc>
        <w:tc>
          <w:tcPr>
            <w:tcW/>
            <w:vAlign w:val="center"/>
          </w:tcPr>
          <w:p>
            <w:pPr>
              <w:spacing w:line="240" w:lineRule="auto"/>
              <w:jc w:val="right"/>
            </w:pPr>
            <w:r>
              <w:rPr>
                <w:rFonts w:ascii="宋体" w:hAnsi="宋体" w:cs="宋体" w:eastAsia="宋体"/>
                <w:b w:val="false"/>
              </w:rPr>
              <w:t>100.00</w:t>
            </w:r>
          </w:p>
        </w:tc>
      </w:tr>
    </w:tbl>
    <w:p>
      <w:r>
        <w:rPr>
          <w:rFonts w:ascii="宋体" w:hAnsi="宋体" w:cs="宋体" w:eastAsia="宋体"/>
          <w:b w:val="false"/>
        </w:rPr>
        <w:t>注：报告期末本基金通过港股通交易机制投资的港股公允价值合计21,397,335.99元，占基金资产净值的比例为29.50%。</w:t>
      </w:r>
    </w:p>
    <w:p/>
    <w:p>
      <w:pPr>
        <w:pStyle w:val="2"/>
        <w:jc w:val="left"/>
      </w:pPr>
      <w:r>
        <w:rPr>
          <w:rFonts w:ascii="宋体" w:hAnsi="宋体" w:cs="宋体" w:eastAsia="宋体"/>
        </w:rPr>
        <w:t>5.2 报告期末按行业分类的股票投资组合</w:t>
      </w:r>
    </w:p>
    <w:p>
      <w:pPr>
        <w:pStyle w:val="zhangjiep2"/>
      </w:pPr>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46,249,646.08</w:t>
            </w:r>
          </w:p>
        </w:tc>
        <w:tc>
          <w:tcPr>
            <w:tcW/>
            <w:vAlign w:val="center"/>
          </w:tcPr>
          <w:p>
            <w:pPr>
              <w:spacing w:line="240" w:lineRule="auto"/>
              <w:jc w:val="right"/>
            </w:pPr>
            <w:r>
              <w:rPr>
                <w:rFonts w:ascii="宋体" w:hAnsi="宋体" w:cs="宋体" w:eastAsia="宋体"/>
                <w:b w:val="false"/>
              </w:rPr>
              <w:t>63.75</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9,116.80</w:t>
            </w:r>
          </w:p>
        </w:tc>
        <w:tc>
          <w:tcPr>
            <w:tcW/>
            <w:vAlign w:val="center"/>
          </w:tcPr>
          <w:p>
            <w:pPr>
              <w:spacing w:line="240" w:lineRule="auto"/>
              <w:jc w:val="right"/>
            </w:pPr>
            <w:r>
              <w:rPr>
                <w:rFonts w:ascii="宋体" w:hAnsi="宋体" w:cs="宋体" w:eastAsia="宋体"/>
                <w:b w:val="false"/>
              </w:rPr>
              <w:t>0.01</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46,258,762.88</w:t>
            </w:r>
          </w:p>
        </w:tc>
        <w:tc>
          <w:tcPr>
            <w:tcW/>
            <w:vAlign w:val="center"/>
          </w:tcPr>
          <w:p>
            <w:pPr>
              <w:spacing w:line="240" w:lineRule="auto"/>
              <w:jc w:val="right"/>
            </w:pPr>
            <w:r>
              <w:rPr>
                <w:rFonts w:ascii="宋体" w:hAnsi="宋体" w:cs="宋体" w:eastAsia="宋体"/>
                <w:b w:val="false"/>
              </w:rPr>
              <w:t>63.77</w:t>
            </w:r>
          </w:p>
        </w:tc>
      </w:tr>
    </w:tbl>
    <w:p/>
    <w:p>
      <w:pPr>
        <w:pStyle w:val="zhangjiep2"/>
      </w:pPr>
      <w:r>
        <w:rPr>
          <w:rStyle w:val="正文"/>
          <w:rFonts w:ascii="宋体" w:hAnsi="宋体" w:cs="宋体" w:eastAsia="宋体"/>
          <w:b w:val="true"/>
        </w:rPr>
        <w:t>5.2.2 报告期末按行业分类的港股通投资股票投资组合</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1538"/>
            <w:vAlign w:val="center"/>
          </w:tcPr>
          <w:tcPr>
            <w:shd w:fill="d9d9d9"/>
          </w:tcPr>
          <w:p>
            <w:pPr>
              <w:spacing w:line="240" w:lineRule="auto"/>
              <w:jc w:val="center"/>
            </w:pPr>
            <w:r>
              <w:rPr>
                <w:rFonts w:ascii="宋体" w:hAnsi="宋体" w:cs="宋体" w:eastAsia="宋体"/>
                <w:b w:val="false"/>
              </w:rPr>
              <w:t>公允价值（人民币）</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left"/>
            </w:pPr>
            <w:r>
              <w:rPr>
                <w:rFonts w:ascii="宋体" w:hAnsi="宋体" w:cs="宋体" w:eastAsia="宋体"/>
                <w:b w:val="false"/>
              </w:rPr>
              <w:t>能源</w:t>
            </w:r>
          </w:p>
        </w:tc>
        <w:tc>
          <w:tcPr>
            <w:tcW/>
            <w:vAlign w:val="center"/>
          </w:tcPr>
          <w:p>
            <w:pPr>
              <w:spacing w:line="240" w:lineRule="auto"/>
              <w:jc w:val="right"/>
            </w:pPr>
            <w:r>
              <w:rPr>
                <w:rFonts w:ascii="宋体" w:hAnsi="宋体" w:cs="宋体" w:eastAsia="宋体"/>
                <w:b w:val="false"/>
              </w:rPr>
              <w:t>6,483,403.48</w:t>
            </w:r>
          </w:p>
        </w:tc>
        <w:tc>
          <w:tcPr>
            <w:tcW/>
            <w:vAlign w:val="center"/>
          </w:tcPr>
          <w:p>
            <w:pPr>
              <w:spacing w:line="240" w:lineRule="auto"/>
              <w:jc w:val="right"/>
            </w:pPr>
            <w:r>
              <w:rPr>
                <w:rFonts w:ascii="宋体" w:hAnsi="宋体" w:cs="宋体" w:eastAsia="宋体"/>
                <w:b w:val="false"/>
              </w:rPr>
              <w:t>8.94</w:t>
            </w:r>
          </w:p>
        </w:tc>
      </w:tr>
      <w:tr>
        <w:tc>
          <w:tcPr>
            <w:tcW/>
            <w:vAlign w:val="center"/>
          </w:tcPr>
          <w:p>
            <w:pPr>
              <w:spacing w:line="240" w:lineRule="auto"/>
              <w:jc w:val="left"/>
            </w:pPr>
            <w:r>
              <w:rPr>
                <w:rFonts w:ascii="宋体" w:hAnsi="宋体" w:cs="宋体" w:eastAsia="宋体"/>
                <w:b w:val="false"/>
              </w:rPr>
              <w:t>工业</w:t>
            </w:r>
          </w:p>
        </w:tc>
        <w:tc>
          <w:tcPr>
            <w:tcW/>
            <w:vAlign w:val="center"/>
          </w:tcPr>
          <w:p>
            <w:pPr>
              <w:spacing w:line="240" w:lineRule="auto"/>
              <w:jc w:val="right"/>
            </w:pPr>
            <w:r>
              <w:rPr>
                <w:rFonts w:ascii="宋体" w:hAnsi="宋体" w:cs="宋体" w:eastAsia="宋体"/>
                <w:b w:val="false"/>
              </w:rPr>
              <w:t>6,010,531.68</w:t>
            </w:r>
          </w:p>
        </w:tc>
        <w:tc>
          <w:tcPr>
            <w:tcW/>
            <w:vAlign w:val="center"/>
          </w:tcPr>
          <w:p>
            <w:pPr>
              <w:spacing w:line="240" w:lineRule="auto"/>
              <w:jc w:val="right"/>
            </w:pPr>
            <w:r>
              <w:rPr>
                <w:rFonts w:ascii="宋体" w:hAnsi="宋体" w:cs="宋体" w:eastAsia="宋体"/>
                <w:b w:val="false"/>
              </w:rPr>
              <w:t>8.29</w:t>
            </w:r>
          </w:p>
        </w:tc>
      </w:tr>
      <w:tr>
        <w:tc>
          <w:tcPr>
            <w:tcW/>
            <w:vAlign w:val="center"/>
          </w:tcPr>
          <w:p>
            <w:pPr>
              <w:spacing w:line="240" w:lineRule="auto"/>
              <w:jc w:val="left"/>
            </w:pPr>
            <w:r>
              <w:rPr>
                <w:rFonts w:ascii="宋体" w:hAnsi="宋体" w:cs="宋体" w:eastAsia="宋体"/>
                <w:b w:val="false"/>
              </w:rPr>
              <w:t>房地产</w:t>
            </w:r>
          </w:p>
        </w:tc>
        <w:tc>
          <w:tcPr>
            <w:tcW/>
            <w:vAlign w:val="center"/>
          </w:tcPr>
          <w:p>
            <w:pPr>
              <w:spacing w:line="240" w:lineRule="auto"/>
              <w:jc w:val="right"/>
            </w:pPr>
            <w:r>
              <w:rPr>
                <w:rFonts w:ascii="宋体" w:hAnsi="宋体" w:cs="宋体" w:eastAsia="宋体"/>
                <w:b w:val="false"/>
              </w:rPr>
              <w:t>8,903,400.83</w:t>
            </w:r>
          </w:p>
        </w:tc>
        <w:tc>
          <w:tcPr>
            <w:tcW/>
            <w:vAlign w:val="center"/>
          </w:tcPr>
          <w:p>
            <w:pPr>
              <w:spacing w:line="240" w:lineRule="auto"/>
              <w:jc w:val="right"/>
            </w:pPr>
            <w:r>
              <w:rPr>
                <w:rFonts w:ascii="宋体" w:hAnsi="宋体" w:cs="宋体" w:eastAsia="宋体"/>
                <w:b w:val="false"/>
              </w:rPr>
              <w:t>12.27</w:t>
            </w:r>
          </w:p>
        </w:tc>
      </w:tr>
      <w:tr>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21,397,335.99</w:t>
            </w:r>
          </w:p>
        </w:tc>
        <w:tc>
          <w:tcPr>
            <w:tcW/>
            <w:vAlign w:val="center"/>
          </w:tcPr>
          <w:p>
            <w:pPr>
              <w:spacing w:line="240" w:lineRule="auto"/>
              <w:jc w:val="right"/>
            </w:pPr>
            <w:r>
              <w:rPr>
                <w:rFonts w:ascii="宋体" w:hAnsi="宋体" w:cs="宋体" w:eastAsia="宋体"/>
                <w:b w:val="false"/>
              </w:rPr>
              <w:t>29.50</w:t>
            </w:r>
          </w:p>
        </w:tc>
      </w:tr>
    </w:tbl>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000333</w:t>
            </w:r>
          </w:p>
        </w:tc>
        <w:tc>
          <w:tcPr>
            <w:tcW/>
            <w:vAlign w:val="center"/>
          </w:tcPr>
          <w:p>
            <w:pPr>
              <w:spacing w:line="240" w:lineRule="auto"/>
              <w:jc w:val="left"/>
            </w:pPr>
            <w:r>
              <w:rPr>
                <w:rFonts w:ascii="宋体" w:hAnsi="宋体" w:cs="宋体" w:eastAsia="宋体"/>
                <w:b w:val="false"/>
              </w:rPr>
              <w:t>美的集团</w:t>
            </w:r>
          </w:p>
        </w:tc>
        <w:tc>
          <w:tcPr>
            <w:tcW/>
            <w:vAlign w:val="center"/>
          </w:tcPr>
          <w:p>
            <w:pPr>
              <w:spacing w:line="240" w:lineRule="auto"/>
              <w:jc w:val="right"/>
            </w:pPr>
            <w:r>
              <w:rPr>
                <w:rFonts w:ascii="宋体" w:hAnsi="宋体" w:cs="宋体" w:eastAsia="宋体"/>
                <w:b w:val="false"/>
              </w:rPr>
              <w:t>88,400</w:t>
            </w:r>
          </w:p>
        </w:tc>
        <w:tc>
          <w:tcPr>
            <w:tcW/>
            <w:vAlign w:val="center"/>
          </w:tcPr>
          <w:p>
            <w:pPr>
              <w:spacing w:line="240" w:lineRule="auto"/>
              <w:jc w:val="right"/>
            </w:pPr>
            <w:r>
              <w:rPr>
                <w:rFonts w:ascii="宋体" w:hAnsi="宋体" w:cs="宋体" w:eastAsia="宋体"/>
                <w:b w:val="false"/>
              </w:rPr>
              <w:t>6,908,460.00</w:t>
            </w:r>
          </w:p>
        </w:tc>
        <w:tc>
          <w:tcPr>
            <w:tcW/>
            <w:vAlign w:val="center"/>
          </w:tcPr>
          <w:p>
            <w:pPr>
              <w:spacing w:line="240" w:lineRule="auto"/>
              <w:jc w:val="right"/>
            </w:pPr>
            <w:r>
              <w:rPr>
                <w:rFonts w:ascii="宋体" w:hAnsi="宋体" w:cs="宋体" w:eastAsia="宋体"/>
                <w:b w:val="false"/>
              </w:rPr>
              <w:t>9.52</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002043</w:t>
            </w:r>
          </w:p>
        </w:tc>
        <w:tc>
          <w:tcPr>
            <w:tcW/>
            <w:vAlign w:val="center"/>
          </w:tcPr>
          <w:p>
            <w:pPr>
              <w:spacing w:line="240" w:lineRule="auto"/>
              <w:jc w:val="left"/>
            </w:pPr>
            <w:r>
              <w:rPr>
                <w:rFonts w:ascii="宋体" w:hAnsi="宋体" w:cs="宋体" w:eastAsia="宋体"/>
                <w:b w:val="false"/>
              </w:rPr>
              <w:t>兔 宝 宝</w:t>
            </w:r>
          </w:p>
        </w:tc>
        <w:tc>
          <w:tcPr>
            <w:tcW/>
            <w:vAlign w:val="center"/>
          </w:tcPr>
          <w:p>
            <w:pPr>
              <w:spacing w:line="240" w:lineRule="auto"/>
              <w:jc w:val="right"/>
            </w:pPr>
            <w:r>
              <w:rPr>
                <w:rFonts w:ascii="宋体" w:hAnsi="宋体" w:cs="宋体" w:eastAsia="宋体"/>
                <w:b w:val="false"/>
              </w:rPr>
              <w:t>473,000</w:t>
            </w:r>
          </w:p>
        </w:tc>
        <w:tc>
          <w:tcPr>
            <w:tcW/>
            <w:vAlign w:val="center"/>
          </w:tcPr>
          <w:p>
            <w:pPr>
              <w:spacing w:line="240" w:lineRule="auto"/>
              <w:jc w:val="right"/>
            </w:pPr>
            <w:r>
              <w:rPr>
                <w:rFonts w:ascii="宋体" w:hAnsi="宋体" w:cs="宋体" w:eastAsia="宋体"/>
                <w:b w:val="false"/>
              </w:rPr>
              <w:t>6,815,930.00</w:t>
            </w:r>
          </w:p>
        </w:tc>
        <w:tc>
          <w:tcPr>
            <w:tcW/>
            <w:vAlign w:val="center"/>
          </w:tcPr>
          <w:p>
            <w:pPr>
              <w:spacing w:line="240" w:lineRule="auto"/>
              <w:jc w:val="right"/>
            </w:pPr>
            <w:r>
              <w:rPr>
                <w:rFonts w:ascii="宋体" w:hAnsi="宋体" w:cs="宋体" w:eastAsia="宋体"/>
                <w:b w:val="false"/>
              </w:rPr>
              <w:t>9.40</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00883</w:t>
            </w:r>
          </w:p>
        </w:tc>
        <w:tc>
          <w:tcPr>
            <w:tcW/>
            <w:vAlign w:val="center"/>
          </w:tcPr>
          <w:p>
            <w:pPr>
              <w:spacing w:line="240" w:lineRule="auto"/>
              <w:jc w:val="left"/>
            </w:pPr>
            <w:r>
              <w:rPr>
                <w:rFonts w:ascii="宋体" w:hAnsi="宋体" w:cs="宋体" w:eastAsia="宋体"/>
                <w:b w:val="false"/>
              </w:rPr>
              <w:t>中国海洋石油</w:t>
            </w:r>
          </w:p>
        </w:tc>
        <w:tc>
          <w:tcPr>
            <w:tcW/>
            <w:vAlign w:val="center"/>
          </w:tcPr>
          <w:p>
            <w:pPr>
              <w:spacing w:line="240" w:lineRule="auto"/>
              <w:jc w:val="right"/>
            </w:pPr>
            <w:r>
              <w:rPr>
                <w:rFonts w:ascii="宋体" w:hAnsi="宋体" w:cs="宋体" w:eastAsia="宋体"/>
                <w:b w:val="false"/>
              </w:rPr>
              <w:t>337,000</w:t>
            </w:r>
          </w:p>
        </w:tc>
        <w:tc>
          <w:tcPr>
            <w:tcW/>
            <w:vAlign w:val="center"/>
          </w:tcPr>
          <w:p>
            <w:pPr>
              <w:spacing w:line="240" w:lineRule="auto"/>
              <w:jc w:val="right"/>
            </w:pPr>
            <w:r>
              <w:rPr>
                <w:rFonts w:ascii="宋体" w:hAnsi="宋体" w:cs="宋体" w:eastAsia="宋体"/>
                <w:b w:val="false"/>
              </w:rPr>
              <w:t>6,483,403.48</w:t>
            </w:r>
          </w:p>
        </w:tc>
        <w:tc>
          <w:tcPr>
            <w:tcW/>
            <w:vAlign w:val="center"/>
          </w:tcPr>
          <w:p>
            <w:pPr>
              <w:spacing w:line="240" w:lineRule="auto"/>
              <w:jc w:val="right"/>
            </w:pPr>
            <w:r>
              <w:rPr>
                <w:rFonts w:ascii="宋体" w:hAnsi="宋体" w:cs="宋体" w:eastAsia="宋体"/>
                <w:b w:val="false"/>
              </w:rPr>
              <w:t>8.94</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600690</w:t>
            </w:r>
          </w:p>
        </w:tc>
        <w:tc>
          <w:tcPr>
            <w:tcW/>
            <w:vAlign w:val="center"/>
          </w:tcPr>
          <w:p>
            <w:pPr>
              <w:spacing w:line="240" w:lineRule="auto"/>
              <w:jc w:val="left"/>
            </w:pPr>
            <w:r>
              <w:rPr>
                <w:rFonts w:ascii="宋体" w:hAnsi="宋体" w:cs="宋体" w:eastAsia="宋体"/>
                <w:b w:val="false"/>
              </w:rPr>
              <w:t>海尔智家</w:t>
            </w:r>
          </w:p>
        </w:tc>
        <w:tc>
          <w:tcPr>
            <w:tcW/>
            <w:vAlign w:val="center"/>
          </w:tcPr>
          <w:p>
            <w:pPr>
              <w:spacing w:line="240" w:lineRule="auto"/>
              <w:jc w:val="right"/>
            </w:pPr>
            <w:r>
              <w:rPr>
                <w:rFonts w:ascii="宋体" w:hAnsi="宋体" w:cs="宋体" w:eastAsia="宋体"/>
                <w:b w:val="false"/>
              </w:rPr>
              <w:t>240,000</w:t>
            </w:r>
          </w:p>
        </w:tc>
        <w:tc>
          <w:tcPr>
            <w:tcW/>
            <w:vAlign w:val="center"/>
          </w:tcPr>
          <w:p>
            <w:pPr>
              <w:spacing w:line="240" w:lineRule="auto"/>
              <w:jc w:val="right"/>
            </w:pPr>
            <w:r>
              <w:rPr>
                <w:rFonts w:ascii="宋体" w:hAnsi="宋体" w:cs="宋体" w:eastAsia="宋体"/>
                <w:b w:val="false"/>
              </w:rPr>
              <w:t>6,261,600.00</w:t>
            </w:r>
          </w:p>
        </w:tc>
        <w:tc>
          <w:tcPr>
            <w:tcW/>
            <w:vAlign w:val="center"/>
          </w:tcPr>
          <w:p>
            <w:pPr>
              <w:spacing w:line="240" w:lineRule="auto"/>
              <w:jc w:val="right"/>
            </w:pPr>
            <w:r>
              <w:rPr>
                <w:rFonts w:ascii="宋体" w:hAnsi="宋体" w:cs="宋体" w:eastAsia="宋体"/>
                <w:b w:val="false"/>
              </w:rPr>
              <w:t>8.63</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002223</w:t>
            </w:r>
          </w:p>
        </w:tc>
        <w:tc>
          <w:tcPr>
            <w:tcW/>
            <w:vAlign w:val="center"/>
          </w:tcPr>
          <w:p>
            <w:pPr>
              <w:spacing w:line="240" w:lineRule="auto"/>
              <w:jc w:val="left"/>
            </w:pPr>
            <w:r>
              <w:rPr>
                <w:rFonts w:ascii="宋体" w:hAnsi="宋体" w:cs="宋体" w:eastAsia="宋体"/>
                <w:b w:val="false"/>
              </w:rPr>
              <w:t>鱼跃医疗</w:t>
            </w:r>
          </w:p>
        </w:tc>
        <w:tc>
          <w:tcPr>
            <w:tcW/>
            <w:vAlign w:val="center"/>
          </w:tcPr>
          <w:p>
            <w:pPr>
              <w:spacing w:line="240" w:lineRule="auto"/>
              <w:jc w:val="right"/>
            </w:pPr>
            <w:r>
              <w:rPr>
                <w:rFonts w:ascii="宋体" w:hAnsi="宋体" w:cs="宋体" w:eastAsia="宋体"/>
                <w:b w:val="false"/>
              </w:rPr>
              <w:t>162,000</w:t>
            </w:r>
          </w:p>
        </w:tc>
        <w:tc>
          <w:tcPr>
            <w:tcW/>
            <w:vAlign w:val="center"/>
          </w:tcPr>
          <w:p>
            <w:pPr>
              <w:spacing w:line="240" w:lineRule="auto"/>
              <w:jc w:val="right"/>
            </w:pPr>
            <w:r>
              <w:rPr>
                <w:rFonts w:ascii="宋体" w:hAnsi="宋体" w:cs="宋体" w:eastAsia="宋体"/>
                <w:b w:val="false"/>
              </w:rPr>
              <w:t>6,190,020.00</w:t>
            </w:r>
          </w:p>
        </w:tc>
        <w:tc>
          <w:tcPr>
            <w:tcW/>
            <w:vAlign w:val="center"/>
          </w:tcPr>
          <w:p>
            <w:pPr>
              <w:spacing w:line="240" w:lineRule="auto"/>
              <w:jc w:val="right"/>
            </w:pPr>
            <w:r>
              <w:rPr>
                <w:rFonts w:ascii="宋体" w:hAnsi="宋体" w:cs="宋体" w:eastAsia="宋体"/>
                <w:b w:val="false"/>
              </w:rPr>
              <w:t>8.53</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00038</w:t>
            </w:r>
          </w:p>
        </w:tc>
        <w:tc>
          <w:tcPr>
            <w:tcW/>
            <w:vAlign w:val="center"/>
          </w:tcPr>
          <w:p>
            <w:pPr>
              <w:spacing w:line="240" w:lineRule="auto"/>
              <w:jc w:val="left"/>
            </w:pPr>
            <w:r>
              <w:rPr>
                <w:rFonts w:ascii="宋体" w:hAnsi="宋体" w:cs="宋体" w:eastAsia="宋体"/>
                <w:b w:val="false"/>
              </w:rPr>
              <w:t>第一拖拉机股份</w:t>
            </w:r>
          </w:p>
        </w:tc>
        <w:tc>
          <w:tcPr>
            <w:tcW/>
            <w:vAlign w:val="center"/>
          </w:tcPr>
          <w:p>
            <w:pPr>
              <w:spacing w:line="240" w:lineRule="auto"/>
              <w:jc w:val="right"/>
            </w:pPr>
            <w:r>
              <w:rPr>
                <w:rFonts w:ascii="宋体" w:hAnsi="宋体" w:cs="宋体" w:eastAsia="宋体"/>
                <w:b w:val="false"/>
              </w:rPr>
              <w:t>796,000</w:t>
            </w:r>
          </w:p>
        </w:tc>
        <w:tc>
          <w:tcPr>
            <w:tcW/>
            <w:vAlign w:val="center"/>
          </w:tcPr>
          <w:p>
            <w:pPr>
              <w:spacing w:line="240" w:lineRule="auto"/>
              <w:jc w:val="right"/>
            </w:pPr>
            <w:r>
              <w:rPr>
                <w:rFonts w:ascii="宋体" w:hAnsi="宋体" w:cs="宋体" w:eastAsia="宋体"/>
                <w:b w:val="false"/>
              </w:rPr>
              <w:t>6,010,531.68</w:t>
            </w:r>
          </w:p>
        </w:tc>
        <w:tc>
          <w:tcPr>
            <w:tcW/>
            <w:vAlign w:val="center"/>
          </w:tcPr>
          <w:p>
            <w:pPr>
              <w:spacing w:line="240" w:lineRule="auto"/>
              <w:jc w:val="right"/>
            </w:pPr>
            <w:r>
              <w:rPr>
                <w:rFonts w:ascii="宋体" w:hAnsi="宋体" w:cs="宋体" w:eastAsia="宋体"/>
                <w:b w:val="false"/>
              </w:rPr>
              <w:t>8.29</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300833</w:t>
            </w:r>
          </w:p>
        </w:tc>
        <w:tc>
          <w:tcPr>
            <w:tcW/>
            <w:vAlign w:val="center"/>
          </w:tcPr>
          <w:p>
            <w:pPr>
              <w:spacing w:line="240" w:lineRule="auto"/>
              <w:jc w:val="left"/>
            </w:pPr>
            <w:r>
              <w:rPr>
                <w:rFonts w:ascii="宋体" w:hAnsi="宋体" w:cs="宋体" w:eastAsia="宋体"/>
                <w:b w:val="false"/>
              </w:rPr>
              <w:t>浩洋股份</w:t>
            </w:r>
          </w:p>
        </w:tc>
        <w:tc>
          <w:tcPr>
            <w:tcW/>
            <w:vAlign w:val="center"/>
          </w:tcPr>
          <w:p>
            <w:pPr>
              <w:spacing w:line="240" w:lineRule="auto"/>
              <w:jc w:val="right"/>
            </w:pPr>
            <w:r>
              <w:rPr>
                <w:rFonts w:ascii="宋体" w:hAnsi="宋体" w:cs="宋体" w:eastAsia="宋体"/>
                <w:b w:val="false"/>
              </w:rPr>
              <w:t>141,800</w:t>
            </w:r>
          </w:p>
        </w:tc>
        <w:tc>
          <w:tcPr>
            <w:tcW/>
            <w:vAlign w:val="center"/>
          </w:tcPr>
          <w:p>
            <w:pPr>
              <w:spacing w:line="240" w:lineRule="auto"/>
              <w:jc w:val="right"/>
            </w:pPr>
            <w:r>
              <w:rPr>
                <w:rFonts w:ascii="宋体" w:hAnsi="宋体" w:cs="宋体" w:eastAsia="宋体"/>
                <w:b w:val="false"/>
              </w:rPr>
              <w:t>5,768,424.00</w:t>
            </w:r>
          </w:p>
        </w:tc>
        <w:tc>
          <w:tcPr>
            <w:tcW/>
            <w:vAlign w:val="center"/>
          </w:tcPr>
          <w:p>
            <w:pPr>
              <w:spacing w:line="240" w:lineRule="auto"/>
              <w:jc w:val="right"/>
            </w:pPr>
            <w:r>
              <w:rPr>
                <w:rFonts w:ascii="宋体" w:hAnsi="宋体" w:cs="宋体" w:eastAsia="宋体"/>
                <w:b w:val="false"/>
              </w:rPr>
              <w:t>7.95</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02669</w:t>
            </w:r>
          </w:p>
        </w:tc>
        <w:tc>
          <w:tcPr>
            <w:tcW/>
            <w:vAlign w:val="center"/>
          </w:tcPr>
          <w:p>
            <w:pPr>
              <w:spacing w:line="240" w:lineRule="auto"/>
              <w:jc w:val="left"/>
            </w:pPr>
            <w:r>
              <w:rPr>
                <w:rFonts w:ascii="宋体" w:hAnsi="宋体" w:cs="宋体" w:eastAsia="宋体"/>
                <w:b w:val="false"/>
              </w:rPr>
              <w:t>中海物业</w:t>
            </w:r>
          </w:p>
        </w:tc>
        <w:tc>
          <w:tcPr>
            <w:tcW/>
            <w:vAlign w:val="center"/>
          </w:tcPr>
          <w:p>
            <w:pPr>
              <w:spacing w:line="240" w:lineRule="auto"/>
              <w:jc w:val="right"/>
            </w:pPr>
            <w:r>
              <w:rPr>
                <w:rFonts w:ascii="宋体" w:hAnsi="宋体" w:cs="宋体" w:eastAsia="宋体"/>
                <w:b w:val="false"/>
              </w:rPr>
              <w:t>1,405,000</w:t>
            </w:r>
          </w:p>
        </w:tc>
        <w:tc>
          <w:tcPr>
            <w:tcW/>
            <w:vAlign w:val="center"/>
          </w:tcPr>
          <w:p>
            <w:pPr>
              <w:spacing w:line="240" w:lineRule="auto"/>
              <w:jc w:val="right"/>
            </w:pPr>
            <w:r>
              <w:rPr>
                <w:rFonts w:ascii="宋体" w:hAnsi="宋体" w:cs="宋体" w:eastAsia="宋体"/>
                <w:b w:val="false"/>
              </w:rPr>
              <w:t>5,735,988.93</w:t>
            </w:r>
          </w:p>
        </w:tc>
        <w:tc>
          <w:tcPr>
            <w:tcW/>
            <w:vAlign w:val="center"/>
          </w:tcPr>
          <w:p>
            <w:pPr>
              <w:spacing w:line="240" w:lineRule="auto"/>
              <w:jc w:val="right"/>
            </w:pPr>
            <w:r>
              <w:rPr>
                <w:rFonts w:ascii="宋体" w:hAnsi="宋体" w:cs="宋体" w:eastAsia="宋体"/>
                <w:b w:val="false"/>
              </w:rPr>
              <w:t>7.91</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002833</w:t>
            </w:r>
          </w:p>
        </w:tc>
        <w:tc>
          <w:tcPr>
            <w:tcW/>
            <w:vAlign w:val="center"/>
          </w:tcPr>
          <w:p>
            <w:pPr>
              <w:spacing w:line="240" w:lineRule="auto"/>
              <w:jc w:val="left"/>
            </w:pPr>
            <w:r>
              <w:rPr>
                <w:rFonts w:ascii="宋体" w:hAnsi="宋体" w:cs="宋体" w:eastAsia="宋体"/>
                <w:b w:val="false"/>
              </w:rPr>
              <w:t>弘亚数控</w:t>
            </w:r>
          </w:p>
        </w:tc>
        <w:tc>
          <w:tcPr>
            <w:tcW/>
            <w:vAlign w:val="center"/>
          </w:tcPr>
          <w:p>
            <w:pPr>
              <w:spacing w:line="240" w:lineRule="auto"/>
              <w:jc w:val="right"/>
            </w:pPr>
            <w:r>
              <w:rPr>
                <w:rFonts w:ascii="宋体" w:hAnsi="宋体" w:cs="宋体" w:eastAsia="宋体"/>
                <w:b w:val="false"/>
              </w:rPr>
              <w:t>337,758</w:t>
            </w:r>
          </w:p>
        </w:tc>
        <w:tc>
          <w:tcPr>
            <w:tcW/>
            <w:vAlign w:val="center"/>
          </w:tcPr>
          <w:p>
            <w:pPr>
              <w:spacing w:line="240" w:lineRule="auto"/>
              <w:jc w:val="right"/>
            </w:pPr>
            <w:r>
              <w:rPr>
                <w:rFonts w:ascii="宋体" w:hAnsi="宋体" w:cs="宋体" w:eastAsia="宋体"/>
                <w:b w:val="false"/>
              </w:rPr>
              <w:t>5,529,098.46</w:t>
            </w:r>
          </w:p>
        </w:tc>
        <w:tc>
          <w:tcPr>
            <w:tcW/>
            <w:vAlign w:val="center"/>
          </w:tcPr>
          <w:p>
            <w:pPr>
              <w:spacing w:line="240" w:lineRule="auto"/>
              <w:jc w:val="right"/>
            </w:pPr>
            <w:r>
              <w:rPr>
                <w:rFonts w:ascii="宋体" w:hAnsi="宋体" w:cs="宋体" w:eastAsia="宋体"/>
                <w:b w:val="false"/>
              </w:rPr>
              <w:t>7.62</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002003</w:t>
            </w:r>
          </w:p>
        </w:tc>
        <w:tc>
          <w:tcPr>
            <w:tcW/>
            <w:vAlign w:val="center"/>
          </w:tcPr>
          <w:p>
            <w:pPr>
              <w:spacing w:line="240" w:lineRule="auto"/>
              <w:jc w:val="left"/>
            </w:pPr>
            <w:r>
              <w:rPr>
                <w:rFonts w:ascii="宋体" w:hAnsi="宋体" w:cs="宋体" w:eastAsia="宋体"/>
                <w:b w:val="false"/>
              </w:rPr>
              <w:t>伟星股份</w:t>
            </w:r>
          </w:p>
        </w:tc>
        <w:tc>
          <w:tcPr>
            <w:tcW/>
            <w:vAlign w:val="center"/>
          </w:tcPr>
          <w:p>
            <w:pPr>
              <w:spacing w:line="240" w:lineRule="auto"/>
              <w:jc w:val="right"/>
            </w:pPr>
            <w:r>
              <w:rPr>
                <w:rFonts w:ascii="宋体" w:hAnsi="宋体" w:cs="宋体" w:eastAsia="宋体"/>
                <w:b w:val="false"/>
              </w:rPr>
              <w:t>470,600</w:t>
            </w:r>
          </w:p>
        </w:tc>
        <w:tc>
          <w:tcPr>
            <w:tcW/>
            <w:vAlign w:val="center"/>
          </w:tcPr>
          <w:p>
            <w:pPr>
              <w:spacing w:line="240" w:lineRule="auto"/>
              <w:jc w:val="right"/>
            </w:pPr>
            <w:r>
              <w:rPr>
                <w:rFonts w:ascii="宋体" w:hAnsi="宋体" w:cs="宋体" w:eastAsia="宋体"/>
                <w:b w:val="false"/>
              </w:rPr>
              <w:t>4,988,360.00</w:t>
            </w:r>
          </w:p>
        </w:tc>
        <w:tc>
          <w:tcPr>
            <w:tcW/>
            <w:vAlign w:val="center"/>
          </w:tcPr>
          <w:p>
            <w:pPr>
              <w:spacing w:line="240" w:lineRule="auto"/>
              <w:jc w:val="right"/>
            </w:pPr>
            <w:r>
              <w:rPr>
                <w:rFonts w:ascii="宋体" w:hAnsi="宋体" w:cs="宋体" w:eastAsia="宋体"/>
                <w:b w:val="false"/>
              </w:rPr>
              <w:t>6.88</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3,939,376.11</w:t>
            </w:r>
          </w:p>
        </w:tc>
        <w:tc>
          <w:tcPr>
            <w:tcW/>
            <w:vAlign w:val="center"/>
          </w:tcPr>
          <w:p>
            <w:pPr>
              <w:spacing w:line="240" w:lineRule="auto"/>
              <w:jc w:val="right"/>
            </w:pPr>
            <w:r>
              <w:rPr>
                <w:rFonts w:ascii="宋体" w:hAnsi="宋体" w:cs="宋体" w:eastAsia="宋体"/>
                <w:b w:val="false"/>
              </w:rPr>
              <w:t>5.43</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3,939,376.11</w:t>
            </w:r>
          </w:p>
        </w:tc>
        <w:tc>
          <w:tcPr>
            <w:tcW/>
            <w:vAlign w:val="center"/>
          </w:tcPr>
          <w:p>
            <w:pPr>
              <w:spacing w:line="240" w:lineRule="auto"/>
              <w:jc w:val="right"/>
            </w:pPr>
            <w:r>
              <w:rPr>
                <w:rFonts w:ascii="宋体" w:hAnsi="宋体" w:cs="宋体" w:eastAsia="宋体"/>
                <w:b w:val="false"/>
              </w:rPr>
              <w:t>5.43</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019773</w:t>
            </w:r>
          </w:p>
        </w:tc>
        <w:tc>
          <w:tcPr>
            <w:tcW/>
            <w:vAlign w:val="center"/>
          </w:tcPr>
          <w:p>
            <w:pPr>
              <w:spacing w:line="240" w:lineRule="auto"/>
              <w:jc w:val="left"/>
            </w:pPr>
            <w:r>
              <w:rPr>
                <w:rFonts w:ascii="宋体" w:hAnsi="宋体" w:cs="宋体" w:eastAsia="宋体"/>
                <w:b w:val="false"/>
              </w:rPr>
              <w:t>25国债08</w:t>
            </w:r>
          </w:p>
        </w:tc>
        <w:tc>
          <w:tcPr>
            <w:tcW/>
            <w:vAlign w:val="center"/>
          </w:tcPr>
          <w:p>
            <w:pPr>
              <w:spacing w:line="240" w:lineRule="auto"/>
              <w:jc w:val="right"/>
            </w:pPr>
            <w:r>
              <w:rPr>
                <w:rFonts w:ascii="宋体" w:hAnsi="宋体" w:cs="宋体" w:eastAsia="宋体"/>
                <w:b w:val="false"/>
              </w:rPr>
              <w:t>39,000</w:t>
            </w:r>
          </w:p>
        </w:tc>
        <w:tc>
          <w:tcPr>
            <w:tcW/>
            <w:vAlign w:val="center"/>
          </w:tcPr>
          <w:p>
            <w:pPr>
              <w:spacing w:line="240" w:lineRule="auto"/>
              <w:jc w:val="right"/>
            </w:pPr>
            <w:r>
              <w:rPr>
                <w:rFonts w:ascii="宋体" w:hAnsi="宋体" w:cs="宋体" w:eastAsia="宋体"/>
                <w:b w:val="false"/>
              </w:rPr>
              <w:t>3,939,376.11</w:t>
            </w:r>
          </w:p>
        </w:tc>
        <w:tc>
          <w:tcPr>
            <w:tcW/>
            <w:vAlign w:val="center"/>
          </w:tcPr>
          <w:p>
            <w:pPr>
              <w:spacing w:line="240" w:lineRule="auto"/>
              <w:jc w:val="right"/>
            </w:pPr>
            <w:r>
              <w:rPr>
                <w:rFonts w:ascii="宋体" w:hAnsi="宋体" w:cs="宋体" w:eastAsia="宋体"/>
                <w:b w:val="false"/>
              </w:rPr>
              <w:t>5.43</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pPr>
        <w:pStyle w:val="zhangjiep2"/>
      </w:pPr>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pPr>
        <w:pStyle w:val="zhangjiep2"/>
      </w:pPr>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pPr>
        <w:pStyle w:val="zhangjiep2"/>
      </w:pPr>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1,347.70</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1,347.70</w:t>
            </w:r>
          </w:p>
        </w:tc>
      </w:tr>
    </w:tbl>
    <w:p/>
    <w:p>
      <w:pPr>
        <w:pStyle w:val="zhangjiep2"/>
      </w:pPr>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pPr>
        <w:pStyle w:val="zhangjiep2"/>
      </w:pPr>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本基金本报告期末前十名股票中不存在流通受限情况。</w:t>
      </w:r>
    </w:p>
    <w:p/>
    <w:p>
      <w:pPr>
        <w:pStyle w:val="zhangjiep2"/>
      </w:pPr>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东方阿尔法兴科一年持有混合A</w:t>
            </w:r>
          </w:p>
        </w:tc>
        <w:tc>
          <w:tcPr>
            <w:tcW w:type="pct" w:w="1300"/>
            <w:vAlign w:val="center"/>
          </w:tcPr>
          <w:p>
            <w:pPr>
              <w:spacing w:line="240" w:lineRule="auto"/>
              <w:jc w:val="center"/>
            </w:pPr>
            <w:r>
              <w:rPr>
                <w:rFonts w:ascii="宋体" w:hAnsi="宋体" w:cs="宋体" w:eastAsia="宋体"/>
                <w:b w:val="false"/>
              </w:rPr>
              <w:t>东方阿尔法兴科一年持有混合C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61,429,670.10</w:t>
            </w:r>
          </w:p>
        </w:tc>
        <w:tc>
          <w:tcPr>
            <w:tcW w:type="pct" w:w="1300"/>
            <w:vAlign w:val="center"/>
          </w:tcPr>
          <w:p>
            <w:pPr>
              <w:spacing w:line="240" w:lineRule="auto"/>
              <w:jc w:val="right"/>
            </w:pPr>
            <w:r>
              <w:rPr>
                <w:rFonts w:ascii="宋体" w:hAnsi="宋体" w:cs="宋体" w:eastAsia="宋体"/>
                <w:b w:val="false"/>
              </w:rPr>
              <w:t>14,167,079.97</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7,002,205.93</w:t>
            </w:r>
          </w:p>
        </w:tc>
        <w:tc>
          <w:tcPr>
            <w:tcW w:type="pct" w:w="1300"/>
            <w:vAlign w:val="center"/>
          </w:tcPr>
          <w:p>
            <w:pPr>
              <w:spacing w:line="240" w:lineRule="auto"/>
              <w:jc w:val="right"/>
            </w:pPr>
            <w:r>
              <w:rPr>
                <w:rFonts w:ascii="宋体" w:hAnsi="宋体" w:cs="宋体" w:eastAsia="宋体"/>
                <w:b w:val="false"/>
              </w:rPr>
              <w:t>66,929.46</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7,486,853.89</w:t>
            </w:r>
          </w:p>
        </w:tc>
        <w:tc>
          <w:tcPr>
            <w:tcW w:type="pct" w:w="1300"/>
            <w:vAlign w:val="center"/>
          </w:tcPr>
          <w:p>
            <w:pPr>
              <w:spacing w:line="240" w:lineRule="auto"/>
              <w:jc w:val="right"/>
            </w:pPr>
            <w:r>
              <w:rPr>
                <w:rFonts w:ascii="宋体" w:hAnsi="宋体" w:cs="宋体" w:eastAsia="宋体"/>
                <w:b w:val="false"/>
              </w:rPr>
              <w:t>1,588,108.05</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60,945,022.14</w:t>
            </w:r>
          </w:p>
        </w:tc>
        <w:tc>
          <w:tcPr>
            <w:tcW w:type="pct" w:w="1300"/>
            <w:vAlign w:val="center"/>
          </w:tcPr>
          <w:p>
            <w:pPr>
              <w:spacing w:line="240" w:lineRule="auto"/>
              <w:jc w:val="right"/>
            </w:pPr>
            <w:r>
              <w:rPr>
                <w:rFonts w:ascii="宋体" w:hAnsi="宋体" w:cs="宋体" w:eastAsia="宋体"/>
                <w:b w:val="false"/>
              </w:rPr>
              <w:t>12,645,901.38</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 xml:space="preserve">    截至本报告期末，本基金管理人未持有本基金份额。</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影响投资者决策的其他重要信息</w:t>
      </w:r>
    </w:p>
    <w:p>
      <w:pPr>
        <w:pStyle w:val="2"/>
        <w:jc w:val="left"/>
      </w:pPr>
      <w:r>
        <w:rPr>
          <w:rFonts w:ascii="宋体" w:hAnsi="宋体" w:cs="宋体" w:eastAsia="宋体"/>
        </w:rPr>
        <w:t>8.1 报告期内单一投资者持有基金份额比例达到或超过20%的情况</w:t>
      </w:r>
    </w:p>
    <w:tbl>
      <w:tblPr>
        <w:tblW w:w="5000" w:type="pct"/>
        <w:tblBorders>
          <w:top w:val="single" w:sz="4"/>
          <w:left w:val="single" w:sz="4"/>
          <w:bottom w:val="single" w:sz="4"/>
          <w:right w:val="single" w:sz="4"/>
          <w:insideH w:val="single" w:sz="4"/>
          <w:insideV w:val="single" w:sz="4"/>
        </w:tblBorders>
      </w:tblPr>
      <w:tblGrid>
        <w:gridCol w:w="1133"/>
        <w:gridCol w:w="1133"/>
        <w:gridCol w:w="1133"/>
        <w:gridCol w:w="1133"/>
        <w:gridCol w:w="1133"/>
        <w:gridCol w:w="1133"/>
        <w:gridCol w:w="1133"/>
        <w:gridCol w:w="1133"/>
      </w:tblGrid>
      <w:tr>
        <w:tc>
          <w:tcPr>
            <w:tcW w:type="pct" w:w="269"/>
            <w:vMerge w:val="restart"/>
            <w:vAlign w:val="center"/>
          </w:tcPr>
          <w:tcPr>
            <w:shd w:fill="d9d9d9"/>
          </w:tcPr>
          <w:p>
            <w:pPr>
              <w:spacing w:line="240" w:lineRule="auto"/>
              <w:jc w:val="center"/>
            </w:pPr>
            <w:r>
              <w:rPr>
                <w:rFonts w:ascii="宋体" w:hAnsi="宋体" w:cs="宋体" w:eastAsia="宋体"/>
                <w:b w:val="false"/>
              </w:rPr>
              <w:t>投资者类别</w:t>
            </w:r>
          </w:p>
        </w:tc>
        <w:tc>
          <w:tcPr>
            <w:tcW w:type="pct" w:w="3192"/>
            <w:hMerge w:val="restart"/>
            <w:vAlign w:val="center"/>
          </w:tcPr>
          <w:tcPr>
            <w:shd w:fill="d9d9d9"/>
          </w:tcPr>
          <w:p>
            <w:pPr>
              <w:spacing w:line="240" w:lineRule="auto"/>
              <w:jc w:val="center"/>
            </w:pPr>
            <w:r>
              <w:rPr>
                <w:rFonts w:ascii="宋体" w:hAnsi="宋体" w:cs="宋体" w:eastAsia="宋体"/>
                <w:b w:val="false"/>
              </w:rPr>
              <w:t>报告期内持有基金份额变化情况</w:t>
            </w:r>
          </w:p>
        </w:tc>
        <w:tc>
          <w:tcPr>
            <w:hMerge w:val="continue"/>
          </w:tcPr>
          <w:p/>
        </w:tc>
        <w:tc>
          <w:tcPr>
            <w:hMerge w:val="continue"/>
          </w:tcPr>
          <w:p/>
        </w:tc>
        <w:tc>
          <w:tcPr>
            <w:hMerge w:val="continue"/>
          </w:tcPr>
          <w:p/>
        </w:tc>
        <w:tc>
          <w:tcPr>
            <w:hMerge w:val="continue"/>
          </w:tcPr>
          <w:p/>
        </w:tc>
        <w:tc>
          <w:tcPr>
            <w:tcW w:type="pct" w:w="1154"/>
            <w:hMerge w:val="restart"/>
            <w:vAlign w:val="center"/>
          </w:tcPr>
          <w:tcPr>
            <w:shd w:fill="d9d9d9"/>
          </w:tcPr>
          <w:p>
            <w:pPr>
              <w:spacing w:line="240" w:lineRule="auto"/>
              <w:jc w:val="center"/>
            </w:pPr>
            <w:r>
              <w:rPr>
                <w:rFonts w:ascii="宋体" w:hAnsi="宋体" w:cs="宋体" w:eastAsia="宋体"/>
                <w:b w:val="false"/>
              </w:rPr>
              <w:t>报告期末持有基金情况</w:t>
            </w:r>
          </w:p>
        </w:tc>
        <w:tc>
          <w:tcPr>
            <w:hMerge w:val="continue"/>
          </w:tcPr>
          <w:p/>
        </w:tc>
      </w:tr>
      <w:tr>
        <w:tc>
          <w:tcPr>
            <w:vMerge w:val="continue"/>
          </w:tcPr>
          <w:p/>
        </w:tc>
        <w:tc>
          <w:tcPr>
            <w:tcW w:type="pct" w:w="269"/>
            <w:vAlign w:val="center"/>
          </w:tcPr>
          <w:tcPr>
            <w:shd w:fill="d9d9d9"/>
          </w:tcPr>
          <w:p>
            <w:pPr>
              <w:spacing w:line="240" w:lineRule="auto"/>
              <w:jc w:val="center"/>
            </w:pPr>
            <w:r>
              <w:rPr>
                <w:rFonts w:ascii="宋体" w:hAnsi="宋体" w:cs="宋体" w:eastAsia="宋体"/>
                <w:b w:val="false"/>
              </w:rPr>
              <w:t>序号</w:t>
            </w:r>
          </w:p>
        </w:tc>
        <w:tc>
          <w:tcPr>
            <w:tcW w:type="pct" w:w="1346"/>
            <w:vAlign w:val="center"/>
          </w:tcPr>
          <w:tcPr>
            <w:shd w:fill="d9d9d9"/>
          </w:tcPr>
          <w:p>
            <w:pPr>
              <w:spacing w:line="240" w:lineRule="auto"/>
              <w:jc w:val="center"/>
            </w:pPr>
            <w:r>
              <w:rPr>
                <w:rFonts w:ascii="宋体" w:hAnsi="宋体" w:cs="宋体" w:eastAsia="宋体"/>
                <w:b w:val="false"/>
              </w:rPr>
              <w:t>持有基金份额比例达到或者超过20%的时间区间</w:t>
            </w:r>
          </w:p>
        </w:tc>
        <w:tc>
          <w:tcPr>
            <w:tcW w:type="pct" w:w="615"/>
            <w:vAlign w:val="center"/>
          </w:tcPr>
          <w:tcPr>
            <w:shd w:fill="d9d9d9"/>
          </w:tcPr>
          <w:p>
            <w:pPr>
              <w:spacing w:line="240" w:lineRule="auto"/>
              <w:jc w:val="center"/>
            </w:pPr>
            <w:r>
              <w:rPr>
                <w:rFonts w:ascii="宋体" w:hAnsi="宋体" w:cs="宋体" w:eastAsia="宋体"/>
                <w:b w:val="false"/>
              </w:rPr>
              <w:t>期初份额</w:t>
            </w:r>
          </w:p>
        </w:tc>
        <w:tc>
          <w:tcPr>
            <w:tcW w:type="pct" w:w="615"/>
            <w:vAlign w:val="center"/>
          </w:tcPr>
          <w:tcPr>
            <w:shd w:fill="d9d9d9"/>
          </w:tcPr>
          <w:p>
            <w:pPr>
              <w:spacing w:line="240" w:lineRule="auto"/>
              <w:jc w:val="center"/>
            </w:pPr>
            <w:r>
              <w:rPr>
                <w:rFonts w:ascii="宋体" w:hAnsi="宋体" w:cs="宋体" w:eastAsia="宋体"/>
                <w:b w:val="false"/>
              </w:rPr>
              <w:t>申购份额</w:t>
            </w:r>
          </w:p>
        </w:tc>
        <w:tc>
          <w:tcPr>
            <w:tcW w:type="pct" w:w="615"/>
            <w:vAlign w:val="center"/>
          </w:tcPr>
          <w:tcPr>
            <w:shd w:fill="d9d9d9"/>
          </w:tcPr>
          <w:p>
            <w:pPr>
              <w:spacing w:line="240" w:lineRule="auto"/>
              <w:jc w:val="center"/>
            </w:pPr>
            <w:r>
              <w:rPr>
                <w:rFonts w:ascii="宋体" w:hAnsi="宋体" w:cs="宋体" w:eastAsia="宋体"/>
                <w:b w:val="false"/>
              </w:rPr>
              <w:t>赎回份额</w:t>
            </w:r>
          </w:p>
        </w:tc>
        <w:tc>
          <w:tcPr>
            <w:tcW w:type="pct" w:w="615"/>
            <w:vAlign w:val="center"/>
          </w:tcPr>
          <w:tcPr>
            <w:shd w:fill="d9d9d9"/>
          </w:tcPr>
          <w:p>
            <w:pPr>
              <w:spacing w:line="240" w:lineRule="auto"/>
              <w:jc w:val="center"/>
            </w:pPr>
            <w:r>
              <w:rPr>
                <w:rFonts w:ascii="宋体" w:hAnsi="宋体" w:cs="宋体" w:eastAsia="宋体"/>
                <w:b w:val="false"/>
              </w:rPr>
              <w:t>持有份额</w:t>
            </w:r>
          </w:p>
        </w:tc>
        <w:tc>
          <w:tcPr>
            <w:tcW w:type="pct" w:w="538"/>
            <w:vAlign w:val="center"/>
          </w:tcPr>
          <w:tcPr>
            <w:shd w:fill="d9d9d9"/>
          </w:tcPr>
          <w:p>
            <w:pPr>
              <w:spacing w:line="240" w:lineRule="auto"/>
              <w:jc w:val="center"/>
            </w:pPr>
            <w:r>
              <w:rPr>
                <w:rFonts w:ascii="宋体" w:hAnsi="宋体" w:cs="宋体" w:eastAsia="宋体"/>
                <w:b w:val="false"/>
              </w:rPr>
              <w:t>份额占比</w:t>
            </w:r>
          </w:p>
        </w:tc>
      </w:tr>
      <w:tr>
        <w:tc>
          <w:tcPr>
            <w:tcW/>
            <w:vAlign w:val="center"/>
          </w:tcPr>
          <w:p>
            <w:pPr>
              <w:spacing w:line="240" w:lineRule="auto"/>
              <w:jc w:val="center"/>
            </w:pPr>
            <w:r>
              <w:rPr>
                <w:rFonts w:ascii="宋体" w:hAnsi="宋体" w:cs="宋体" w:eastAsia="宋体"/>
                <w:b w:val="false"/>
              </w:rPr>
              <w:t>个人</w:t>
            </w:r>
          </w:p>
        </w:tc>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center"/>
            </w:pPr>
            <w:r>
              <w:rPr>
                <w:rFonts w:ascii="宋体" w:hAnsi="宋体" w:cs="宋体" w:eastAsia="宋体"/>
                <w:b w:val="false"/>
              </w:rPr>
              <w:t>2025年12月19日-2025年12月31日</w:t>
            </w:r>
          </w:p>
        </w:tc>
        <w:tc>
          <w:tcPr>
            <w:tcW/>
            <w:vAlign w:val="center"/>
          </w:tcPr>
          <w:p>
            <w:pPr>
              <w:spacing w:line="240" w:lineRule="auto"/>
              <w:jc w:val="right"/>
            </w:pPr>
            <w:r>
              <w:rPr>
                <w:rFonts w:ascii="宋体" w:hAnsi="宋体" w:cs="宋体" w:eastAsia="宋体"/>
                <w:b w:val="false"/>
              </w:rPr>
              <w:t>12,174,870.34</w:t>
            </w:r>
          </w:p>
        </w:tc>
        <w:tc>
          <w:tcPr>
            <w:tcW/>
            <w:vAlign w:val="center"/>
          </w:tcPr>
          <w:p>
            <w:pPr>
              <w:spacing w:line="240" w:lineRule="auto"/>
              <w:jc w:val="right"/>
            </w:pPr>
            <w:r>
              <w:rPr>
                <w:rFonts w:ascii="宋体" w:hAnsi="宋体" w:cs="宋体" w:eastAsia="宋体"/>
                <w:b w:val="false"/>
              </w:rPr>
              <w:t>6,957,256.46</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19,132,126.80</w:t>
            </w:r>
          </w:p>
        </w:tc>
        <w:tc>
          <w:tcPr>
            <w:tcW/>
            <w:vAlign w:val="center"/>
          </w:tcPr>
          <w:p>
            <w:pPr>
              <w:spacing w:line="240" w:lineRule="auto"/>
              <w:jc w:val="right"/>
            </w:pPr>
            <w:r>
              <w:rPr>
                <w:rFonts w:ascii="宋体" w:hAnsi="宋体" w:cs="宋体" w:eastAsia="宋体"/>
                <w:b w:val="false"/>
              </w:rPr>
              <w:t>26.00%</w:t>
            </w:r>
          </w:p>
        </w:tc>
      </w:tr>
      <w:tr>
        <w:tc>
          <w:tcPr>
            <w:tcW/>
            <w:hMerge w:val="restart"/>
            <w:vAlign w:val="center"/>
          </w:tcPr>
          <w:p>
            <w:pPr>
              <w:spacing w:line="240" w:lineRule="auto"/>
              <w:jc w:val="center"/>
            </w:pPr>
            <w:r>
              <w:rPr>
                <w:rFonts w:ascii="宋体" w:hAnsi="宋体" w:cs="宋体" w:eastAsia="宋体"/>
                <w:b w:val="false"/>
              </w:rPr>
              <w:t>产品特有风险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r>
        <w:tc>
          <w:tcPr>
            <w:tcW/>
            <w:hMerge w:val="restart"/>
            <w:vAlign w:val="center"/>
          </w:tcPr>
          <w:p>
            <w:pPr>
              <w:spacing w:line="240" w:lineRule="auto"/>
              <w:jc w:val="left"/>
            </w:pPr>
            <w:r>
              <w:rPr>
                <w:rFonts w:ascii="宋体" w:hAnsi="宋体" w:cs="宋体" w:eastAsia="宋体"/>
                <w:b w:val="false"/>
              </w:rPr>
              <w:t xml:space="preserve">    基金管理人秉承谨慎勤勉、独立决策、规范运作、充分披露原则，公平对待投资者，保障投资者合法权益。当单一投资者持有基金份额比例达到或超过20%时，由此可能导致的特有风险主要包括：</w:t>
              <w:br/>
            </w:r>
            <w:r>
              <w:rPr>
                <w:rFonts w:ascii="宋体" w:hAnsi="宋体" w:cs="宋体" w:eastAsia="宋体"/>
                <w:b w:val="false"/>
              </w:rPr>
              <w:t xml:space="preserve">    1、本基金单一投资者所持有的基金份额占比较大，单一投资者的巨额赎回，可能导致基金管理人被迫抛售证券以应付基金赎回的现金需要，对本基金的投资运作及净值表现产生较大影响。</w:t>
              <w:br/>
            </w:r>
            <w:r>
              <w:rPr>
                <w:rFonts w:ascii="宋体" w:hAnsi="宋体" w:cs="宋体" w:eastAsia="宋体"/>
                <w:b w:val="false"/>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br/>
            </w:r>
            <w:r>
              <w:rPr>
                <w:rFonts w:ascii="宋体" w:hAnsi="宋体" w:cs="宋体" w:eastAsia="宋体"/>
                <w:b w:val="false"/>
              </w:rPr>
              <w:t xml:space="preserve">    3、单一投资者巨额赎回可能导致本基金在短时间内无法变现足够的资产予以应对，可能会导致基金仓位调整困难，发生流动性风险。</w:t>
              <w:br/>
            </w:r>
            <w:r>
              <w:rPr>
                <w:rFonts w:ascii="宋体" w:hAnsi="宋体" w:cs="宋体" w:eastAsia="宋体"/>
                <w:b w:val="false"/>
              </w:rPr>
              <w:t xml:space="preserve">    4、持有基金份额占比较高的投资者在召开基金份额持有人大会并对重大事项进行投票表决时，可能拥有较大话语权。</w:t>
              <w:br/>
            </w:r>
            <w:r>
              <w:rPr>
                <w:rFonts w:ascii="宋体" w:hAnsi="宋体" w:cs="宋体" w:eastAsia="宋体"/>
                <w:b w:val="false"/>
              </w:rPr>
              <w:t xml:space="preserve">    5、超出基金管理人允许的单一投资者持有基金份额比例的申购申请不被确认的风险。</w:t>
            </w:r>
          </w:p>
        </w:tc>
        <w:tc>
          <w:tcPr>
            <w:hMerge w:val="continue"/>
          </w:tcPr>
          <w:p/>
        </w:tc>
        <w:tc>
          <w:tcPr>
            <w:hMerge w:val="continue"/>
          </w:tcPr>
          <w:p/>
        </w:tc>
        <w:tc>
          <w:tcPr>
            <w:hMerge w:val="continue"/>
          </w:tcPr>
          <w:p/>
        </w:tc>
        <w:tc>
          <w:tcPr>
            <w:hMerge w:val="continue"/>
          </w:tcPr>
          <w:p/>
        </w:tc>
        <w:tc>
          <w:tcPr>
            <w:hMerge w:val="continue"/>
          </w:tcPr>
          <w:p/>
        </w:tc>
        <w:tc>
          <w:tcPr>
            <w:hMerge w:val="continue"/>
          </w:tcPr>
          <w:p/>
        </w:tc>
        <w:tc>
          <w:tcPr>
            <w:hMerge w:val="continue"/>
          </w:tcPr>
          <w:p/>
        </w:tc>
      </w:tr>
    </w:tbl>
    <w:p/>
    <w:p>
      <w:pPr>
        <w:pStyle w:val="2"/>
        <w:jc w:val="left"/>
      </w:pPr>
      <w:r>
        <w:rPr>
          <w:rFonts w:ascii="宋体" w:hAnsi="宋体" w:cs="宋体" w:eastAsia="宋体"/>
        </w:rPr>
        <w:t>8.2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§9 备查文件目录</w:t>
      </w:r>
    </w:p>
    <w:p>
      <w:pPr>
        <w:pStyle w:val="2"/>
        <w:jc w:val="left"/>
      </w:pPr>
      <w:r>
        <w:rPr>
          <w:rFonts w:ascii="宋体" w:hAnsi="宋体" w:cs="宋体" w:eastAsia="宋体"/>
        </w:rPr>
        <w:t>9.1 备查文件目录</w:t>
      </w:r>
    </w:p>
    <w:p>
      <w:r>
        <w:rPr>
          <w:rFonts w:ascii="宋体" w:hAnsi="宋体" w:cs="宋体" w:eastAsia="宋体"/>
          <w:b w:val="false"/>
        </w:rPr>
        <w:t xml:space="preserve">    1、中国证券监督管理委员会批准的东方阿尔法兴科一年持有期混合型证券投资基金设立的文件；</w:t>
        <w:cr/>
      </w:r>
      <w:r>
        <w:rPr>
          <w:rFonts w:ascii="宋体" w:hAnsi="宋体" w:cs="宋体" w:eastAsia="宋体"/>
          <w:b w:val="false"/>
        </w:rPr>
        <w:t xml:space="preserve">    2、《东方阿尔法兴科一年持有期混合型证券投资基金基金合同》；</w:t>
        <w:cr/>
      </w:r>
      <w:r>
        <w:rPr>
          <w:rFonts w:ascii="宋体" w:hAnsi="宋体" w:cs="宋体" w:eastAsia="宋体"/>
          <w:b w:val="false"/>
        </w:rPr>
        <w:t xml:space="preserve">    3、《东方阿尔法兴科一年持有期混合型证券投资基金托管协议》；</w:t>
        <w:cr/>
      </w:r>
      <w:r>
        <w:rPr>
          <w:rFonts w:ascii="宋体" w:hAnsi="宋体" w:cs="宋体" w:eastAsia="宋体"/>
          <w:b w:val="false"/>
        </w:rPr>
        <w:t xml:space="preserve">    4、《东方阿尔法兴科一年持有期混合型证券投资基金招募说明书》（含更新）；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9.2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9.3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二〇二六年一月二十二日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东方阿尔法兴科一年持有期混合型证券投资基金2025年第4季度报告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