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东方阿尔法医疗健康混合型发起式证券投资基金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2025年第4季度报告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2025年12月31日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2026年01月22日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基金托管人招商银行股份有限公司根据本基金合同规定，于2026年01月21日复核了本报告中的财务指标、净值表现和投资组合报告等内容，保证复核内容不存在虚假记载、误导性陈述或者重大遗漏。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本报告期自2025年10月01日起至2025年12月31日止。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东方阿尔法医疗健康混合发起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014841</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2022年03月30日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119,058,803.90份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本基金采用自上而下与自下而上相结合的投资方法，以基本面分析为立足点，精选医疗健康相关行业证券，在科学严格管理风险的前提下，谋求基金资产的中长期稳健增值。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1、资产配置策略</w:t>
              <w:br/>
            </w:r>
            <w:r>
              <w:rPr>
                <w:rFonts w:ascii="宋体" w:hAnsi="宋体" w:cs="宋体" w:eastAsia="宋体"/>
                <w:b w:val="false"/>
              </w:rPr>
              <w:t>本基金通过定性与定量相结合的分析方法，对系统性风险以及可预见的未来时期内各大类资产的预期风险和预期收益率进行分析评估，制定本基金在各类资产之间的配置比例、调整原则和调整范围。</w:t>
              <w:br/>
            </w:r>
            <w:r>
              <w:rPr>
                <w:rFonts w:ascii="宋体" w:hAnsi="宋体" w:cs="宋体" w:eastAsia="宋体"/>
                <w:b w:val="false"/>
              </w:rPr>
              <w:t>2、股票投资策略</w:t>
              <w:br/>
            </w:r>
            <w:r>
              <w:rPr>
                <w:rFonts w:ascii="宋体" w:hAnsi="宋体" w:cs="宋体" w:eastAsia="宋体"/>
                <w:b w:val="false"/>
              </w:rPr>
              <w:t>本基金将通过系统和深入的基本面研究，专注于医疗健康产业投资，对行业发展进行密切跟踪，根据市场不同阶段充分把握各个子行业轮动带来的投资机会。</w:t>
              <w:br/>
            </w:r>
            <w:r>
              <w:rPr>
                <w:rFonts w:ascii="宋体" w:hAnsi="宋体" w:cs="宋体" w:eastAsia="宋体"/>
                <w:b w:val="false"/>
              </w:rPr>
              <w:t>3、港股通标的股票投资策略</w:t>
              <w:br/>
            </w:r>
            <w:r>
              <w:rPr>
                <w:rFonts w:ascii="宋体" w:hAnsi="宋体" w:cs="宋体" w:eastAsia="宋体"/>
                <w:b w:val="false"/>
              </w:rPr>
              <w:t>本基金从治理结构与管理层：良好的公司治理结构，优秀、诚信的公司管理层；行业集中度及行业地位：具备独特的核心竞争优势和定价能力；公司业绩表现：具备中长期持续增长的能力；与A股同类公司相比具有估值优势的公司等方面筛选港股通标的股票。</w:t>
              <w:br/>
            </w:r>
            <w:r>
              <w:rPr>
                <w:rFonts w:ascii="宋体" w:hAnsi="宋体" w:cs="宋体" w:eastAsia="宋体"/>
                <w:b w:val="false"/>
              </w:rPr>
              <w:t>4、存托凭证投资策略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本基金将采取较为积极的债券投资策略，通过利率预测分析、收益率曲线变动分析、债券信用分析、收益率利差分析等，研判各类属固定收益类资产的风险趋势与收益预期，精选个券进行投资。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本基金将重点关注可转债的转换价值、市场价值与其转换价值的比较、转换期限、公司经营业绩、公司当前股票价格、相关的赎回条件、回售条件等方面，以及通过对目标公司股票的投资价值分析和可交换债券的纯债部分价值分析综合开展投资决策。</w:t>
              <w:br/>
            </w:r>
            <w:r>
              <w:rPr>
                <w:rFonts w:ascii="宋体" w:hAnsi="宋体" w:cs="宋体" w:eastAsia="宋体"/>
                <w:b w:val="false"/>
              </w:rPr>
              <w:t>7、股指期货投资策略</w:t>
              <w:br/>
            </w:r>
            <w:r>
              <w:rPr>
                <w:rFonts w:ascii="宋体" w:hAnsi="宋体" w:cs="宋体" w:eastAsia="宋体"/>
                <w:b w:val="false"/>
              </w:rPr>
              <w:t>本基金以套期保值为目的，在风险可控的前提下，参与股指期货的投资。本基金还将运用股指期货来管理特殊情况下的流动性风险。</w:t>
              <w:br/>
            </w:r>
            <w:r>
              <w:rPr>
                <w:rFonts w:ascii="宋体" w:hAnsi="宋体" w:cs="宋体" w:eastAsia="宋体"/>
                <w:b w:val="false"/>
              </w:rPr>
              <w:t>8、融资业务的投资策略</w:t>
              <w:br/>
            </w:r>
            <w:r>
              <w:rPr>
                <w:rFonts w:ascii="宋体" w:hAnsi="宋体" w:cs="宋体" w:eastAsia="宋体"/>
                <w:b w:val="false"/>
              </w:rPr>
              <w:t>本基金参与融资业务，将综合考虑融资成本、保证金比例、冲抵保证金证券折算率、信用资质等条件选择合适的交易对手方。在保障基金投资组合充足流动性以及有效控制融资杠杆风险的前提下，确定融资比例。</w:t>
              <w:br/>
            </w:r>
            <w:r>
              <w:rPr>
                <w:rFonts w:ascii="宋体" w:hAnsi="宋体" w:cs="宋体" w:eastAsia="宋体"/>
                <w:b w:val="false"/>
              </w:rPr>
              <w:t>9、国债期货的投资策略</w:t>
              <w:br/>
            </w:r>
            <w:r>
              <w:rPr>
                <w:rFonts w:ascii="宋体" w:hAnsi="宋体" w:cs="宋体" w:eastAsia="宋体"/>
                <w:b w:val="false"/>
              </w:rPr>
              <w:t>本基金以套期保值为目的，以回避市场风险，通过动态管理国债期货合约数量，以萃取相应债券组合的超额收益。</w:t>
              <w:br/>
            </w:r>
            <w:r>
              <w:rPr>
                <w:rFonts w:ascii="宋体" w:hAnsi="宋体" w:cs="宋体" w:eastAsia="宋体"/>
                <w:b w:val="false"/>
              </w:rPr>
              <w:t xml:space="preserve">10、股票期权投资策略 </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基金将投资包括资产抵押贷款支持证券(ABS)、住房抵押贷款支持证券(MBS)等在内的资产支持证券。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中证医药卫生指数收益率×60%+恒生医疗保健指数收益率×20%+中证综合债券指数收益率×20%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东方阿尔法医疗健康混合发起A</w:t>
            </w:r>
          </w:p>
        </w:tc>
        <w:tc>
          <w:tcPr>
            <w:tcW w:type="pct" w:w="1500"/>
            <w:vAlign w:val="center"/>
          </w:tcPr>
          <w:p>
            <w:pPr>
              <w:spacing w:line="240" w:lineRule="auto"/>
              <w:jc w:val="left"/>
            </w:pPr>
            <w:r>
              <w:rPr>
                <w:rFonts w:ascii="宋体" w:hAnsi="宋体" w:cs="宋体" w:eastAsia="宋体"/>
                <w:b w:val="false"/>
              </w:rPr>
              <w:t>东方阿尔法医疗健康混合发起C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014841</w:t>
            </w:r>
          </w:p>
        </w:tc>
        <w:tc>
          <w:tcPr>
            <w:tcW w:type="pct" w:w="1500"/>
            <w:vAlign w:val="center"/>
          </w:tcPr>
          <w:p>
            <w:pPr>
              <w:spacing w:line="240" w:lineRule="auto"/>
              <w:jc w:val="left"/>
            </w:pPr>
            <w:r>
              <w:rPr>
                <w:rFonts w:ascii="宋体" w:hAnsi="宋体" w:cs="宋体" w:eastAsia="宋体"/>
                <w:b w:val="false"/>
              </w:rPr>
              <w:t>014842</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42,794,105.80份</w:t>
            </w:r>
          </w:p>
        </w:tc>
        <w:tc>
          <w:tcPr>
            <w:tcW w:type="pct" w:w="1500"/>
            <w:vAlign w:val="center"/>
          </w:tcPr>
          <w:p>
            <w:pPr>
              <w:spacing w:line="240" w:lineRule="auto"/>
              <w:jc w:val="left"/>
            </w:pPr>
            <w:r>
              <w:rPr>
                <w:rFonts w:ascii="宋体" w:hAnsi="宋体" w:cs="宋体" w:eastAsia="宋体"/>
                <w:b w:val="false"/>
              </w:rPr>
              <w:t>76,264,698.10份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报告期（2025年10月01日-2025年12月31日）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东方阿尔法医疗健康混合发起A</w:t>
            </w:r>
          </w:p>
        </w:tc>
        <w:tc>
          <w:tcPr>
            <w:tcW w:type="pct" w:w="1500"/>
            <w:vAlign w:val="center"/>
          </w:tcPr>
          <w:tcPr>
            <w:shd w:fill="d9d9d9"/>
          </w:tcPr>
          <w:p>
            <w:pPr>
              <w:spacing w:line="240" w:lineRule="auto"/>
              <w:jc w:val="center"/>
            </w:pPr>
            <w:r>
              <w:rPr>
                <w:rFonts w:ascii="宋体" w:hAnsi="宋体" w:cs="宋体" w:eastAsia="宋体"/>
                <w:b w:val="false"/>
              </w:rPr>
              <w:t>东方阿尔法医疗健康混合发起C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2,746,029.26</w:t>
            </w:r>
          </w:p>
        </w:tc>
        <w:tc>
          <w:tcPr>
            <w:tcW w:type="pct" w:w="1500"/>
            <w:vAlign w:val="center"/>
          </w:tcPr>
          <w:p>
            <w:pPr>
              <w:spacing w:line="240" w:lineRule="auto"/>
              <w:jc w:val="right"/>
            </w:pPr>
            <w:r>
              <w:rPr>
                <w:rFonts w:ascii="宋体" w:hAnsi="宋体" w:cs="宋体" w:eastAsia="宋体"/>
                <w:b w:val="false"/>
              </w:rPr>
              <w:t>3,084,750.93</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-10,421,021.47</w:t>
            </w:r>
          </w:p>
        </w:tc>
        <w:tc>
          <w:tcPr>
            <w:tcW w:type="pct" w:w="1500"/>
            <w:vAlign w:val="center"/>
          </w:tcPr>
          <w:p>
            <w:pPr>
              <w:spacing w:line="240" w:lineRule="auto"/>
              <w:jc w:val="right"/>
            </w:pPr>
            <w:r>
              <w:rPr>
                <w:rFonts w:ascii="宋体" w:hAnsi="宋体" w:cs="宋体" w:eastAsia="宋体"/>
                <w:b w:val="false"/>
              </w:rPr>
              <w:t>-13,877,789.29</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-0.2123</w:t>
            </w:r>
          </w:p>
        </w:tc>
        <w:tc>
          <w:tcPr>
            <w:tcW w:type="pct" w:w="1500"/>
            <w:vAlign w:val="center"/>
          </w:tcPr>
          <w:p>
            <w:pPr>
              <w:spacing w:line="240" w:lineRule="auto"/>
              <w:jc w:val="right"/>
            </w:pPr>
            <w:r>
              <w:rPr>
                <w:rFonts w:ascii="宋体" w:hAnsi="宋体" w:cs="宋体" w:eastAsia="宋体"/>
                <w:b w:val="false"/>
              </w:rPr>
              <w:t>-0.1888</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46,845,328.74</w:t>
            </w:r>
          </w:p>
        </w:tc>
        <w:tc>
          <w:tcPr>
            <w:tcW w:type="pct" w:w="1500"/>
            <w:vAlign w:val="center"/>
          </w:tcPr>
          <w:p>
            <w:pPr>
              <w:spacing w:line="240" w:lineRule="auto"/>
              <w:jc w:val="right"/>
            </w:pPr>
            <w:r>
              <w:rPr>
                <w:rFonts w:ascii="宋体" w:hAnsi="宋体" w:cs="宋体" w:eastAsia="宋体"/>
                <w:b w:val="false"/>
              </w:rPr>
              <w:t>81,943,329.27</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1.0947</w:t>
            </w:r>
          </w:p>
        </w:tc>
        <w:tc>
          <w:tcPr>
            <w:tcW w:type="pct" w:w="1500"/>
            <w:vAlign w:val="center"/>
          </w:tcPr>
          <w:p>
            <w:pPr>
              <w:spacing w:line="240" w:lineRule="auto"/>
              <w:jc w:val="right"/>
            </w:pPr>
            <w:r>
              <w:rPr>
                <w:rFonts w:ascii="宋体" w:hAnsi="宋体" w:cs="宋体" w:eastAsia="宋体"/>
                <w:b w:val="false"/>
              </w:rPr>
              <w:t>1.0745</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东方阿尔法医疗健康混合发起A净值表现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-15.24%</w:t>
            </w:r>
          </w:p>
        </w:tc>
        <w:tc>
          <w:tcPr>
            <w:tcW/>
            <w:vAlign w:val="center"/>
          </w:tcPr>
          <w:p>
            <w:pPr>
              <w:spacing w:line="240" w:lineRule="auto"/>
              <w:jc w:val="right"/>
            </w:pPr>
            <w:r>
              <w:rPr>
                <w:rFonts w:ascii="宋体" w:hAnsi="宋体" w:cs="宋体" w:eastAsia="宋体"/>
                <w:b w:val="false"/>
              </w:rPr>
              <w:t>2.12%</w:t>
            </w:r>
          </w:p>
        </w:tc>
        <w:tc>
          <w:tcPr>
            <w:tcW/>
            <w:vAlign w:val="center"/>
          </w:tcPr>
          <w:p>
            <w:pPr>
              <w:spacing w:line="240" w:lineRule="auto"/>
              <w:jc w:val="right"/>
            </w:pPr>
            <w:r>
              <w:rPr>
                <w:rFonts w:ascii="宋体" w:hAnsi="宋体" w:cs="宋体" w:eastAsia="宋体"/>
                <w:b w:val="false"/>
              </w:rPr>
              <w:t>-11.73%</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-3.51%</w:t>
            </w:r>
          </w:p>
        </w:tc>
        <w:tc>
          <w:tcPr>
            <w:tcW/>
            <w:vAlign w:val="center"/>
          </w:tcPr>
          <w:p>
            <w:pPr>
              <w:spacing w:line="240" w:lineRule="auto"/>
              <w:jc w:val="right"/>
            </w:pPr>
            <w:r>
              <w:rPr>
                <w:rFonts w:ascii="宋体" w:hAnsi="宋体" w:cs="宋体" w:eastAsia="宋体"/>
                <w:b w:val="false"/>
              </w:rPr>
              <w:t>1.23%</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1.38%</w:t>
            </w:r>
          </w:p>
        </w:tc>
        <w:tc>
          <w:tcPr>
            <w:tcW/>
            <w:vAlign w:val="center"/>
          </w:tcPr>
          <w:p>
            <w:pPr>
              <w:spacing w:line="240" w:lineRule="auto"/>
              <w:jc w:val="right"/>
            </w:pPr>
            <w:r>
              <w:rPr>
                <w:rFonts w:ascii="宋体" w:hAnsi="宋体" w:cs="宋体" w:eastAsia="宋体"/>
                <w:b w:val="false"/>
              </w:rPr>
              <w:t>2.15%</w:t>
            </w:r>
          </w:p>
        </w:tc>
        <w:tc>
          <w:tcPr>
            <w:tcW/>
            <w:vAlign w:val="center"/>
          </w:tcPr>
          <w:p>
            <w:pPr>
              <w:spacing w:line="240" w:lineRule="auto"/>
              <w:jc w:val="right"/>
            </w:pPr>
            <w:r>
              <w:rPr>
                <w:rFonts w:ascii="宋体" w:hAnsi="宋体" w:cs="宋体" w:eastAsia="宋体"/>
                <w:b w:val="false"/>
              </w:rPr>
              <w:t>2.49%</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-1.11%</w:t>
            </w:r>
          </w:p>
        </w:tc>
        <w:tc>
          <w:tcPr>
            <w:tcW/>
            <w:vAlign w:val="center"/>
          </w:tcPr>
          <w:p>
            <w:pPr>
              <w:spacing w:line="240" w:lineRule="auto"/>
              <w:jc w:val="right"/>
            </w:pPr>
            <w:r>
              <w:rPr>
                <w:rFonts w:ascii="宋体" w:hAnsi="宋体" w:cs="宋体" w:eastAsia="宋体"/>
                <w:b w:val="false"/>
              </w:rPr>
              <w:t>1.13%</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29.55%</w:t>
            </w:r>
          </w:p>
        </w:tc>
        <w:tc>
          <w:tcPr>
            <w:tcW/>
            <w:vAlign w:val="center"/>
          </w:tcPr>
          <w:p>
            <w:pPr>
              <w:spacing w:line="240" w:lineRule="auto"/>
              <w:jc w:val="right"/>
            </w:pPr>
            <w:r>
              <w:rPr>
                <w:rFonts w:ascii="宋体" w:hAnsi="宋体" w:cs="宋体" w:eastAsia="宋体"/>
                <w:b w:val="false"/>
              </w:rPr>
              <w:t>2.08%</w:t>
            </w:r>
          </w:p>
        </w:tc>
        <w:tc>
          <w:tcPr>
            <w:tcW/>
            <w:vAlign w:val="center"/>
          </w:tcPr>
          <w:p>
            <w:pPr>
              <w:spacing w:line="240" w:lineRule="auto"/>
              <w:jc w:val="right"/>
            </w:pPr>
            <w:r>
              <w:rPr>
                <w:rFonts w:ascii="宋体" w:hAnsi="宋体" w:cs="宋体" w:eastAsia="宋体"/>
                <w:b w:val="false"/>
              </w:rPr>
              <w:t>12.90%</w:t>
            </w:r>
          </w:p>
        </w:tc>
        <w:tc>
          <w:tcPr>
            <w:tcW/>
            <w:vAlign w:val="center"/>
          </w:tcPr>
          <w:p>
            <w:pPr>
              <w:spacing w:line="240" w:lineRule="auto"/>
              <w:jc w:val="right"/>
            </w:pPr>
            <w:r>
              <w:rPr>
                <w:rFonts w:ascii="宋体" w:hAnsi="宋体" w:cs="宋体" w:eastAsia="宋体"/>
                <w:b w:val="false"/>
              </w:rPr>
              <w:t>1.11%</w:t>
            </w:r>
          </w:p>
        </w:tc>
        <w:tc>
          <w:tcPr>
            <w:tcW/>
            <w:vAlign w:val="center"/>
          </w:tcPr>
          <w:p>
            <w:pPr>
              <w:spacing w:line="240" w:lineRule="auto"/>
              <w:jc w:val="right"/>
            </w:pPr>
            <w:r>
              <w:rPr>
                <w:rFonts w:ascii="宋体" w:hAnsi="宋体" w:cs="宋体" w:eastAsia="宋体"/>
                <w:b w:val="false"/>
              </w:rPr>
              <w:t>16.65%</w:t>
            </w:r>
          </w:p>
        </w:tc>
        <w:tc>
          <w:tcPr>
            <w:tcW/>
            <w:vAlign w:val="center"/>
          </w:tcPr>
          <w:p>
            <w:pPr>
              <w:spacing w:line="240" w:lineRule="auto"/>
              <w:jc w:val="right"/>
            </w:pPr>
            <w:r>
              <w:rPr>
                <w:rFonts w:ascii="宋体" w:hAnsi="宋体" w:cs="宋体" w:eastAsia="宋体"/>
                <w:b w:val="false"/>
              </w:rPr>
              <w:t>0.97%</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4.25%</w:t>
            </w:r>
          </w:p>
        </w:tc>
        <w:tc>
          <w:tcPr>
            <w:tcW/>
            <w:vAlign w:val="center"/>
          </w:tcPr>
          <w:p>
            <w:pPr>
              <w:spacing w:line="240" w:lineRule="auto"/>
              <w:jc w:val="right"/>
            </w:pPr>
            <w:r>
              <w:rPr>
                <w:rFonts w:ascii="宋体" w:hAnsi="宋体" w:cs="宋体" w:eastAsia="宋体"/>
                <w:b w:val="false"/>
              </w:rPr>
              <w:t>1.71%</w:t>
            </w:r>
          </w:p>
        </w:tc>
        <w:tc>
          <w:tcPr>
            <w:tcW/>
            <w:vAlign w:val="center"/>
          </w:tcPr>
          <w:p>
            <w:pPr>
              <w:spacing w:line="240" w:lineRule="auto"/>
              <w:jc w:val="right"/>
            </w:pPr>
            <w:r>
              <w:rPr>
                <w:rFonts w:ascii="宋体" w:hAnsi="宋体" w:cs="宋体" w:eastAsia="宋体"/>
                <w:b w:val="false"/>
              </w:rPr>
              <w:t>-9.30%</w:t>
            </w:r>
          </w:p>
        </w:tc>
        <w:tc>
          <w:tcPr>
            <w:tcW/>
            <w:vAlign w:val="center"/>
          </w:tcPr>
          <w:p>
            <w:pPr>
              <w:spacing w:line="240" w:lineRule="auto"/>
              <w:jc w:val="right"/>
            </w:pPr>
            <w:r>
              <w:rPr>
                <w:rFonts w:ascii="宋体" w:hAnsi="宋体" w:cs="宋体" w:eastAsia="宋体"/>
                <w:b w:val="false"/>
              </w:rPr>
              <w:t>1.17%</w:t>
            </w:r>
          </w:p>
        </w:tc>
        <w:tc>
          <w:tcPr>
            <w:tcW/>
            <w:vAlign w:val="center"/>
          </w:tcPr>
          <w:p>
            <w:pPr>
              <w:spacing w:line="240" w:lineRule="auto"/>
              <w:jc w:val="right"/>
            </w:pPr>
            <w:r>
              <w:rPr>
                <w:rFonts w:ascii="宋体" w:hAnsi="宋体" w:cs="宋体" w:eastAsia="宋体"/>
                <w:b w:val="false"/>
              </w:rPr>
              <w:t>13.55%</w:t>
            </w:r>
          </w:p>
        </w:tc>
        <w:tc>
          <w:tcPr>
            <w:tcW/>
            <w:vAlign w:val="center"/>
          </w:tcPr>
          <w:p>
            <w:pPr>
              <w:spacing w:line="240" w:lineRule="auto"/>
              <w:jc w:val="right"/>
            </w:pPr>
            <w:r>
              <w:rPr>
                <w:rFonts w:ascii="宋体" w:hAnsi="宋体" w:cs="宋体" w:eastAsia="宋体"/>
                <w:b w:val="false"/>
              </w:rPr>
              <w:t>0.54%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9.47%</w:t>
            </w:r>
          </w:p>
        </w:tc>
        <w:tc>
          <w:tcPr>
            <w:tcW/>
            <w:vAlign w:val="center"/>
          </w:tcPr>
          <w:p>
            <w:pPr>
              <w:spacing w:line="240" w:lineRule="auto"/>
              <w:jc w:val="right"/>
            </w:pPr>
            <w:r>
              <w:rPr>
                <w:rFonts w:ascii="宋体" w:hAnsi="宋体" w:cs="宋体" w:eastAsia="宋体"/>
                <w:b w:val="false"/>
              </w:rPr>
              <w:t>1.66%</w:t>
            </w:r>
          </w:p>
        </w:tc>
        <w:tc>
          <w:tcPr>
            <w:tcW/>
            <w:vAlign w:val="center"/>
          </w:tcPr>
          <w:p>
            <w:pPr>
              <w:spacing w:line="240" w:lineRule="auto"/>
              <w:jc w:val="right"/>
            </w:pPr>
            <w:r>
              <w:rPr>
                <w:rFonts w:ascii="宋体" w:hAnsi="宋体" w:cs="宋体" w:eastAsia="宋体"/>
                <w:b w:val="false"/>
              </w:rPr>
              <w:t>-10.83%</w:t>
            </w:r>
          </w:p>
        </w:tc>
        <w:tc>
          <w:tcPr>
            <w:tcW/>
            <w:vAlign w:val="center"/>
          </w:tcPr>
          <w:p>
            <w:pPr>
              <w:spacing w:line="240" w:lineRule="auto"/>
              <w:jc w:val="right"/>
            </w:pPr>
            <w:r>
              <w:rPr>
                <w:rFonts w:ascii="宋体" w:hAnsi="宋体" w:cs="宋体" w:eastAsia="宋体"/>
                <w:b w:val="false"/>
              </w:rPr>
              <w:t>1.23%</w:t>
            </w:r>
          </w:p>
        </w:tc>
        <w:tc>
          <w:tcPr>
            <w:tcW/>
            <w:vAlign w:val="center"/>
          </w:tcPr>
          <w:p>
            <w:pPr>
              <w:spacing w:line="240" w:lineRule="auto"/>
              <w:jc w:val="right"/>
            </w:pPr>
            <w:r>
              <w:rPr>
                <w:rFonts w:ascii="宋体" w:hAnsi="宋体" w:cs="宋体" w:eastAsia="宋体"/>
                <w:b w:val="false"/>
              </w:rPr>
              <w:t>20.30%</w:t>
            </w:r>
          </w:p>
        </w:tc>
        <w:tc>
          <w:tcPr>
            <w:tcW/>
            <w:vAlign w:val="center"/>
          </w:tcPr>
          <w:p>
            <w:pPr>
              <w:spacing w:line="240" w:lineRule="auto"/>
              <w:jc w:val="right"/>
            </w:pPr>
            <w:r>
              <w:rPr>
                <w:rFonts w:ascii="宋体" w:hAnsi="宋体" w:cs="宋体" w:eastAsia="宋体"/>
                <w:b w:val="false"/>
              </w:rPr>
              <w:t>0.43%</w:t>
            </w:r>
          </w:p>
        </w:tc>
      </w:tr>
    </w:tbl>
    <w:p>
      <w:pPr>
        <w:jc w:val="left"/>
      </w:pPr>
      <w:r>
        <w:rPr>
          <w:rFonts w:ascii="宋体" w:hAnsi="宋体" w:cs="宋体" w:eastAsia="宋体"/>
          <w:b w:val="true"/>
        </w:rPr>
        <w:t>东方阿尔法医疗健康混合发起C净值表现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-15.34%</w:t>
            </w:r>
          </w:p>
        </w:tc>
        <w:tc>
          <w:tcPr>
            <w:tcW/>
            <w:vAlign w:val="center"/>
          </w:tcPr>
          <w:p>
            <w:pPr>
              <w:spacing w:line="240" w:lineRule="auto"/>
              <w:jc w:val="right"/>
            </w:pPr>
            <w:r>
              <w:rPr>
                <w:rFonts w:ascii="宋体" w:hAnsi="宋体" w:cs="宋体" w:eastAsia="宋体"/>
                <w:b w:val="false"/>
              </w:rPr>
              <w:t>2.11%</w:t>
            </w:r>
          </w:p>
        </w:tc>
        <w:tc>
          <w:tcPr>
            <w:tcW/>
            <w:vAlign w:val="center"/>
          </w:tcPr>
          <w:p>
            <w:pPr>
              <w:spacing w:line="240" w:lineRule="auto"/>
              <w:jc w:val="right"/>
            </w:pPr>
            <w:r>
              <w:rPr>
                <w:rFonts w:ascii="宋体" w:hAnsi="宋体" w:cs="宋体" w:eastAsia="宋体"/>
                <w:b w:val="false"/>
              </w:rPr>
              <w:t>-11.73%</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-3.61%</w:t>
            </w:r>
          </w:p>
        </w:tc>
        <w:tc>
          <w:tcPr>
            <w:tcW/>
            <w:vAlign w:val="center"/>
          </w:tcPr>
          <w:p>
            <w:pPr>
              <w:spacing w:line="240" w:lineRule="auto"/>
              <w:jc w:val="right"/>
            </w:pPr>
            <w:r>
              <w:rPr>
                <w:rFonts w:ascii="宋体" w:hAnsi="宋体" w:cs="宋体" w:eastAsia="宋体"/>
                <w:b w:val="false"/>
              </w:rPr>
              <w:t>1.22%</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1.14%</w:t>
            </w:r>
          </w:p>
        </w:tc>
        <w:tc>
          <w:tcPr>
            <w:tcW/>
            <w:vAlign w:val="center"/>
          </w:tcPr>
          <w:p>
            <w:pPr>
              <w:spacing w:line="240" w:lineRule="auto"/>
              <w:jc w:val="right"/>
            </w:pPr>
            <w:r>
              <w:rPr>
                <w:rFonts w:ascii="宋体" w:hAnsi="宋体" w:cs="宋体" w:eastAsia="宋体"/>
                <w:b w:val="false"/>
              </w:rPr>
              <w:t>2.15%</w:t>
            </w:r>
          </w:p>
        </w:tc>
        <w:tc>
          <w:tcPr>
            <w:tcW/>
            <w:vAlign w:val="center"/>
          </w:tcPr>
          <w:p>
            <w:pPr>
              <w:spacing w:line="240" w:lineRule="auto"/>
              <w:jc w:val="right"/>
            </w:pPr>
            <w:r>
              <w:rPr>
                <w:rFonts w:ascii="宋体" w:hAnsi="宋体" w:cs="宋体" w:eastAsia="宋体"/>
                <w:b w:val="false"/>
              </w:rPr>
              <w:t>2.49%</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-1.35%</w:t>
            </w:r>
          </w:p>
        </w:tc>
        <w:tc>
          <w:tcPr>
            <w:tcW/>
            <w:vAlign w:val="center"/>
          </w:tcPr>
          <w:p>
            <w:pPr>
              <w:spacing w:line="240" w:lineRule="auto"/>
              <w:jc w:val="right"/>
            </w:pPr>
            <w:r>
              <w:rPr>
                <w:rFonts w:ascii="宋体" w:hAnsi="宋体" w:cs="宋体" w:eastAsia="宋体"/>
                <w:b w:val="false"/>
              </w:rPr>
              <w:t>1.13%</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28.91%</w:t>
            </w:r>
          </w:p>
        </w:tc>
        <w:tc>
          <w:tcPr>
            <w:tcW/>
            <w:vAlign w:val="center"/>
          </w:tcPr>
          <w:p>
            <w:pPr>
              <w:spacing w:line="240" w:lineRule="auto"/>
              <w:jc w:val="right"/>
            </w:pPr>
            <w:r>
              <w:rPr>
                <w:rFonts w:ascii="宋体" w:hAnsi="宋体" w:cs="宋体" w:eastAsia="宋体"/>
                <w:b w:val="false"/>
              </w:rPr>
              <w:t>2.08%</w:t>
            </w:r>
          </w:p>
        </w:tc>
        <w:tc>
          <w:tcPr>
            <w:tcW/>
            <w:vAlign w:val="center"/>
          </w:tcPr>
          <w:p>
            <w:pPr>
              <w:spacing w:line="240" w:lineRule="auto"/>
              <w:jc w:val="right"/>
            </w:pPr>
            <w:r>
              <w:rPr>
                <w:rFonts w:ascii="宋体" w:hAnsi="宋体" w:cs="宋体" w:eastAsia="宋体"/>
                <w:b w:val="false"/>
              </w:rPr>
              <w:t>12.90%</w:t>
            </w:r>
          </w:p>
        </w:tc>
        <w:tc>
          <w:tcPr>
            <w:tcW/>
            <w:vAlign w:val="center"/>
          </w:tcPr>
          <w:p>
            <w:pPr>
              <w:spacing w:line="240" w:lineRule="auto"/>
              <w:jc w:val="right"/>
            </w:pPr>
            <w:r>
              <w:rPr>
                <w:rFonts w:ascii="宋体" w:hAnsi="宋体" w:cs="宋体" w:eastAsia="宋体"/>
                <w:b w:val="false"/>
              </w:rPr>
              <w:t>1.11%</w:t>
            </w:r>
          </w:p>
        </w:tc>
        <w:tc>
          <w:tcPr>
            <w:tcW/>
            <w:vAlign w:val="center"/>
          </w:tcPr>
          <w:p>
            <w:pPr>
              <w:spacing w:line="240" w:lineRule="auto"/>
              <w:jc w:val="right"/>
            </w:pPr>
            <w:r>
              <w:rPr>
                <w:rFonts w:ascii="宋体" w:hAnsi="宋体" w:cs="宋体" w:eastAsia="宋体"/>
                <w:b w:val="false"/>
              </w:rPr>
              <w:t>16.01%</w:t>
            </w:r>
          </w:p>
        </w:tc>
        <w:tc>
          <w:tcPr>
            <w:tcW/>
            <w:vAlign w:val="center"/>
          </w:tcPr>
          <w:p>
            <w:pPr>
              <w:spacing w:line="240" w:lineRule="auto"/>
              <w:jc w:val="right"/>
            </w:pPr>
            <w:r>
              <w:rPr>
                <w:rFonts w:ascii="宋体" w:hAnsi="宋体" w:cs="宋体" w:eastAsia="宋体"/>
                <w:b w:val="false"/>
              </w:rPr>
              <w:t>0.97%</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2.71%</w:t>
            </w:r>
          </w:p>
        </w:tc>
        <w:tc>
          <w:tcPr>
            <w:tcW/>
            <w:vAlign w:val="center"/>
          </w:tcPr>
          <w:p>
            <w:pPr>
              <w:spacing w:line="240" w:lineRule="auto"/>
              <w:jc w:val="right"/>
            </w:pPr>
            <w:r>
              <w:rPr>
                <w:rFonts w:ascii="宋体" w:hAnsi="宋体" w:cs="宋体" w:eastAsia="宋体"/>
                <w:b w:val="false"/>
              </w:rPr>
              <w:t>1.71%</w:t>
            </w:r>
          </w:p>
        </w:tc>
        <w:tc>
          <w:tcPr>
            <w:tcW/>
            <w:vAlign w:val="center"/>
          </w:tcPr>
          <w:p>
            <w:pPr>
              <w:spacing w:line="240" w:lineRule="auto"/>
              <w:jc w:val="right"/>
            </w:pPr>
            <w:r>
              <w:rPr>
                <w:rFonts w:ascii="宋体" w:hAnsi="宋体" w:cs="宋体" w:eastAsia="宋体"/>
                <w:b w:val="false"/>
              </w:rPr>
              <w:t>-9.30%</w:t>
            </w:r>
          </w:p>
        </w:tc>
        <w:tc>
          <w:tcPr>
            <w:tcW/>
            <w:vAlign w:val="center"/>
          </w:tcPr>
          <w:p>
            <w:pPr>
              <w:spacing w:line="240" w:lineRule="auto"/>
              <w:jc w:val="right"/>
            </w:pPr>
            <w:r>
              <w:rPr>
                <w:rFonts w:ascii="宋体" w:hAnsi="宋体" w:cs="宋体" w:eastAsia="宋体"/>
                <w:b w:val="false"/>
              </w:rPr>
              <w:t>1.17%</w:t>
            </w:r>
          </w:p>
        </w:tc>
        <w:tc>
          <w:tcPr>
            <w:tcW/>
            <w:vAlign w:val="center"/>
          </w:tcPr>
          <w:p>
            <w:pPr>
              <w:spacing w:line="240" w:lineRule="auto"/>
              <w:jc w:val="right"/>
            </w:pPr>
            <w:r>
              <w:rPr>
                <w:rFonts w:ascii="宋体" w:hAnsi="宋体" w:cs="宋体" w:eastAsia="宋体"/>
                <w:b w:val="false"/>
              </w:rPr>
              <w:t>12.01%</w:t>
            </w:r>
          </w:p>
        </w:tc>
        <w:tc>
          <w:tcPr>
            <w:tcW/>
            <w:vAlign w:val="center"/>
          </w:tcPr>
          <w:p>
            <w:pPr>
              <w:spacing w:line="240" w:lineRule="auto"/>
              <w:jc w:val="right"/>
            </w:pPr>
            <w:r>
              <w:rPr>
                <w:rFonts w:ascii="宋体" w:hAnsi="宋体" w:cs="宋体" w:eastAsia="宋体"/>
                <w:b w:val="false"/>
              </w:rPr>
              <w:t>0.54%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7.45%</w:t>
            </w:r>
          </w:p>
        </w:tc>
        <w:tc>
          <w:tcPr>
            <w:tcW/>
            <w:vAlign w:val="center"/>
          </w:tcPr>
          <w:p>
            <w:pPr>
              <w:spacing w:line="240" w:lineRule="auto"/>
              <w:jc w:val="right"/>
            </w:pPr>
            <w:r>
              <w:rPr>
                <w:rFonts w:ascii="宋体" w:hAnsi="宋体" w:cs="宋体" w:eastAsia="宋体"/>
                <w:b w:val="false"/>
              </w:rPr>
              <w:t>1.66%</w:t>
            </w:r>
          </w:p>
        </w:tc>
        <w:tc>
          <w:tcPr>
            <w:tcW/>
            <w:vAlign w:val="center"/>
          </w:tcPr>
          <w:p>
            <w:pPr>
              <w:spacing w:line="240" w:lineRule="auto"/>
              <w:jc w:val="right"/>
            </w:pPr>
            <w:r>
              <w:rPr>
                <w:rFonts w:ascii="宋体" w:hAnsi="宋体" w:cs="宋体" w:eastAsia="宋体"/>
                <w:b w:val="false"/>
              </w:rPr>
              <w:t>-10.83%</w:t>
            </w:r>
          </w:p>
        </w:tc>
        <w:tc>
          <w:tcPr>
            <w:tcW/>
            <w:vAlign w:val="center"/>
          </w:tcPr>
          <w:p>
            <w:pPr>
              <w:spacing w:line="240" w:lineRule="auto"/>
              <w:jc w:val="right"/>
            </w:pPr>
            <w:r>
              <w:rPr>
                <w:rFonts w:ascii="宋体" w:hAnsi="宋体" w:cs="宋体" w:eastAsia="宋体"/>
                <w:b w:val="false"/>
              </w:rPr>
              <w:t>1.23%</w:t>
            </w:r>
          </w:p>
        </w:tc>
        <w:tc>
          <w:tcPr>
            <w:tcW/>
            <w:vAlign w:val="center"/>
          </w:tcPr>
          <w:p>
            <w:pPr>
              <w:spacing w:line="240" w:lineRule="auto"/>
              <w:jc w:val="right"/>
            </w:pPr>
            <w:r>
              <w:rPr>
                <w:rFonts w:ascii="宋体" w:hAnsi="宋体" w:cs="宋体" w:eastAsia="宋体"/>
                <w:b w:val="false"/>
              </w:rPr>
              <w:t>18.28%</w:t>
            </w:r>
          </w:p>
        </w:tc>
        <w:tc>
          <w:tcPr>
            <w:tcW/>
            <w:vAlign w:val="center"/>
          </w:tcPr>
          <w:p>
            <w:pPr>
              <w:spacing w:line="240" w:lineRule="auto"/>
              <w:jc w:val="right"/>
            </w:pPr>
            <w:r>
              <w:rPr>
                <w:rFonts w:ascii="宋体" w:hAnsi="宋体" w:cs="宋体" w:eastAsia="宋体"/>
                <w:b w:val="false"/>
              </w:rPr>
              <w:t>0.43%</w:t>
            </w:r>
          </w:p>
        </w:tc>
      </w:tr>
    </w:tbl>
    <w:p>
      <w:r>
        <w:rPr>
          <w:rFonts w:ascii="宋体" w:hAnsi="宋体" w:cs="宋体" w:eastAsia="宋体"/>
          <w:b w:val="false"/>
        </w:rPr>
        <w:t>注：1、本基金业绩比较基准为：中证医药卫生指数收益率×60%+恒生医疗保健指数收益率×20%+中证综合债券指数收益率×20%。</w:t>
        <w:cr/>
      </w:r>
      <w:r>
        <w:rPr>
          <w:rFonts w:ascii="宋体" w:hAnsi="宋体" w:cs="宋体" w:eastAsia="宋体"/>
          <w:b w:val="false"/>
        </w:rPr>
        <w:t>2、本基金自2022年03月30日成立至今尚未满五年，无过去五年的净值表现。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孟昱</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2023-11-29</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5年</w:t>
            </w:r>
          </w:p>
        </w:tc>
        <w:tc>
          <w:tcPr>
            <w:tcW/>
            <w:vAlign w:val="center"/>
          </w:tcPr>
          <w:p>
            <w:pPr>
              <w:spacing w:line="240" w:lineRule="auto"/>
              <w:jc w:val="left"/>
            </w:pPr>
            <w:r>
              <w:rPr>
                <w:rFonts w:ascii="宋体" w:hAnsi="宋体" w:cs="宋体" w:eastAsia="宋体"/>
                <w:b w:val="false"/>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2025年第四季度，生物医药板块整体承压调整。A股各子板块均录得负收益，按抗跌性排序为医疗服务（-2.1%）&gt;化学制药（-4.5%）&gt;医疗器械（-6.8%）&gt;中药（-7.2%）&gt;疫苗（-10.5%）&gt;血制品（-12.3%）。港股调整幅度更甚，恒生医疗保健指数下跌18.7%，恒生创新药指数跌幅扩大至22.0%。</w:t>
        <w:cr/>
      </w:r>
      <w:r>
        <w:rPr>
          <w:rFonts w:ascii="宋体" w:hAnsi="宋体" w:cs="宋体" w:eastAsia="宋体"/>
          <w:b w:val="false"/>
        </w:rPr>
        <w:t xml:space="preserve">    CXO板块依托国内外创新药研发需求修复、新分子类型外包增长的支撑保持相对韧性，仅受地缘政策不确定性与年末市场风格调整影响出现阶段性回调。CXO板块作为创新药产业链，经历寒冬后已明确看到订单规模拐点与复苏迹象。其中受益于多肽类药物放量的CDMO率先走出低谷。更多临床CRO的股价表现往往与创新药指数强正相关，而与自身业绩存在1-2个季度的错位。我们认为这源于两方面：一是基本面进一步走强，如业绩和订单超预期；二是资金在创新药板块拥挤后溢出至产业链上下游的CXO板块。</w:t>
        <w:cr/>
      </w:r>
      <w:r>
        <w:rPr>
          <w:rFonts w:ascii="宋体" w:hAnsi="宋体" w:cs="宋体" w:eastAsia="宋体"/>
          <w:b w:val="false"/>
        </w:rPr>
        <w:t xml:space="preserve">    创新药板块调整主因是BD交易和临床数据读出进入真空期，叠加医保谈判降价压力与集采药品续约预期收紧。虽出海BD交易长期趋势未改，但短期节奏放缓引发资金止盈，导致大幅回撤。针对市场对创新药BD的三大疑问，我们的观点如下：不能因短期无大BD就否定行业潜力或推断未来无大BD，短期情况受过高预期、BD自身偶然性与阶段性影响（MNC大额BD多集中在10月-次年1月）。中国创新药全球竞争力持续提升，只要分子创新与进度领先，后续大BD仍值得期待。MNC布局欧美Biotech与中国BD并行不悖，并非放弃中国。中国创新药企已跻身全球创新牌桌且话语权与产业替代力增强，短期BD减少与美国对华投资限制仅是时间巧合，非企业刻意为之。评估BD质量不应只看首付款或总包金额，核心是项目成功概率、市场潜力及后续里程碑，真正有价值的是具备全球竞争力的"海外大药"。短期BD减少是随机事件，需坚定中国创新药竞争力带来的长期BD潜力信心。当前市场情绪低迷正是中长期加仓创新药的时机，中国创新药出海是未来5-10年的明确产业趋势。</w:t>
        <w:cr/>
      </w:r>
      <w:r>
        <w:rPr>
          <w:rFonts w:ascii="宋体" w:hAnsi="宋体" w:cs="宋体" w:eastAsia="宋体"/>
          <w:b w:val="false"/>
        </w:rPr>
        <w:t xml:space="preserve">    创新药产业发展趋势已经形成。当前创新药定价仍遵循产品销售峰值3-4倍PS的大框架，DCF模型可有效评估大多数创新药资产的合理价值，目前估值合理偏低。单一创新药物的价值兑现可分为三个阶段：创新分子临床价值POC阶段、海外市场拓展或授权阶段、药物上市后商业化快速爬坡期。本轮创新药板块快速上涨主要基于临床POC阶段成果和海外授权预期，尚未进入商业化阶段的价值释放。</w:t>
        <w:cr/>
      </w:r>
      <w:r>
        <w:rPr>
          <w:rFonts w:ascii="宋体" w:hAnsi="宋体" w:cs="宋体" w:eastAsia="宋体"/>
          <w:b w:val="false"/>
        </w:rPr>
        <w:t xml:space="preserve">    创新药细分赛道中，我们认为小核酸领域迎来三重核心驱动力共振。海外龙头率先打破适应症边界，凭借GalNAc等肝外递送技术与双靶点siRNA等新分子类型，从罕见病加速向心血管、代谢、肥胖等千亿级常见病市场渗透。长效给药（每季度/半年一次）优势大幅提升患者依从性，打开赛道长期成长空间。商业化层面，小核酸药物已进入放量爆发期，诺华Leqvio（降血脂siRNA）2025年第四季度单季销售额环比增长约40%，全年突破10亿美元；Arrowhead的Plozasiran获批后亦快速上量，成功验证小核酸药物"重磅炸弹"商业化模型，驱动板块估值重塑。资本端同样迎来强催化，国内优质企业即将登陆港股，叠加技术平台型公司获海外MNC大额BD合作验证，不仅为板块引入增量资金，更将夯实国内小核酸赛道估值锚，有望引领创新药板块结构性行情。</w:t>
        <w:cr/>
      </w:r>
      <w:r>
        <w:rPr>
          <w:rFonts w:ascii="宋体" w:hAnsi="宋体" w:cs="宋体" w:eastAsia="宋体"/>
          <w:b w:val="false"/>
        </w:rPr>
        <w:t xml:space="preserve">    基于以上分析，本基金在四季度继续选择创新药作为主要仓位，配置头部确定性高的创新药及小核酸概念主题相关标的，同时选配部分CXO资产作为补充。</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医疗健康混合发起A基金份额净值为1.0947元，本报告期内，该类基金份额净值增长率为-15.24%，同期业绩比较基准收益率为-11.73%；截至报告期末东方阿尔法医疗健康混合发起C基金份额净值为1.0745元，本报告期内，该类基金份额净值增长率为-15.34%，同期业绩比较基准收益率为-11.73%。</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117,048,989.27</w:t>
            </w:r>
          </w:p>
        </w:tc>
        <w:tc>
          <w:tcPr>
            <w:tcW/>
            <w:vAlign w:val="center"/>
          </w:tcPr>
          <w:p>
            <w:pPr>
              <w:spacing w:line="240" w:lineRule="auto"/>
              <w:jc w:val="right"/>
            </w:pPr>
            <w:r>
              <w:rPr>
                <w:rFonts w:ascii="宋体" w:hAnsi="宋体" w:cs="宋体" w:eastAsia="宋体"/>
                <w:b w:val="false"/>
              </w:rPr>
              <w:t>89.20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117,048,989.27</w:t>
            </w:r>
          </w:p>
        </w:tc>
        <w:tc>
          <w:tcPr>
            <w:tcW/>
            <w:vAlign w:val="center"/>
          </w:tcPr>
          <w:p>
            <w:pPr>
              <w:spacing w:line="240" w:lineRule="auto"/>
              <w:jc w:val="right"/>
            </w:pPr>
            <w:r>
              <w:rPr>
                <w:rFonts w:ascii="宋体" w:hAnsi="宋体" w:cs="宋体" w:eastAsia="宋体"/>
                <w:b w:val="false"/>
              </w:rPr>
              <w:t>89.20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7,777,742.58</w:t>
            </w:r>
          </w:p>
        </w:tc>
        <w:tc>
          <w:tcPr>
            <w:tcW/>
            <w:vAlign w:val="center"/>
          </w:tcPr>
          <w:p>
            <w:pPr>
              <w:spacing w:line="240" w:lineRule="auto"/>
              <w:jc w:val="right"/>
            </w:pPr>
            <w:r>
              <w:rPr>
                <w:rFonts w:ascii="宋体" w:hAnsi="宋体" w:cs="宋体" w:eastAsia="宋体"/>
                <w:b w:val="false"/>
              </w:rPr>
              <w:t>5.93</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7,777,742.58</w:t>
            </w:r>
          </w:p>
        </w:tc>
        <w:tc>
          <w:tcPr>
            <w:tcW/>
            <w:vAlign w:val="center"/>
          </w:tcPr>
          <w:p>
            <w:pPr>
              <w:spacing w:line="240" w:lineRule="auto"/>
              <w:jc w:val="right"/>
            </w:pPr>
            <w:r>
              <w:rPr>
                <w:rFonts w:ascii="宋体" w:hAnsi="宋体" w:cs="宋体" w:eastAsia="宋体"/>
                <w:b w:val="false"/>
              </w:rPr>
              <w:t>5.93</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4,869,819.60</w:t>
            </w:r>
          </w:p>
        </w:tc>
        <w:tc>
          <w:tcPr>
            <w:tcW/>
            <w:vAlign w:val="center"/>
          </w:tcPr>
          <w:p>
            <w:pPr>
              <w:spacing w:line="240" w:lineRule="auto"/>
              <w:jc w:val="right"/>
            </w:pPr>
            <w:r>
              <w:rPr>
                <w:rFonts w:ascii="宋体" w:hAnsi="宋体" w:cs="宋体" w:eastAsia="宋体"/>
                <w:b w:val="false"/>
              </w:rPr>
              <w:t>3.71</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1,521,105.18</w:t>
            </w:r>
          </w:p>
        </w:tc>
        <w:tc>
          <w:tcPr>
            <w:tcW/>
            <w:vAlign w:val="center"/>
          </w:tcPr>
          <w:p>
            <w:pPr>
              <w:spacing w:line="240" w:lineRule="auto"/>
              <w:jc w:val="right"/>
            </w:pPr>
            <w:r>
              <w:rPr>
                <w:rFonts w:ascii="宋体" w:hAnsi="宋体" w:cs="宋体" w:eastAsia="宋体"/>
                <w:b w:val="false"/>
              </w:rPr>
              <w:t>1.16</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131,217,656.63</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注：报告期末本基金通过港股通交易机制投资的港股公允价值合计55,174,002.09元，占基金资产净值的比例为42.84%。</w:t>
      </w:r>
    </w:p>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59,291,747.18</w:t>
            </w:r>
          </w:p>
        </w:tc>
        <w:tc>
          <w:tcPr>
            <w:tcW/>
            <w:vAlign w:val="center"/>
          </w:tcPr>
          <w:p>
            <w:pPr>
              <w:spacing w:line="240" w:lineRule="auto"/>
              <w:jc w:val="right"/>
            </w:pPr>
            <w:r>
              <w:rPr>
                <w:rFonts w:ascii="宋体" w:hAnsi="宋体" w:cs="宋体" w:eastAsia="宋体"/>
                <w:b w:val="false"/>
              </w:rPr>
              <w:t>46.04</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2,583,240.00</w:t>
            </w:r>
          </w:p>
        </w:tc>
        <w:tc>
          <w:tcPr>
            <w:tcW/>
            <w:vAlign w:val="center"/>
          </w:tcPr>
          <w:p>
            <w:pPr>
              <w:spacing w:line="240" w:lineRule="auto"/>
              <w:jc w:val="right"/>
            </w:pPr>
            <w:r>
              <w:rPr>
                <w:rFonts w:ascii="宋体" w:hAnsi="宋体" w:cs="宋体" w:eastAsia="宋体"/>
                <w:b w:val="false"/>
              </w:rPr>
              <w:t>2.01</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61,874,987.18</w:t>
            </w:r>
          </w:p>
        </w:tc>
        <w:tc>
          <w:tcPr>
            <w:tcW/>
            <w:vAlign w:val="center"/>
          </w:tcPr>
          <w:p>
            <w:pPr>
              <w:spacing w:line="240" w:lineRule="auto"/>
              <w:jc w:val="right"/>
            </w:pPr>
            <w:r>
              <w:rPr>
                <w:rFonts w:ascii="宋体" w:hAnsi="宋体" w:cs="宋体" w:eastAsia="宋体"/>
                <w:b w:val="false"/>
              </w:rPr>
              <w:t>48.04</w:t>
            </w:r>
          </w:p>
        </w:tc>
      </w:tr>
    </w:tbl>
    <w:p/>
    <w:p>
      <w:pPr>
        <w:pStyle w:val="zhangjiep2"/>
      </w:pPr>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医疗保健</w:t>
            </w:r>
          </w:p>
        </w:tc>
        <w:tc>
          <w:tcPr>
            <w:tcW/>
            <w:vAlign w:val="center"/>
          </w:tcPr>
          <w:p>
            <w:pPr>
              <w:spacing w:line="240" w:lineRule="auto"/>
              <w:jc w:val="right"/>
            </w:pPr>
            <w:r>
              <w:rPr>
                <w:rFonts w:ascii="宋体" w:hAnsi="宋体" w:cs="宋体" w:eastAsia="宋体"/>
                <w:b w:val="false"/>
              </w:rPr>
              <w:t>55,174,002.09</w:t>
            </w:r>
          </w:p>
        </w:tc>
        <w:tc>
          <w:tcPr>
            <w:tcW/>
            <w:vAlign w:val="center"/>
          </w:tcPr>
          <w:p>
            <w:pPr>
              <w:spacing w:line="240" w:lineRule="auto"/>
              <w:jc w:val="right"/>
            </w:pPr>
            <w:r>
              <w:rPr>
                <w:rFonts w:ascii="宋体" w:hAnsi="宋体" w:cs="宋体" w:eastAsia="宋体"/>
                <w:b w:val="false"/>
              </w:rPr>
              <w:t>42.84</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55,174,002.09</w:t>
            </w:r>
          </w:p>
        </w:tc>
        <w:tc>
          <w:tcPr>
            <w:tcW/>
            <w:vAlign w:val="center"/>
          </w:tcPr>
          <w:p>
            <w:pPr>
              <w:spacing w:line="240" w:lineRule="auto"/>
              <w:jc w:val="right"/>
            </w:pPr>
            <w:r>
              <w:rPr>
                <w:rFonts w:ascii="宋体" w:hAnsi="宋体" w:cs="宋体" w:eastAsia="宋体"/>
                <w:b w:val="false"/>
              </w:rPr>
              <w:t>42.84</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06990</w:t>
            </w:r>
          </w:p>
        </w:tc>
        <w:tc>
          <w:tcPr>
            <w:tcW/>
            <w:vAlign w:val="center"/>
          </w:tcPr>
          <w:p>
            <w:pPr>
              <w:spacing w:line="240" w:lineRule="auto"/>
              <w:jc w:val="left"/>
            </w:pPr>
            <w:r>
              <w:rPr>
                <w:rFonts w:ascii="宋体" w:hAnsi="宋体" w:cs="宋体" w:eastAsia="宋体"/>
                <w:b w:val="false"/>
              </w:rPr>
              <w:t>科伦博泰生物－Ｂ</w:t>
            </w:r>
          </w:p>
        </w:tc>
        <w:tc>
          <w:tcPr>
            <w:tcW/>
            <w:vAlign w:val="center"/>
          </w:tcPr>
          <w:p>
            <w:pPr>
              <w:spacing w:line="240" w:lineRule="auto"/>
              <w:jc w:val="right"/>
            </w:pPr>
            <w:r>
              <w:rPr>
                <w:rFonts w:ascii="宋体" w:hAnsi="宋体" w:cs="宋体" w:eastAsia="宋体"/>
                <w:b w:val="false"/>
              </w:rPr>
              <w:t>31,600</w:t>
            </w:r>
          </w:p>
        </w:tc>
        <w:tc>
          <w:tcPr>
            <w:tcW/>
            <w:vAlign w:val="center"/>
          </w:tcPr>
          <w:p>
            <w:pPr>
              <w:spacing w:line="240" w:lineRule="auto"/>
              <w:jc w:val="right"/>
            </w:pPr>
            <w:r>
              <w:rPr>
                <w:rFonts w:ascii="宋体" w:hAnsi="宋体" w:cs="宋体" w:eastAsia="宋体"/>
                <w:b w:val="false"/>
              </w:rPr>
              <w:t>11,194,075.13</w:t>
            </w:r>
          </w:p>
        </w:tc>
        <w:tc>
          <w:tcPr>
            <w:tcW/>
            <w:vAlign w:val="center"/>
          </w:tcPr>
          <w:p>
            <w:pPr>
              <w:spacing w:line="240" w:lineRule="auto"/>
              <w:jc w:val="right"/>
            </w:pPr>
            <w:r>
              <w:rPr>
                <w:rFonts w:ascii="宋体" w:hAnsi="宋体" w:cs="宋体" w:eastAsia="宋体"/>
                <w:b w:val="false"/>
              </w:rPr>
              <w:t>8.69</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01801</w:t>
            </w:r>
          </w:p>
        </w:tc>
        <w:tc>
          <w:tcPr>
            <w:tcW/>
            <w:vAlign w:val="center"/>
          </w:tcPr>
          <w:p>
            <w:pPr>
              <w:spacing w:line="240" w:lineRule="auto"/>
              <w:jc w:val="left"/>
            </w:pPr>
            <w:r>
              <w:rPr>
                <w:rFonts w:ascii="宋体" w:hAnsi="宋体" w:cs="宋体" w:eastAsia="宋体"/>
                <w:b w:val="false"/>
              </w:rPr>
              <w:t>信达生物</w:t>
            </w:r>
          </w:p>
        </w:tc>
        <w:tc>
          <w:tcPr>
            <w:tcW/>
            <w:vAlign w:val="center"/>
          </w:tcPr>
          <w:p>
            <w:pPr>
              <w:spacing w:line="240" w:lineRule="auto"/>
              <w:jc w:val="right"/>
            </w:pPr>
            <w:r>
              <w:rPr>
                <w:rFonts w:ascii="宋体" w:hAnsi="宋体" w:cs="宋体" w:eastAsia="宋体"/>
                <w:b w:val="false"/>
              </w:rPr>
              <w:t>153,500</w:t>
            </w:r>
          </w:p>
        </w:tc>
        <w:tc>
          <w:tcPr>
            <w:tcW/>
            <w:vAlign w:val="center"/>
          </w:tcPr>
          <w:p>
            <w:pPr>
              <w:spacing w:line="240" w:lineRule="auto"/>
              <w:jc w:val="right"/>
            </w:pPr>
            <w:r>
              <w:rPr>
                <w:rFonts w:ascii="宋体" w:hAnsi="宋体" w:cs="宋体" w:eastAsia="宋体"/>
                <w:b w:val="false"/>
              </w:rPr>
              <w:t>10,571,625.59</w:t>
            </w:r>
          </w:p>
        </w:tc>
        <w:tc>
          <w:tcPr>
            <w:tcW/>
            <w:vAlign w:val="center"/>
          </w:tcPr>
          <w:p>
            <w:pPr>
              <w:spacing w:line="240" w:lineRule="auto"/>
              <w:jc w:val="right"/>
            </w:pPr>
            <w:r>
              <w:rPr>
                <w:rFonts w:ascii="宋体" w:hAnsi="宋体" w:cs="宋体" w:eastAsia="宋体"/>
                <w:b w:val="false"/>
              </w:rPr>
              <w:t>8.21</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01530</w:t>
            </w:r>
          </w:p>
        </w:tc>
        <w:tc>
          <w:tcPr>
            <w:tcW/>
            <w:vAlign w:val="center"/>
          </w:tcPr>
          <w:p>
            <w:pPr>
              <w:spacing w:line="240" w:lineRule="auto"/>
              <w:jc w:val="left"/>
            </w:pPr>
            <w:r>
              <w:rPr>
                <w:rFonts w:ascii="宋体" w:hAnsi="宋体" w:cs="宋体" w:eastAsia="宋体"/>
                <w:b w:val="false"/>
              </w:rPr>
              <w:t>三生制药</w:t>
            </w:r>
          </w:p>
        </w:tc>
        <w:tc>
          <w:tcPr>
            <w:tcW/>
            <w:vAlign w:val="center"/>
          </w:tcPr>
          <w:p>
            <w:pPr>
              <w:spacing w:line="240" w:lineRule="auto"/>
              <w:jc w:val="right"/>
            </w:pPr>
            <w:r>
              <w:rPr>
                <w:rFonts w:ascii="宋体" w:hAnsi="宋体" w:cs="宋体" w:eastAsia="宋体"/>
                <w:b w:val="false"/>
              </w:rPr>
              <w:t>446,000</w:t>
            </w:r>
          </w:p>
        </w:tc>
        <w:tc>
          <w:tcPr>
            <w:tcW/>
            <w:vAlign w:val="center"/>
          </w:tcPr>
          <w:p>
            <w:pPr>
              <w:spacing w:line="240" w:lineRule="auto"/>
              <w:jc w:val="right"/>
            </w:pPr>
            <w:r>
              <w:rPr>
                <w:rFonts w:ascii="宋体" w:hAnsi="宋体" w:cs="宋体" w:eastAsia="宋体"/>
                <w:b w:val="false"/>
              </w:rPr>
              <w:t>9,740,577.38</w:t>
            </w:r>
          </w:p>
        </w:tc>
        <w:tc>
          <w:tcPr>
            <w:tcW/>
            <w:vAlign w:val="center"/>
          </w:tcPr>
          <w:p>
            <w:pPr>
              <w:spacing w:line="240" w:lineRule="auto"/>
              <w:jc w:val="right"/>
            </w:pPr>
            <w:r>
              <w:rPr>
                <w:rFonts w:ascii="宋体" w:hAnsi="宋体" w:cs="宋体" w:eastAsia="宋体"/>
                <w:b w:val="false"/>
              </w:rPr>
              <w:t>7.56</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002294</w:t>
            </w:r>
          </w:p>
        </w:tc>
        <w:tc>
          <w:tcPr>
            <w:tcW/>
            <w:vAlign w:val="center"/>
          </w:tcPr>
          <w:p>
            <w:pPr>
              <w:spacing w:line="240" w:lineRule="auto"/>
              <w:jc w:val="left"/>
            </w:pPr>
            <w:r>
              <w:rPr>
                <w:rFonts w:ascii="宋体" w:hAnsi="宋体" w:cs="宋体" w:eastAsia="宋体"/>
                <w:b w:val="false"/>
              </w:rPr>
              <w:t>信立泰</w:t>
            </w:r>
          </w:p>
        </w:tc>
        <w:tc>
          <w:tcPr>
            <w:tcW/>
            <w:vAlign w:val="center"/>
          </w:tcPr>
          <w:p>
            <w:pPr>
              <w:spacing w:line="240" w:lineRule="auto"/>
              <w:jc w:val="right"/>
            </w:pPr>
            <w:r>
              <w:rPr>
                <w:rFonts w:ascii="宋体" w:hAnsi="宋体" w:cs="宋体" w:eastAsia="宋体"/>
                <w:b w:val="false"/>
              </w:rPr>
              <w:t>191,900</w:t>
            </w:r>
          </w:p>
        </w:tc>
        <w:tc>
          <w:tcPr>
            <w:tcW/>
            <w:vAlign w:val="center"/>
          </w:tcPr>
          <w:p>
            <w:pPr>
              <w:spacing w:line="240" w:lineRule="auto"/>
              <w:jc w:val="right"/>
            </w:pPr>
            <w:r>
              <w:rPr>
                <w:rFonts w:ascii="宋体" w:hAnsi="宋体" w:cs="宋体" w:eastAsia="宋体"/>
                <w:b w:val="false"/>
              </w:rPr>
              <w:t>9,508,645.00</w:t>
            </w:r>
          </w:p>
        </w:tc>
        <w:tc>
          <w:tcPr>
            <w:tcW/>
            <w:vAlign w:val="center"/>
          </w:tcPr>
          <w:p>
            <w:pPr>
              <w:spacing w:line="240" w:lineRule="auto"/>
              <w:jc w:val="right"/>
            </w:pPr>
            <w:r>
              <w:rPr>
                <w:rFonts w:ascii="宋体" w:hAnsi="宋体" w:cs="宋体" w:eastAsia="宋体"/>
                <w:b w:val="false"/>
              </w:rPr>
              <w:t>7.38</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09606</w:t>
            </w:r>
          </w:p>
        </w:tc>
        <w:tc>
          <w:tcPr>
            <w:tcW/>
            <w:vAlign w:val="center"/>
          </w:tcPr>
          <w:p>
            <w:pPr>
              <w:spacing w:line="240" w:lineRule="auto"/>
              <w:jc w:val="left"/>
            </w:pPr>
            <w:r>
              <w:rPr>
                <w:rFonts w:ascii="宋体" w:hAnsi="宋体" w:cs="宋体" w:eastAsia="宋体"/>
                <w:b w:val="false"/>
              </w:rPr>
              <w:t>映恩生物－Ｂ</w:t>
            </w:r>
          </w:p>
        </w:tc>
        <w:tc>
          <w:tcPr>
            <w:tcW/>
            <w:vAlign w:val="center"/>
          </w:tcPr>
          <w:p>
            <w:pPr>
              <w:spacing w:line="240" w:lineRule="auto"/>
              <w:jc w:val="right"/>
            </w:pPr>
            <w:r>
              <w:rPr>
                <w:rFonts w:ascii="宋体" w:hAnsi="宋体" w:cs="宋体" w:eastAsia="宋体"/>
                <w:b w:val="false"/>
              </w:rPr>
              <w:t>33,900</w:t>
            </w:r>
          </w:p>
        </w:tc>
        <w:tc>
          <w:tcPr>
            <w:tcW/>
            <w:vAlign w:val="center"/>
          </w:tcPr>
          <w:p>
            <w:pPr>
              <w:spacing w:line="240" w:lineRule="auto"/>
              <w:jc w:val="right"/>
            </w:pPr>
            <w:r>
              <w:rPr>
                <w:rFonts w:ascii="宋体" w:hAnsi="宋体" w:cs="宋体" w:eastAsia="宋体"/>
                <w:b w:val="false"/>
              </w:rPr>
              <w:t>9,130,632.92</w:t>
            </w:r>
          </w:p>
        </w:tc>
        <w:tc>
          <w:tcPr>
            <w:tcW/>
            <w:vAlign w:val="center"/>
          </w:tcPr>
          <w:p>
            <w:pPr>
              <w:spacing w:line="240" w:lineRule="auto"/>
              <w:jc w:val="right"/>
            </w:pPr>
            <w:r>
              <w:rPr>
                <w:rFonts w:ascii="宋体" w:hAnsi="宋体" w:cs="宋体" w:eastAsia="宋体"/>
                <w:b w:val="false"/>
              </w:rPr>
              <w:t>7.09</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09926</w:t>
            </w:r>
          </w:p>
        </w:tc>
        <w:tc>
          <w:tcPr>
            <w:tcW/>
            <w:vAlign w:val="center"/>
          </w:tcPr>
          <w:p>
            <w:pPr>
              <w:spacing w:line="240" w:lineRule="auto"/>
              <w:jc w:val="left"/>
            </w:pPr>
            <w:r>
              <w:rPr>
                <w:rFonts w:ascii="宋体" w:hAnsi="宋体" w:cs="宋体" w:eastAsia="宋体"/>
                <w:b w:val="false"/>
              </w:rPr>
              <w:t>康方生物</w:t>
            </w:r>
          </w:p>
        </w:tc>
        <w:tc>
          <w:tcPr>
            <w:tcW/>
            <w:vAlign w:val="center"/>
          </w:tcPr>
          <w:p>
            <w:pPr>
              <w:spacing w:line="240" w:lineRule="auto"/>
              <w:jc w:val="right"/>
            </w:pPr>
            <w:r>
              <w:rPr>
                <w:rFonts w:ascii="宋体" w:hAnsi="宋体" w:cs="宋体" w:eastAsia="宋体"/>
                <w:b w:val="false"/>
              </w:rPr>
              <w:t>88,000</w:t>
            </w:r>
          </w:p>
        </w:tc>
        <w:tc>
          <w:tcPr>
            <w:tcW/>
            <w:vAlign w:val="center"/>
          </w:tcPr>
          <w:p>
            <w:pPr>
              <w:spacing w:line="240" w:lineRule="auto"/>
              <w:jc w:val="right"/>
            </w:pPr>
            <w:r>
              <w:rPr>
                <w:rFonts w:ascii="宋体" w:hAnsi="宋体" w:cs="宋体" w:eastAsia="宋体"/>
                <w:b w:val="false"/>
              </w:rPr>
              <w:t>8,981,619.68</w:t>
            </w:r>
          </w:p>
        </w:tc>
        <w:tc>
          <w:tcPr>
            <w:tcW/>
            <w:vAlign w:val="center"/>
          </w:tcPr>
          <w:p>
            <w:pPr>
              <w:spacing w:line="240" w:lineRule="auto"/>
              <w:jc w:val="right"/>
            </w:pPr>
            <w:r>
              <w:rPr>
                <w:rFonts w:ascii="宋体" w:hAnsi="宋体" w:cs="宋体" w:eastAsia="宋体"/>
                <w:b w:val="false"/>
              </w:rPr>
              <w:t>6.97</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002653</w:t>
            </w:r>
          </w:p>
        </w:tc>
        <w:tc>
          <w:tcPr>
            <w:tcW/>
            <w:vAlign w:val="center"/>
          </w:tcPr>
          <w:p>
            <w:pPr>
              <w:spacing w:line="240" w:lineRule="auto"/>
              <w:jc w:val="left"/>
            </w:pPr>
            <w:r>
              <w:rPr>
                <w:rFonts w:ascii="宋体" w:hAnsi="宋体" w:cs="宋体" w:eastAsia="宋体"/>
                <w:b w:val="false"/>
              </w:rPr>
              <w:t>海思科</w:t>
            </w:r>
          </w:p>
        </w:tc>
        <w:tc>
          <w:tcPr>
            <w:tcW/>
            <w:vAlign w:val="center"/>
          </w:tcPr>
          <w:p>
            <w:pPr>
              <w:spacing w:line="240" w:lineRule="auto"/>
              <w:jc w:val="right"/>
            </w:pPr>
            <w:r>
              <w:rPr>
                <w:rFonts w:ascii="宋体" w:hAnsi="宋体" w:cs="宋体" w:eastAsia="宋体"/>
                <w:b w:val="false"/>
              </w:rPr>
              <w:t>147,400</w:t>
            </w:r>
          </w:p>
        </w:tc>
        <w:tc>
          <w:tcPr>
            <w:tcW/>
            <w:vAlign w:val="center"/>
          </w:tcPr>
          <w:p>
            <w:pPr>
              <w:spacing w:line="240" w:lineRule="auto"/>
              <w:jc w:val="right"/>
            </w:pPr>
            <w:r>
              <w:rPr>
                <w:rFonts w:ascii="宋体" w:hAnsi="宋体" w:cs="宋体" w:eastAsia="宋体"/>
                <w:b w:val="false"/>
              </w:rPr>
              <w:t>7,564,568.00</w:t>
            </w:r>
          </w:p>
        </w:tc>
        <w:tc>
          <w:tcPr>
            <w:tcW/>
            <w:vAlign w:val="center"/>
          </w:tcPr>
          <w:p>
            <w:pPr>
              <w:spacing w:line="240" w:lineRule="auto"/>
              <w:jc w:val="right"/>
            </w:pPr>
            <w:r>
              <w:rPr>
                <w:rFonts w:ascii="宋体" w:hAnsi="宋体" w:cs="宋体" w:eastAsia="宋体"/>
                <w:b w:val="false"/>
              </w:rPr>
              <w:t>5.87</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688382</w:t>
            </w:r>
          </w:p>
        </w:tc>
        <w:tc>
          <w:tcPr>
            <w:tcW/>
            <w:vAlign w:val="center"/>
          </w:tcPr>
          <w:p>
            <w:pPr>
              <w:spacing w:line="240" w:lineRule="auto"/>
              <w:jc w:val="left"/>
            </w:pPr>
            <w:r>
              <w:rPr>
                <w:rFonts w:ascii="宋体" w:hAnsi="宋体" w:cs="宋体" w:eastAsia="宋体"/>
                <w:b w:val="false"/>
              </w:rPr>
              <w:t>益方生物</w:t>
            </w:r>
          </w:p>
        </w:tc>
        <w:tc>
          <w:tcPr>
            <w:tcW/>
            <w:vAlign w:val="center"/>
          </w:tcPr>
          <w:p>
            <w:pPr>
              <w:spacing w:line="240" w:lineRule="auto"/>
              <w:jc w:val="right"/>
            </w:pPr>
            <w:r>
              <w:rPr>
                <w:rFonts w:ascii="宋体" w:hAnsi="宋体" w:cs="宋体" w:eastAsia="宋体"/>
                <w:b w:val="false"/>
              </w:rPr>
              <w:t>271,639</w:t>
            </w:r>
          </w:p>
        </w:tc>
        <w:tc>
          <w:tcPr>
            <w:tcW/>
            <w:vAlign w:val="center"/>
          </w:tcPr>
          <w:p>
            <w:pPr>
              <w:spacing w:line="240" w:lineRule="auto"/>
              <w:jc w:val="right"/>
            </w:pPr>
            <w:r>
              <w:rPr>
                <w:rFonts w:ascii="宋体" w:hAnsi="宋体" w:cs="宋体" w:eastAsia="宋体"/>
                <w:b w:val="false"/>
              </w:rPr>
              <w:t>7,399,446.36</w:t>
            </w:r>
          </w:p>
        </w:tc>
        <w:tc>
          <w:tcPr>
            <w:tcW/>
            <w:vAlign w:val="center"/>
          </w:tcPr>
          <w:p>
            <w:pPr>
              <w:spacing w:line="240" w:lineRule="auto"/>
              <w:jc w:val="right"/>
            </w:pPr>
            <w:r>
              <w:rPr>
                <w:rFonts w:ascii="宋体" w:hAnsi="宋体" w:cs="宋体" w:eastAsia="宋体"/>
                <w:b w:val="false"/>
              </w:rPr>
              <w:t>5.75</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688506</w:t>
            </w:r>
          </w:p>
        </w:tc>
        <w:tc>
          <w:tcPr>
            <w:tcW/>
            <w:vAlign w:val="center"/>
          </w:tcPr>
          <w:p>
            <w:pPr>
              <w:spacing w:line="240" w:lineRule="auto"/>
              <w:jc w:val="left"/>
            </w:pPr>
            <w:r>
              <w:rPr>
                <w:rFonts w:ascii="宋体" w:hAnsi="宋体" w:cs="宋体" w:eastAsia="宋体"/>
                <w:b w:val="false"/>
              </w:rPr>
              <w:t>百利天恒</w:t>
            </w:r>
          </w:p>
        </w:tc>
        <w:tc>
          <w:tcPr>
            <w:tcW/>
            <w:vAlign w:val="center"/>
          </w:tcPr>
          <w:p>
            <w:pPr>
              <w:spacing w:line="240" w:lineRule="auto"/>
              <w:jc w:val="right"/>
            </w:pPr>
            <w:r>
              <w:rPr>
                <w:rFonts w:ascii="宋体" w:hAnsi="宋体" w:cs="宋体" w:eastAsia="宋体"/>
                <w:b w:val="false"/>
              </w:rPr>
              <w:t>22,697</w:t>
            </w:r>
          </w:p>
        </w:tc>
        <w:tc>
          <w:tcPr>
            <w:tcW/>
            <w:vAlign w:val="center"/>
          </w:tcPr>
          <w:p>
            <w:pPr>
              <w:spacing w:line="240" w:lineRule="auto"/>
              <w:jc w:val="right"/>
            </w:pPr>
            <w:r>
              <w:rPr>
                <w:rFonts w:ascii="宋体" w:hAnsi="宋体" w:cs="宋体" w:eastAsia="宋体"/>
                <w:b w:val="false"/>
              </w:rPr>
              <w:t>7,333,400.70</w:t>
            </w:r>
          </w:p>
        </w:tc>
        <w:tc>
          <w:tcPr>
            <w:tcW/>
            <w:vAlign w:val="center"/>
          </w:tcPr>
          <w:p>
            <w:pPr>
              <w:spacing w:line="240" w:lineRule="auto"/>
              <w:jc w:val="right"/>
            </w:pPr>
            <w:r>
              <w:rPr>
                <w:rFonts w:ascii="宋体" w:hAnsi="宋体" w:cs="宋体" w:eastAsia="宋体"/>
                <w:b w:val="false"/>
              </w:rPr>
              <w:t>5.69</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688513</w:t>
            </w:r>
          </w:p>
        </w:tc>
        <w:tc>
          <w:tcPr>
            <w:tcW/>
            <w:vAlign w:val="center"/>
          </w:tcPr>
          <w:p>
            <w:pPr>
              <w:spacing w:line="240" w:lineRule="auto"/>
              <w:jc w:val="left"/>
            </w:pPr>
            <w:r>
              <w:rPr>
                <w:rFonts w:ascii="宋体" w:hAnsi="宋体" w:cs="宋体" w:eastAsia="宋体"/>
                <w:b w:val="false"/>
              </w:rPr>
              <w:t>苑东生物</w:t>
            </w:r>
          </w:p>
        </w:tc>
        <w:tc>
          <w:tcPr>
            <w:tcW/>
            <w:vAlign w:val="center"/>
          </w:tcPr>
          <w:p>
            <w:pPr>
              <w:spacing w:line="240" w:lineRule="auto"/>
              <w:jc w:val="right"/>
            </w:pPr>
            <w:r>
              <w:rPr>
                <w:rFonts w:ascii="宋体" w:hAnsi="宋体" w:cs="宋体" w:eastAsia="宋体"/>
                <w:b w:val="false"/>
              </w:rPr>
              <w:t>108,597</w:t>
            </w:r>
          </w:p>
        </w:tc>
        <w:tc>
          <w:tcPr>
            <w:tcW/>
            <w:vAlign w:val="center"/>
          </w:tcPr>
          <w:p>
            <w:pPr>
              <w:spacing w:line="240" w:lineRule="auto"/>
              <w:jc w:val="right"/>
            </w:pPr>
            <w:r>
              <w:rPr>
                <w:rFonts w:ascii="宋体" w:hAnsi="宋体" w:cs="宋体" w:eastAsia="宋体"/>
                <w:b w:val="false"/>
              </w:rPr>
              <w:t>6,684,145.35</w:t>
            </w:r>
          </w:p>
        </w:tc>
        <w:tc>
          <w:tcPr>
            <w:tcW/>
            <w:vAlign w:val="center"/>
          </w:tcPr>
          <w:p>
            <w:pPr>
              <w:spacing w:line="240" w:lineRule="auto"/>
              <w:jc w:val="right"/>
            </w:pPr>
            <w:r>
              <w:rPr>
                <w:rFonts w:ascii="宋体" w:hAnsi="宋体" w:cs="宋体" w:eastAsia="宋体"/>
                <w:b w:val="false"/>
              </w:rPr>
              <w:t>5.19</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7,777,742.58</w:t>
            </w:r>
          </w:p>
        </w:tc>
        <w:tc>
          <w:tcPr>
            <w:tcW/>
            <w:vAlign w:val="center"/>
          </w:tcPr>
          <w:p>
            <w:pPr>
              <w:spacing w:line="240" w:lineRule="auto"/>
              <w:jc w:val="right"/>
            </w:pPr>
            <w:r>
              <w:rPr>
                <w:rFonts w:ascii="宋体" w:hAnsi="宋体" w:cs="宋体" w:eastAsia="宋体"/>
                <w:b w:val="false"/>
              </w:rPr>
              <w:t>6.04</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7,777,742.58</w:t>
            </w:r>
          </w:p>
        </w:tc>
        <w:tc>
          <w:tcPr>
            <w:tcW/>
            <w:vAlign w:val="center"/>
          </w:tcPr>
          <w:p>
            <w:pPr>
              <w:spacing w:line="240" w:lineRule="auto"/>
              <w:jc w:val="right"/>
            </w:pPr>
            <w:r>
              <w:rPr>
                <w:rFonts w:ascii="宋体" w:hAnsi="宋体" w:cs="宋体" w:eastAsia="宋体"/>
                <w:b w:val="false"/>
              </w:rPr>
              <w:t>6.04</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019773</w:t>
            </w:r>
          </w:p>
        </w:tc>
        <w:tc>
          <w:tcPr>
            <w:tcW/>
            <w:vAlign w:val="center"/>
          </w:tcPr>
          <w:p>
            <w:pPr>
              <w:spacing w:line="240" w:lineRule="auto"/>
              <w:jc w:val="left"/>
            </w:pPr>
            <w:r>
              <w:rPr>
                <w:rFonts w:ascii="宋体" w:hAnsi="宋体" w:cs="宋体" w:eastAsia="宋体"/>
                <w:b w:val="false"/>
              </w:rPr>
              <w:t>25国债08</w:t>
            </w:r>
          </w:p>
        </w:tc>
        <w:tc>
          <w:tcPr>
            <w:tcW/>
            <w:vAlign w:val="center"/>
          </w:tcPr>
          <w:p>
            <w:pPr>
              <w:spacing w:line="240" w:lineRule="auto"/>
              <w:jc w:val="right"/>
            </w:pPr>
            <w:r>
              <w:rPr>
                <w:rFonts w:ascii="宋体" w:hAnsi="宋体" w:cs="宋体" w:eastAsia="宋体"/>
                <w:b w:val="false"/>
              </w:rPr>
              <w:t>77,000</w:t>
            </w:r>
          </w:p>
        </w:tc>
        <w:tc>
          <w:tcPr>
            <w:tcW/>
            <w:vAlign w:val="center"/>
          </w:tcPr>
          <w:p>
            <w:pPr>
              <w:spacing w:line="240" w:lineRule="auto"/>
              <w:jc w:val="right"/>
            </w:pPr>
            <w:r>
              <w:rPr>
                <w:rFonts w:ascii="宋体" w:hAnsi="宋体" w:cs="宋体" w:eastAsia="宋体"/>
                <w:b w:val="false"/>
              </w:rPr>
              <w:t>7,777,742.58</w:t>
            </w:r>
          </w:p>
        </w:tc>
        <w:tc>
          <w:tcPr>
            <w:tcW/>
            <w:vAlign w:val="center"/>
          </w:tcPr>
          <w:p>
            <w:pPr>
              <w:spacing w:line="240" w:lineRule="auto"/>
              <w:jc w:val="right"/>
            </w:pPr>
            <w:r>
              <w:rPr>
                <w:rFonts w:ascii="宋体" w:hAnsi="宋体" w:cs="宋体" w:eastAsia="宋体"/>
                <w:b w:val="false"/>
              </w:rPr>
              <w:t>6.04</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796,712.15</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724,393.03</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1,521,105.18</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东方阿尔法医疗健康混合发起A</w:t>
            </w:r>
          </w:p>
        </w:tc>
        <w:tc>
          <w:tcPr>
            <w:tcW w:type="pct" w:w="1300"/>
            <w:vAlign w:val="center"/>
          </w:tcPr>
          <w:p>
            <w:pPr>
              <w:spacing w:line="240" w:lineRule="auto"/>
              <w:jc w:val="center"/>
            </w:pPr>
            <w:r>
              <w:rPr>
                <w:rFonts w:ascii="宋体" w:hAnsi="宋体" w:cs="宋体" w:eastAsia="宋体"/>
                <w:b w:val="false"/>
              </w:rPr>
              <w:t>东方阿尔法医疗健康混合发起C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60,702,901.12</w:t>
            </w:r>
          </w:p>
        </w:tc>
        <w:tc>
          <w:tcPr>
            <w:tcW w:type="pct" w:w="1300"/>
            <w:vAlign w:val="center"/>
          </w:tcPr>
          <w:p>
            <w:pPr>
              <w:spacing w:line="240" w:lineRule="auto"/>
              <w:jc w:val="right"/>
            </w:pPr>
            <w:r>
              <w:rPr>
                <w:rFonts w:ascii="宋体" w:hAnsi="宋体" w:cs="宋体" w:eastAsia="宋体"/>
                <w:b w:val="false"/>
              </w:rPr>
              <w:t>70,644,413.85</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5,668,449.64</w:t>
            </w:r>
          </w:p>
        </w:tc>
        <w:tc>
          <w:tcPr>
            <w:tcW w:type="pct" w:w="1300"/>
            <w:vAlign w:val="center"/>
          </w:tcPr>
          <w:p>
            <w:pPr>
              <w:spacing w:line="240" w:lineRule="auto"/>
              <w:jc w:val="right"/>
            </w:pPr>
            <w:r>
              <w:rPr>
                <w:rFonts w:ascii="宋体" w:hAnsi="宋体" w:cs="宋体" w:eastAsia="宋体"/>
                <w:b w:val="false"/>
              </w:rPr>
              <w:t>35,615,561.84</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23,577,244.96</w:t>
            </w:r>
          </w:p>
        </w:tc>
        <w:tc>
          <w:tcPr>
            <w:tcW w:type="pct" w:w="1300"/>
            <w:vAlign w:val="center"/>
          </w:tcPr>
          <w:p>
            <w:pPr>
              <w:spacing w:line="240" w:lineRule="auto"/>
              <w:jc w:val="right"/>
            </w:pPr>
            <w:r>
              <w:rPr>
                <w:rFonts w:ascii="宋体" w:hAnsi="宋体" w:cs="宋体" w:eastAsia="宋体"/>
                <w:b w:val="false"/>
              </w:rPr>
              <w:t>29,995,277.59</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42,794,105.80</w:t>
            </w:r>
          </w:p>
        </w:tc>
        <w:tc>
          <w:tcPr>
            <w:tcW w:type="pct" w:w="1300"/>
            <w:vAlign w:val="center"/>
          </w:tcPr>
          <w:p>
            <w:pPr>
              <w:spacing w:line="240" w:lineRule="auto"/>
              <w:jc w:val="right"/>
            </w:pPr>
            <w:r>
              <w:rPr>
                <w:rFonts w:ascii="宋体" w:hAnsi="宋体" w:cs="宋体" w:eastAsia="宋体"/>
                <w:b w:val="false"/>
              </w:rPr>
              <w:t>76,264,698.10</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3077"/>
            <w:vAlign w:val="center"/>
          </w:tcPr>
          <w:p>
            <w:pPr>
              <w:spacing w:line="240" w:lineRule="auto"/>
              <w:jc w:val="center"/>
            </w:pPr>
          </w:p>
        </w:tc>
        <w:tc>
          <w:tcPr>
            <w:tcW w:type="pct" w:w="950"/>
            <w:vAlign w:val="center"/>
          </w:tcPr>
          <w:p>
            <w:pPr>
              <w:spacing w:line="240" w:lineRule="auto"/>
              <w:jc w:val="center"/>
            </w:pPr>
            <w:r>
              <w:rPr>
                <w:rFonts w:ascii="宋体" w:hAnsi="宋体" w:cs="宋体" w:eastAsia="宋体"/>
                <w:b w:val="false"/>
              </w:rPr>
              <w:t>东方阿尔法医疗健康混合发起A</w:t>
            </w:r>
          </w:p>
        </w:tc>
        <w:tc>
          <w:tcPr>
            <w:tcW w:type="pct" w:w="950"/>
            <w:vAlign w:val="center"/>
          </w:tcPr>
          <w:p>
            <w:pPr>
              <w:spacing w:line="240" w:lineRule="auto"/>
              <w:jc w:val="center"/>
            </w:pPr>
            <w:r>
              <w:rPr>
                <w:rFonts w:ascii="宋体" w:hAnsi="宋体" w:cs="宋体" w:eastAsia="宋体"/>
                <w:b w:val="false"/>
              </w:rPr>
              <w:t>东方阿尔法医疗健康混合发起C</w:t>
            </w:r>
          </w:p>
        </w:tc>
      </w:tr>
      <w:tr>
        <w:tc>
          <w:tcPr>
            <w:tcW w:type="pct" w:w="3077"/>
            <w:vAlign w:val="center"/>
          </w:tcPr>
          <w:p>
            <w:pPr>
              <w:spacing w:line="240" w:lineRule="auto"/>
              <w:jc w:val="left"/>
            </w:pPr>
            <w:r>
              <w:rPr>
                <w:rFonts w:ascii="宋体" w:hAnsi="宋体" w:cs="宋体" w:eastAsia="宋体"/>
                <w:b w:val="false"/>
              </w:rPr>
              <w:t>报告期期初管理人持有的本基金份额</w:t>
            </w:r>
          </w:p>
        </w:tc>
        <w:tc>
          <w:tcPr>
            <w:tcW w:type="pct" w:w="950"/>
            <w:vAlign w:val="center"/>
          </w:tcPr>
          <w:p>
            <w:pPr>
              <w:spacing w:line="240" w:lineRule="auto"/>
              <w:jc w:val="right"/>
            </w:pPr>
            <w:r>
              <w:rPr>
                <w:rFonts w:ascii="宋体" w:hAnsi="宋体" w:cs="宋体" w:eastAsia="宋体"/>
                <w:b w:val="false"/>
              </w:rPr>
              <w:t>387,295.34</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报告期期间买入/申购总份额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报告期期间卖出/赎回总份额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报告期期末管理人持有的本基金份额</w:t>
            </w:r>
          </w:p>
        </w:tc>
        <w:tc>
          <w:tcPr>
            <w:tcW w:type="pct" w:w="950"/>
            <w:vAlign w:val="center"/>
          </w:tcPr>
          <w:p>
            <w:pPr>
              <w:spacing w:line="240" w:lineRule="auto"/>
              <w:jc w:val="right"/>
            </w:pPr>
            <w:r>
              <w:rPr>
                <w:rFonts w:ascii="宋体" w:hAnsi="宋体" w:cs="宋体" w:eastAsia="宋体"/>
                <w:b w:val="false"/>
              </w:rPr>
              <w:t>387,295.34</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报告期期末持有的本基金份额占基金总份额比例（%）</w:t>
            </w:r>
          </w:p>
        </w:tc>
        <w:tc>
          <w:tcPr>
            <w:tcW w:type="pct" w:w="950"/>
            <w:vAlign w:val="center"/>
          </w:tcPr>
          <w:p>
            <w:pPr>
              <w:spacing w:line="240" w:lineRule="auto"/>
              <w:jc w:val="right"/>
            </w:pPr>
            <w:r>
              <w:rPr>
                <w:rFonts w:ascii="宋体" w:hAnsi="宋体" w:cs="宋体" w:eastAsia="宋体"/>
                <w:b w:val="false"/>
              </w:rPr>
              <w:t>0.33</w:t>
            </w:r>
          </w:p>
        </w:tc>
        <w:tc>
          <w:tcPr>
            <w:tcW w:type="pct" w:w="950"/>
            <w:vAlign w:val="center"/>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2022年03月30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1、中国证券监督管理委员会批准的东方阿尔法医疗健康混合型发起式证券投资基金设立的文件；</w:t>
        <w:cr/>
      </w:r>
      <w:r>
        <w:rPr>
          <w:rFonts w:ascii="宋体" w:hAnsi="宋体" w:cs="宋体" w:eastAsia="宋体"/>
          <w:b w:val="false"/>
        </w:rPr>
        <w:t xml:space="preserve">    2、《东方阿尔法医疗健康混合型发起式证券投资基金基金合同》；</w:t>
        <w:cr/>
      </w:r>
      <w:r>
        <w:rPr>
          <w:rFonts w:ascii="宋体" w:hAnsi="宋体" w:cs="宋体" w:eastAsia="宋体"/>
          <w:b w:val="false"/>
        </w:rPr>
        <w:t xml:space="preserve">    3、《东方阿尔法医疗健康混合型发起式证券投资基金托管协议》；</w:t>
        <w:cr/>
      </w:r>
      <w:r>
        <w:rPr>
          <w:rFonts w:ascii="宋体" w:hAnsi="宋体" w:cs="宋体" w:eastAsia="宋体"/>
          <w:b w:val="false"/>
        </w:rPr>
        <w:t xml:space="preserve">    4、《东方阿尔法医疗健康混合型发起式证券投资基金招募说明书》（含更新）；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二〇二六年一月二十二日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东方阿尔法医疗健康混合型发起式证券投资基金2025年第4季度报告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