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CD91" w14:textId="77777777" w:rsidR="00033BEA" w:rsidRDefault="00033BEA" w:rsidP="00A76644">
      <w:pPr>
        <w:pStyle w:val="TOC1"/>
        <w:tabs>
          <w:tab w:val="right" w:leader="dot" w:pos="9080"/>
        </w:tabs>
        <w:spacing w:before="72" w:after="120"/>
        <w:jc w:val="center"/>
        <w:rPr>
          <w:rFonts w:ascii="宋体" w:hAnsi="宋体"/>
          <w:b/>
          <w:bCs/>
          <w:sz w:val="24"/>
        </w:rPr>
      </w:pPr>
    </w:p>
    <w:p w14:paraId="52A90100" w14:textId="77777777" w:rsidR="00033BEA" w:rsidRDefault="00033BEA" w:rsidP="00A76644">
      <w:pPr>
        <w:pStyle w:val="TOC1"/>
        <w:tabs>
          <w:tab w:val="right" w:leader="dot" w:pos="9080"/>
        </w:tabs>
        <w:spacing w:before="72" w:after="120"/>
        <w:jc w:val="center"/>
        <w:rPr>
          <w:rFonts w:ascii="宋体" w:hAnsi="宋体"/>
          <w:b/>
          <w:bCs/>
          <w:sz w:val="24"/>
        </w:rPr>
      </w:pPr>
    </w:p>
    <w:p w14:paraId="38984839"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东方阿尔法招阳混合型证券投资基金</w:t>
      </w:r>
      <w:proofErr w:type="spellStart"/>
      <w:proofErr w:type="spellEnd"/>
    </w:p>
    <w:p w14:paraId="451789C6"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2025年第4季度报告</w:t>
      </w:r>
      <w:proofErr w:type="spellStart"/>
      <w:proofErr w:type="spellEnd"/>
    </w:p>
    <w:p w14:paraId="330D4D51" w14:textId="77777777" w:rsidR="00695511" w:rsidRPr="00A76644" w:rsidRDefault="00315609" w:rsidP="00421707">
      <w:pPr>
        <w:pStyle w:val="TOC1"/>
        <w:tabs>
          <w:tab w:val="right" w:leader="dot" w:pos="9080"/>
        </w:tabs>
        <w:spacing w:line="480" w:lineRule="auto"/>
        <w:jc w:val="center"/>
        <w:rPr>
          <w:rFonts w:ascii="宋体" w:eastAsia="宋体" w:hAnsi="宋体" w:cs="宋体"/>
          <w:b/>
          <w:bCs/>
          <w:sz w:val="24"/>
        </w:rPr>
      </w:pPr>
      <w:r>
        <w:rPr>
          <w:rFonts w:ascii="宋体" w:eastAsia="宋体" w:hAnsi="宋体" w:cs="宋体" w:hint="eastAsia"/>
          <w:b/>
          <w:bCs/>
          <w:sz w:val="24"/>
        </w:rPr>
        <w:t>2025年12月31日</w:t>
      </w:r>
      <w:proofErr w:type="spellStart"/>
      <w:proofErr w:type="spellEnd"/>
    </w:p>
    <w:p w14:paraId="205BF4D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2CCC2D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45B4059"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C03714"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80DD33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56C070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C562D33"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110C3F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3A845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EF2E9F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807BBEC"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BC10FD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88AAE4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4C086D"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7EEBE70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0B08E8"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基金管理人:</w:t>
      </w:r>
      <w:proofErr w:type="spellStart"/>
      <w:proofErr w:type="spellEnd"/>
      <w:r>
        <w:rPr>
          <w:rFonts w:ascii="宋体" w:hAnsi="宋体" w:cs="宋体" w:eastAsia="宋体"/>
          <w:b w:val="true"/>
          <w:color w:val=""/>
          <w:sz w:val="24"/>
          <w:u w:val="none"/>
        </w:rPr>
        <w:t>东方阿尔法基金管理有限公司</w:t>
      </w:r>
    </w:p>
    <w:p w14:paraId="31616E72"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基金托管人:</w:t>
      </w:r>
      <w:proofErr w:type="spellStart"/>
      <w:proofErr w:type="spellEnd"/>
      <w:r>
        <w:rPr>
          <w:rFonts w:ascii="宋体" w:hAnsi="宋体" w:cs="宋体" w:eastAsia="宋体"/>
          <w:b w:val="true"/>
          <w:color w:val=""/>
          <w:sz w:val="24"/>
          <w:u w:val="none"/>
        </w:rPr>
        <w:t>招商银行股份有限公司</w:t>
      </w:r>
    </w:p>
    <w:p w14:paraId="01D6CDCE"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报告送出日期:</w:t>
      </w:r>
      <w:proofErr w:type="spellStart"/>
      <w:proofErr w:type="spellEnd"/>
      <w:r>
        <w:rPr>
          <w:rFonts w:ascii="宋体" w:hAnsi="宋体" w:cs="宋体" w:eastAsia="宋体"/>
          <w:b w:val="true"/>
          <w:color w:val=""/>
          <w:sz w:val="24"/>
          <w:u w:val="none"/>
        </w:rPr>
        <w:t>2026年01月22日</w:t>
      </w:r>
    </w:p>
    <w:p w14:paraId="28A208C4" w14:textId="77777777" w:rsidR="00396EB6" w:rsidRDefault="00315609" w:rsidP="00A76644">
      <w:pPr>
        <w:jc w:val="center"/>
      </w:pPr>
      <w:r>
        <w:br w:type="page"/>
      </w:r>
    </w:p>
    <w:p w14:paraId="6B371222" w14:textId="77777777" w:rsidR="00C370BD" w:rsidRPr="00C370BD" w:rsidRDefault="00C370BD" w:rsidP="00801225">
      <w:pPr>
        <w:pStyle w:val="1"/>
        <w:spacing w:line="576" w:lineRule="auto"/>
        <w:jc w:val="center"/>
        <w:rPr>
          <w:rFonts w:ascii="宋体" w:eastAsia="宋体" w:hAnsi="宋体"/>
          <w:sz w:val="24"/>
          <w:szCs w:val="24"/>
        </w:rPr>
      </w:pPr>
      <w:bookmarkStart w:id="0" w:name="_Toc73379713"/>
      <w:r w:rsidRPr="00C370BD">
        <w:rPr>
          <w:rFonts w:ascii="宋体" w:eastAsia="宋体" w:hAnsi="宋体" w:hint="eastAsia"/>
          <w:bCs w:val="0"/>
          <w:sz w:val="24"/>
          <w:szCs w:val="24"/>
        </w:rPr>
        <w:lastRenderedPageBreak/>
        <w:t>§1 重要提示</w:t>
      </w:r>
      <w:bookmarkEnd w:id="0"/>
    </w:p>
    <w:p w14:paraId="7F352D6E" w14:textId="35951F40" w:rsidR="00F07C93" w:rsidRDefault="00F07C93" w:rsidP="00E67AEA">
      <w:pPr>
        <w:widowControl/>
        <w:rPr>
          <w:rFonts w:ascii="宋体" w:eastAsia="宋体" w:hAnsi="宋体"/>
        </w:rPr>
      </w:pPr>
      <w:r>
        <w:t xml:space="preserve">    基金管理人的董事会及董事保证本报告所载资料不存在虚假记载、误导性陈述或重大遗漏，并对其内容的真实性、准确性和完整性承担个别及连带责任。</w:t>
        <w:cr/>
        <w:t xml:space="preserve">    基金托管人招商银行股份有限公司根据本基金合同规定，于2026年01月21日复核了本报告中的财务指标、净值表现和投资组合报告等内容，保证复核内容不存在虚假记载、误导性陈述或者重大遗漏。</w:t>
        <w:cr/>
        <w:t xml:space="preserve">    基金管理人承诺以诚实信用、勤勉尽责的原则管理和运用基金资产，但不保证基金一定盈利。</w:t>
        <w:cr/>
        <w:t xml:space="preserve">    基金的过往业绩并不代表其未来表现。投资有风险，投资者在做出投资决策前应仔细阅读本基金的招募说明书。</w:t>
        <w:cr/>
        <w:t xml:space="preserve">    本报告中财务资料未经审计。</w:t>
        <w:cr/>
        <w:t xml:space="preserve">    本报告期自2025年10月01日起至2025年12月31日止。</w:t>
      </w:r>
      <w:proofErr w:type="spellStart"/>
      <w:proofErr w:type="spellEnd"/>
    </w:p>
    <w:p/>
    <w:p>
      <w:pPr>
        <w:pStyle w:val="1"/>
        <w:jc w:val="center"/>
      </w:pPr>
      <w:r>
        <w:rPr>
          <w:rFonts w:ascii="宋体" w:hAnsi="宋体" w:cs="宋体" w:eastAsia="宋体"/>
        </w:rPr>
        <w:t>§2 基金产品概况</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1923"/>
            <w:vAlign w:val="center"/>
          </w:tcPr>
          <w:p>
            <w:pPr>
              <w:spacing w:line="240" w:lineRule="auto"/>
              <w:jc w:val="left"/>
            </w:pPr>
            <w:r>
              <w:rPr>
                <w:rFonts w:ascii="宋体" w:hAnsi="宋体" w:cs="宋体" w:eastAsia="宋体"/>
                <w:b w:val="false"/>
              </w:rPr>
              <w:t>基金简称</w:t>
            </w:r>
          </w:p>
        </w:tc>
        <w:tc>
          <w:tcPr>
            <w:tcW w:type="pct" w:w="3077"/>
            <w:hMerge w:val="restart"/>
            <w:vAlign w:val="center"/>
          </w:tcPr>
          <w:p>
            <w:pPr>
              <w:spacing w:line="240" w:lineRule="auto"/>
              <w:jc w:val="left"/>
            </w:pPr>
            <w:r>
              <w:rPr>
                <w:rFonts w:ascii="宋体" w:hAnsi="宋体" w:cs="宋体" w:eastAsia="宋体"/>
                <w:b w:val="false"/>
              </w:rPr>
              <w:t>东方阿尔法招阳混合</w:t>
            </w:r>
          </w:p>
        </w:tc>
        <w:tc>
          <w:tcPr>
            <w:hMerge w:val="continue"/>
          </w:tcPr>
          <w:p/>
        </w:tc>
        <w:tc>
          <w:tcPr>
            <w:hMerge w:val="continue"/>
          </w:tcPr>
          <w:p/>
        </w:tc>
      </w:tr>
      <w:tr>
        <w:tc>
          <w:tcPr>
            <w:tcW w:type="pct" w:w="1923"/>
            <w:vAlign w:val="center"/>
          </w:tcPr>
          <w:p>
            <w:pPr>
              <w:spacing w:line="240" w:lineRule="auto"/>
              <w:jc w:val="left"/>
            </w:pPr>
            <w:r>
              <w:rPr>
                <w:rFonts w:ascii="宋体" w:hAnsi="宋体" w:cs="宋体" w:eastAsia="宋体"/>
                <w:b w:val="false"/>
              </w:rPr>
              <w:t>基金主代码</w:t>
            </w:r>
          </w:p>
        </w:tc>
        <w:tc>
          <w:tcPr>
            <w:tcW/>
            <w:hMerge w:val="restart"/>
            <w:vAlign w:val="center"/>
          </w:tcPr>
          <w:p>
            <w:pPr>
              <w:spacing w:line="240" w:lineRule="auto"/>
              <w:jc w:val="left"/>
            </w:pPr>
            <w:r>
              <w:rPr>
                <w:rFonts w:ascii="宋体" w:hAnsi="宋体" w:cs="宋体" w:eastAsia="宋体"/>
                <w:b w:val="false"/>
              </w:rPr>
              <w:t>011184</w:t>
            </w:r>
          </w:p>
        </w:tc>
        <w:tc>
          <w:tcPr>
            <w:hMerge w:val="continue"/>
          </w:tcPr>
          <w:p/>
        </w:tc>
        <w:tc>
          <w:tcPr>
            <w:hMerge w:val="continue"/>
          </w:tcPr>
          <w:p/>
        </w:tc>
      </w:tr>
      <w:tr>
        <w:tc>
          <w:tcPr>
            <w:tcW w:type="pct" w:w="1923"/>
            <w:vAlign w:val="center"/>
          </w:tcPr>
          <w:p>
            <w:pPr>
              <w:spacing w:line="240" w:lineRule="auto"/>
              <w:jc w:val="left"/>
            </w:pPr>
            <w:r>
              <w:rPr>
                <w:rFonts w:ascii="宋体" w:hAnsi="宋体" w:cs="宋体" w:eastAsia="宋体"/>
                <w:b w:val="false"/>
              </w:rPr>
              <w:t>基金运作方式</w:t>
            </w:r>
          </w:p>
        </w:tc>
        <w:tc>
          <w:tcPr>
            <w:tcW/>
            <w:hMerge w:val="restart"/>
            <w:vAlign w:val="center"/>
          </w:tcPr>
          <w:p>
            <w:pPr>
              <w:spacing w:line="240" w:lineRule="auto"/>
              <w:jc w:val="left"/>
            </w:pPr>
            <w:r>
              <w:rPr>
                <w:rFonts w:ascii="宋体" w:hAnsi="宋体" w:cs="宋体" w:eastAsia="宋体"/>
                <w:b w:val="false"/>
              </w:rPr>
              <w:t>契约型开放式</w:t>
            </w:r>
          </w:p>
        </w:tc>
        <w:tc>
          <w:tcPr>
            <w:hMerge w:val="continue"/>
          </w:tcPr>
          <w:p/>
        </w:tc>
        <w:tc>
          <w:tcPr>
            <w:hMerge w:val="continue"/>
          </w:tcPr>
          <w:p/>
        </w:tc>
      </w:tr>
      <w:tr>
        <w:tc>
          <w:tcPr>
            <w:tcW w:type="pct" w:w="1923"/>
            <w:vAlign w:val="center"/>
          </w:tcPr>
          <w:p>
            <w:pPr>
              <w:spacing w:line="240" w:lineRule="auto"/>
              <w:jc w:val="left"/>
            </w:pPr>
            <w:r>
              <w:rPr>
                <w:rFonts w:ascii="宋体" w:hAnsi="宋体" w:cs="宋体" w:eastAsia="宋体"/>
                <w:b w:val="false"/>
              </w:rPr>
              <w:t>基金合同生效日</w:t>
            </w:r>
          </w:p>
        </w:tc>
        <w:tc>
          <w:tcPr>
            <w:tcW/>
            <w:hMerge w:val="restart"/>
            <w:vAlign w:val="center"/>
          </w:tcPr>
          <w:p>
            <w:pPr>
              <w:spacing w:line="240" w:lineRule="auto"/>
              <w:jc w:val="left"/>
            </w:pPr>
            <w:r>
              <w:rPr>
                <w:rFonts w:ascii="宋体" w:hAnsi="宋体" w:cs="宋体" w:eastAsia="宋体"/>
                <w:b w:val="false"/>
              </w:rPr>
              <w:t>2021年03月17日</w:t>
            </w:r>
          </w:p>
        </w:tc>
        <w:tc>
          <w:tcPr>
            <w:hMerge w:val="continue"/>
          </w:tcPr>
          <w:p/>
        </w:tc>
        <w:tc>
          <w:tcPr>
            <w:hMerge w:val="continue"/>
          </w:tcPr>
          <w:p/>
        </w:tc>
      </w:tr>
      <w:tr>
        <w:tc>
          <w:tcPr>
            <w:tcW w:type="pct" w:w="1923"/>
            <w:vAlign w:val="center"/>
          </w:tcPr>
          <w:p>
            <w:pPr>
              <w:spacing w:line="240" w:lineRule="auto"/>
              <w:jc w:val="left"/>
            </w:pPr>
            <w:r>
              <w:rPr>
                <w:rFonts w:ascii="宋体" w:hAnsi="宋体" w:cs="宋体" w:eastAsia="宋体"/>
                <w:b w:val="false"/>
              </w:rPr>
              <w:t>报告期末基金份额总额</w:t>
            </w:r>
          </w:p>
        </w:tc>
        <w:tc>
          <w:tcPr>
            <w:tcW/>
            <w:hMerge w:val="restart"/>
            <w:vAlign w:val="center"/>
          </w:tcPr>
          <w:p>
            <w:pPr>
              <w:spacing w:line="240" w:lineRule="auto"/>
              <w:jc w:val="left"/>
            </w:pPr>
            <w:r>
              <w:rPr>
                <w:rFonts w:ascii="宋体" w:hAnsi="宋体" w:cs="宋体" w:eastAsia="宋体"/>
                <w:b w:val="false"/>
              </w:rPr>
              <w:t>648,312,625.93份</w:t>
            </w:r>
          </w:p>
        </w:tc>
        <w:tc>
          <w:tcPr>
            <w:hMerge w:val="continue"/>
          </w:tcPr>
          <w:p/>
        </w:tc>
        <w:tc>
          <w:tcPr>
            <w:hMerge w:val="continue"/>
          </w:tcPr>
          <w:p/>
        </w:tc>
      </w:tr>
      <w:tr>
        <w:tc>
          <w:tcPr>
            <w:tcW w:type="pct" w:w="1923"/>
            <w:vAlign w:val="center"/>
          </w:tcPr>
          <w:p>
            <w:pPr>
              <w:spacing w:line="240" w:lineRule="auto"/>
              <w:jc w:val="left"/>
            </w:pPr>
            <w:r>
              <w:rPr>
                <w:rFonts w:ascii="宋体" w:hAnsi="宋体" w:cs="宋体" w:eastAsia="宋体"/>
                <w:b w:val="false"/>
              </w:rPr>
              <w:t>投资目标</w:t>
            </w:r>
          </w:p>
        </w:tc>
        <w:tc>
          <w:tcPr>
            <w:tcW w:type="pct" w:w="2592"/>
            <w:hMerge w:val="restart"/>
            <w:vAlign w:val="center"/>
          </w:tcPr>
          <w:p>
            <w:pPr>
              <w:spacing w:line="240" w:lineRule="auto"/>
              <w:jc w:val="left"/>
            </w:pPr>
            <w:r>
              <w:rPr>
                <w:rFonts w:ascii="宋体" w:hAnsi="宋体" w:cs="宋体" w:eastAsia="宋体"/>
                <w:b w:val="false"/>
              </w:rPr>
              <w:t>在严格控制风险的基础之上，通过深入研究、优选个股、主动的投资管理方式力求实现组合资产的稳健增值。</w:t>
            </w:r>
          </w:p>
        </w:tc>
        <w:tc>
          <w:tcPr>
            <w:hMerge w:val="continue"/>
          </w:tcPr>
          <w:p/>
        </w:tc>
        <w:tc>
          <w:tcPr>
            <w:hMerge w:val="continue"/>
          </w:tcPr>
          <w:p/>
        </w:tc>
      </w:tr>
      <w:tr>
        <w:tc>
          <w:tcPr>
            <w:tcW w:type="pct" w:w="1923"/>
            <w:vAlign w:val="center"/>
          </w:tcPr>
          <w:p>
            <w:pPr>
              <w:spacing w:line="240" w:lineRule="auto"/>
              <w:jc w:val="left"/>
            </w:pPr>
            <w:r>
              <w:rPr>
                <w:rFonts w:ascii="宋体" w:hAnsi="宋体" w:cs="宋体" w:eastAsia="宋体"/>
                <w:b w:val="false"/>
              </w:rPr>
              <w:t>投资策略</w:t>
            </w:r>
          </w:p>
        </w:tc>
        <w:tc>
          <w:tcPr>
            <w:tcW/>
            <w:hMerge w:val="restart"/>
            <w:vAlign w:val="center"/>
          </w:tcPr>
          <w:p>
            <w:pPr>
              <w:spacing w:line="240" w:lineRule="auto"/>
              <w:jc w:val="left"/>
            </w:pPr>
            <w:r>
              <w:rPr>
                <w:rFonts w:ascii="宋体" w:hAnsi="宋体" w:cs="宋体" w:eastAsia="宋体"/>
                <w:b w:val="false"/>
              </w:rPr>
              <w:t>本基金的投资策略主要有以下9个方面内容：</w:t>
              <w:br/>
            </w:r>
            <w:r>
              <w:rPr>
                <w:rFonts w:ascii="宋体" w:hAnsi="宋体" w:cs="宋体" w:eastAsia="宋体"/>
                <w:b w:val="false"/>
              </w:rPr>
              <w:t>1、大类资产配置策略</w:t>
              <w:br/>
            </w:r>
            <w:r>
              <w:rPr>
                <w:rFonts w:ascii="宋体" w:hAnsi="宋体" w:cs="宋体" w:eastAsia="宋体"/>
                <w:b w:val="false"/>
              </w:rPr>
              <w:t>根据国内外宏观经济情况、国内外证券市场估值水平阶段性不断调整权益类资产和其他资产之间的大类资产配置比例。</w:t>
              <w:br/>
            </w:r>
            <w:r>
              <w:rPr>
                <w:rFonts w:ascii="宋体" w:hAnsi="宋体" w:cs="宋体" w:eastAsia="宋体"/>
                <w:b w:val="false"/>
              </w:rPr>
              <w:t>2、个股优选策略</w:t>
              <w:br/>
            </w:r>
            <w:r>
              <w:rPr>
                <w:rFonts w:ascii="宋体" w:hAnsi="宋体" w:cs="宋体" w:eastAsia="宋体"/>
                <w:b w:val="false"/>
              </w:rPr>
              <w:t>采用定量分析与定性分析相结合的方式对上市公司进行分析，建立备选股票池，并以备选股票池成份股未来两年的PE衡量动态性价比作为选择其进入投资组合的重要依据。</w:t>
              <w:br/>
            </w:r>
            <w:r>
              <w:rPr>
                <w:rFonts w:ascii="宋体" w:hAnsi="宋体" w:cs="宋体" w:eastAsia="宋体"/>
                <w:b w:val="false"/>
              </w:rPr>
              <w:t>3、港股投资策略</w:t>
              <w:br/>
            </w:r>
            <w:r>
              <w:rPr>
                <w:rFonts w:ascii="宋体" w:hAnsi="宋体" w:cs="宋体" w:eastAsia="宋体"/>
                <w:b w:val="false"/>
              </w:rPr>
              <w:t>重点关注A股稀缺性行业个股、A股缺乏投资标的行业、具有持续领先优势或核心竞争力的企业、符合内地政策和投资逻辑的主题性行业个股以及与A股同类公司相比具有估值优势的公司。</w:t>
              <w:br/>
            </w:r>
            <w:r>
              <w:rPr>
                <w:rFonts w:ascii="宋体" w:hAnsi="宋体" w:cs="宋体" w:eastAsia="宋体"/>
                <w:b w:val="false"/>
              </w:rPr>
              <w:t>4、债券类资产投资策略</w:t>
              <w:br/>
            </w:r>
            <w:r>
              <w:rPr>
                <w:rFonts w:ascii="宋体" w:hAnsi="宋体" w:cs="宋体" w:eastAsia="宋体"/>
                <w:b w:val="false"/>
              </w:rPr>
              <w:t>本基金的债券投资将采取较为积极的策略，通过利率预测分析、收益率曲线变动分析、债券信用分析、收益率利差分析等，研判各类属固定收益类资产的风险趋势与收益预期，精选个券进行投资。</w:t>
              <w:br/>
            </w:r>
            <w:r>
              <w:rPr>
                <w:rFonts w:ascii="宋体" w:hAnsi="宋体" w:cs="宋体" w:eastAsia="宋体"/>
                <w:b w:val="false"/>
              </w:rPr>
              <w:t>5、存托凭证投资策略</w:t>
              <w:br/>
            </w:r>
            <w:r>
              <w:rPr>
                <w:rFonts w:ascii="宋体" w:hAnsi="宋体" w:cs="宋体" w:eastAsia="宋体"/>
                <w:b w:val="false"/>
              </w:rPr>
              <w:t>本基金可投资存托凭证，本基金将在深入研究的基础上，通过定性分析和定量分析相结合的方式，选择投资价值高的存托凭证进行投资。</w:t>
              <w:br/>
            </w:r>
            <w:r>
              <w:rPr>
                <w:rFonts w:ascii="宋体" w:hAnsi="宋体" w:cs="宋体" w:eastAsia="宋体"/>
                <w:b w:val="false"/>
              </w:rPr>
              <w:t>6、股指期货投资策略</w:t>
              <w:br/>
            </w:r>
            <w:r>
              <w:rPr>
                <w:rFonts w:ascii="宋体" w:hAnsi="宋体" w:cs="宋体" w:eastAsia="宋体"/>
                <w:b w:val="false"/>
              </w:rPr>
              <w:t>以投资组合避险和有效管理为目的，通过套期保值策略，对冲系统性风险，应对组合构建与调整中的流动性风险，力求风险收益的优化。</w:t>
              <w:br/>
            </w:r>
            <w:r>
              <w:rPr>
                <w:rFonts w:ascii="宋体" w:hAnsi="宋体" w:cs="宋体" w:eastAsia="宋体"/>
                <w:b w:val="false"/>
              </w:rPr>
              <w:t>7、融资业务的投资策略</w:t>
              <w:br/>
            </w:r>
            <w:r>
              <w:rPr>
                <w:rFonts w:ascii="宋体" w:hAnsi="宋体" w:cs="宋体" w:eastAsia="宋体"/>
                <w:b w:val="false"/>
              </w:rPr>
              <w:t>综合考虑融资成本、保证金比例、冲抵保证金证券折算率、信用资质等条选择合适的交易对手方。在保障基金投资组合充足流动性以及有效控制融资杠杆风险的前提下，确定融资比例。</w:t>
              <w:br/>
            </w:r>
            <w:r>
              <w:rPr>
                <w:rFonts w:ascii="宋体" w:hAnsi="宋体" w:cs="宋体" w:eastAsia="宋体"/>
                <w:b w:val="false"/>
              </w:rPr>
              <w:t>8、国债期货的投资策略</w:t>
              <w:br/>
            </w:r>
            <w:r>
              <w:rPr>
                <w:rFonts w:ascii="宋体" w:hAnsi="宋体" w:cs="宋体" w:eastAsia="宋体"/>
                <w:b w:val="false"/>
              </w:rPr>
              <w:t>结合对宏观经济形势和政策趋势的判断、对债券市场进行定性和定量分析，构建量化分析体系，在最大限度保证基金资产安全的基础上，力求实现所资产的长期稳定增值。</w:t>
              <w:br/>
            </w:r>
            <w:r>
              <w:rPr>
                <w:rFonts w:ascii="宋体" w:hAnsi="宋体" w:cs="宋体" w:eastAsia="宋体"/>
                <w:b w:val="false"/>
              </w:rPr>
              <w:t>9、资产支持证券投资策略</w:t>
              <w:br/>
            </w:r>
            <w:r>
              <w:rPr>
                <w:rFonts w:ascii="宋体" w:hAnsi="宋体" w:cs="宋体" w:eastAsia="宋体"/>
                <w:b w:val="false"/>
              </w:rPr>
              <w:t>通过对宏观经济、提前偿还率、资产池结构、行业景气变化、标的证券发行条款等因素的研究，预测资产池未来现金流变化，结合信用研究和流动性管理，选择风险调整后收益高的品种进行投资，以期获得长期稳定收益。</w:t>
            </w:r>
          </w:p>
        </w:tc>
        <w:tc>
          <w:tcPr>
            <w:hMerge w:val="continue"/>
          </w:tcPr>
          <w:p/>
        </w:tc>
        <w:tc>
          <w:tcPr>
            <w:hMerge w:val="continue"/>
          </w:tcPr>
          <w:p/>
        </w:tc>
      </w:tr>
      <w:tr>
        <w:tc>
          <w:tcPr>
            <w:tcW w:type="pct" w:w="1923"/>
            <w:vAlign w:val="center"/>
          </w:tcPr>
          <w:p>
            <w:pPr>
              <w:spacing w:line="240" w:lineRule="auto"/>
              <w:jc w:val="left"/>
            </w:pPr>
            <w:r>
              <w:rPr>
                <w:rFonts w:ascii="宋体" w:hAnsi="宋体" w:cs="宋体" w:eastAsia="宋体"/>
                <w:b w:val="false"/>
              </w:rPr>
              <w:t>业绩比较基准</w:t>
            </w:r>
          </w:p>
        </w:tc>
        <w:tc>
          <w:tcPr>
            <w:tcW/>
            <w:hMerge w:val="restart"/>
            <w:vAlign w:val="center"/>
          </w:tcPr>
          <w:p>
            <w:pPr>
              <w:spacing w:line="240" w:lineRule="auto"/>
              <w:jc w:val="left"/>
            </w:pPr>
            <w:r>
              <w:rPr>
                <w:rFonts w:ascii="宋体" w:hAnsi="宋体" w:cs="宋体" w:eastAsia="宋体"/>
                <w:b w:val="false"/>
              </w:rPr>
              <w:t>中证800指数收益率×80%+中证综合债券指数收益率×10%+恒生指数收益率×10%</w:t>
            </w:r>
          </w:p>
        </w:tc>
        <w:tc>
          <w:tcPr>
            <w:hMerge w:val="continue"/>
          </w:tcPr>
          <w:p/>
        </w:tc>
        <w:tc>
          <w:tcPr>
            <w:hMerge w:val="continue"/>
          </w:tcPr>
          <w:p/>
        </w:tc>
      </w:tr>
      <w:tr>
        <w:tc>
          <w:tcPr>
            <w:tcW w:type="pct" w:w="1923"/>
            <w:vAlign w:val="center"/>
          </w:tcPr>
          <w:p>
            <w:pPr>
              <w:spacing w:line="240" w:lineRule="auto"/>
              <w:jc w:val="left"/>
            </w:pPr>
            <w:r>
              <w:rPr>
                <w:rFonts w:ascii="宋体" w:hAnsi="宋体" w:cs="宋体" w:eastAsia="宋体"/>
                <w:b w:val="false"/>
              </w:rPr>
              <w:t>风险收益特征</w:t>
            </w:r>
          </w:p>
        </w:tc>
        <w:tc>
          <w:tcPr>
            <w:tcW w:type="pct" w:w="2592"/>
            <w:hMerge w:val="restart"/>
            <w:vAlign w:val="center"/>
          </w:tcPr>
          <w:p>
            <w:pPr>
              <w:spacing w:line="240" w:lineRule="auto"/>
              <w:jc w:val="left"/>
            </w:pPr>
            <w:r>
              <w:rPr>
                <w:rFonts w:ascii="宋体" w:hAnsi="宋体" w:cs="宋体" w:eastAsia="宋体"/>
                <w:b w:val="false"/>
              </w:rPr>
              <w:t>本基金为混合型基金，其预期风险和预期收益高于债券型基金、货币市场基金。本基金如果投资港股通标的股票，需承担汇率风险以及境外市场的风险。</w:t>
            </w:r>
          </w:p>
        </w:tc>
        <w:tc>
          <w:tcPr>
            <w:hMerge w:val="continue"/>
          </w:tcPr>
          <w:p/>
        </w:tc>
        <w:tc>
          <w:tcPr>
            <w:hMerge w:val="continue"/>
          </w:tcPr>
          <w:p/>
        </w:tc>
      </w:tr>
      <w:tr>
        <w:tc>
          <w:tcPr>
            <w:tcW w:type="pct" w:w="1923"/>
            <w:vAlign w:val="center"/>
          </w:tcPr>
          <w:p>
            <w:pPr>
              <w:spacing w:line="240" w:lineRule="auto"/>
              <w:jc w:val="left"/>
            </w:pPr>
            <w:r>
              <w:rPr>
                <w:rFonts w:ascii="宋体" w:hAnsi="宋体" w:cs="宋体" w:eastAsia="宋体"/>
                <w:b w:val="false"/>
              </w:rPr>
              <w:t>基金管理人</w:t>
            </w:r>
          </w:p>
        </w:tc>
        <w:tc>
          <w:tcPr>
            <w:tcW/>
            <w:hMerge w:val="restart"/>
            <w:vAlign w:val="center"/>
          </w:tcPr>
          <w:p>
            <w:pPr>
              <w:spacing w:line="240" w:lineRule="auto"/>
              <w:jc w:val="left"/>
            </w:pPr>
            <w:r>
              <w:rPr>
                <w:rFonts w:ascii="宋体" w:hAnsi="宋体" w:cs="宋体" w:eastAsia="宋体"/>
                <w:b w:val="false"/>
              </w:rPr>
              <w:t>东方阿尔法基金管理有限公司</w:t>
            </w:r>
          </w:p>
        </w:tc>
        <w:tc>
          <w:tcPr>
            <w:hMerge w:val="continue"/>
          </w:tcPr>
          <w:p/>
        </w:tc>
        <w:tc>
          <w:tcPr>
            <w:hMerge w:val="continue"/>
          </w:tcPr>
          <w:p/>
        </w:tc>
      </w:tr>
      <w:tr>
        <w:tc>
          <w:tcPr>
            <w:tcW w:type="pct" w:w="1923"/>
            <w:vAlign w:val="center"/>
          </w:tcPr>
          <w:p>
            <w:pPr>
              <w:spacing w:line="240" w:lineRule="auto"/>
              <w:jc w:val="left"/>
            </w:pPr>
            <w:r>
              <w:rPr>
                <w:rFonts w:ascii="宋体" w:hAnsi="宋体" w:cs="宋体" w:eastAsia="宋体"/>
                <w:b w:val="false"/>
              </w:rPr>
              <w:t>基金托管人</w:t>
            </w:r>
          </w:p>
        </w:tc>
        <w:tc>
          <w:tcPr>
            <w:tcW/>
            <w:hMerge w:val="restart"/>
            <w:vAlign w:val="center"/>
          </w:tcPr>
          <w:p>
            <w:pPr>
              <w:spacing w:line="240" w:lineRule="auto"/>
              <w:jc w:val="left"/>
            </w:pPr>
            <w:r>
              <w:rPr>
                <w:rFonts w:ascii="宋体" w:hAnsi="宋体" w:cs="宋体" w:eastAsia="宋体"/>
                <w:b w:val="false"/>
              </w:rPr>
              <w:t>招商银行股份有限公司</w:t>
            </w:r>
          </w:p>
        </w:tc>
        <w:tc>
          <w:tcPr>
            <w:hMerge w:val="continue"/>
          </w:tcPr>
          <w:p/>
        </w:tc>
        <w:tc>
          <w:tcPr>
            <w:hMerge w:val="continue"/>
          </w:tcPr>
          <w:p/>
        </w:tc>
      </w:tr>
      <w:tr>
        <w:tc>
          <w:tcPr>
            <w:tcW/>
            <w:vAlign w:val="center"/>
          </w:tcPr>
          <w:p>
            <w:pPr>
              <w:spacing w:line="240" w:lineRule="auto"/>
              <w:jc w:val="left"/>
            </w:pPr>
            <w:r>
              <w:rPr>
                <w:rFonts w:ascii="宋体" w:hAnsi="宋体" w:cs="宋体" w:eastAsia="宋体"/>
                <w:b w:val="false"/>
              </w:rPr>
              <w:t>下属分级基金的基金简称</w:t>
            </w:r>
          </w:p>
        </w:tc>
        <w:tc>
          <w:tcPr>
            <w:tcW w:type="pct" w:w="1000"/>
            <w:vAlign w:val="center"/>
          </w:tcPr>
          <w:p>
            <w:pPr>
              <w:spacing w:line="240" w:lineRule="auto"/>
              <w:jc w:val="left"/>
            </w:pPr>
            <w:r>
              <w:rPr>
                <w:rFonts w:ascii="宋体" w:hAnsi="宋体" w:cs="宋体" w:eastAsia="宋体"/>
                <w:b w:val="false"/>
              </w:rPr>
              <w:t>东方阿尔法招阳混合A</w:t>
            </w:r>
          </w:p>
        </w:tc>
        <w:tc>
          <w:tcPr>
            <w:tcW w:type="pct" w:w="1000"/>
            <w:vAlign w:val="center"/>
          </w:tcPr>
          <w:p>
            <w:pPr>
              <w:spacing w:line="240" w:lineRule="auto"/>
              <w:jc w:val="left"/>
            </w:pPr>
            <w:r>
              <w:rPr>
                <w:rFonts w:ascii="宋体" w:hAnsi="宋体" w:cs="宋体" w:eastAsia="宋体"/>
                <w:b w:val="false"/>
              </w:rPr>
              <w:t>东方阿尔法招阳混合C</w:t>
            </w:r>
          </w:p>
        </w:tc>
        <w:tc>
          <w:tcPr>
            <w:tcW w:type="pct" w:w="1000"/>
            <w:vAlign w:val="center"/>
          </w:tcPr>
          <w:p>
            <w:pPr>
              <w:spacing w:line="240" w:lineRule="auto"/>
              <w:jc w:val="left"/>
            </w:pPr>
            <w:r>
              <w:rPr>
                <w:rFonts w:ascii="宋体" w:hAnsi="宋体" w:cs="宋体" w:eastAsia="宋体"/>
                <w:b w:val="false"/>
              </w:rPr>
              <w:t>东方阿尔法招阳混合E</w:t>
            </w:r>
          </w:p>
        </w:tc>
      </w:tr>
      <w:tr>
        <w:tc>
          <w:tcPr>
            <w:tcW/>
            <w:vAlign w:val="center"/>
          </w:tcPr>
          <w:p>
            <w:pPr>
              <w:spacing w:line="240" w:lineRule="auto"/>
              <w:jc w:val="left"/>
            </w:pPr>
            <w:r>
              <w:rPr>
                <w:rFonts w:ascii="宋体" w:hAnsi="宋体" w:cs="宋体" w:eastAsia="宋体"/>
                <w:b w:val="false"/>
              </w:rPr>
              <w:t>下属分级基金的交易代码</w:t>
            </w:r>
          </w:p>
        </w:tc>
        <w:tc>
          <w:tcPr>
            <w:tcW w:type="pct" w:w="1000"/>
            <w:vAlign w:val="center"/>
          </w:tcPr>
          <w:p>
            <w:pPr>
              <w:spacing w:line="240" w:lineRule="auto"/>
              <w:jc w:val="left"/>
            </w:pPr>
            <w:r>
              <w:rPr>
                <w:rFonts w:ascii="宋体" w:hAnsi="宋体" w:cs="宋体" w:eastAsia="宋体"/>
                <w:b w:val="false"/>
              </w:rPr>
              <w:t>011184</w:t>
            </w:r>
          </w:p>
        </w:tc>
        <w:tc>
          <w:tcPr>
            <w:tcW w:type="pct" w:w="1000"/>
            <w:vAlign w:val="center"/>
          </w:tcPr>
          <w:p>
            <w:pPr>
              <w:spacing w:line="240" w:lineRule="auto"/>
              <w:jc w:val="left"/>
            </w:pPr>
            <w:r>
              <w:rPr>
                <w:rFonts w:ascii="宋体" w:hAnsi="宋体" w:cs="宋体" w:eastAsia="宋体"/>
                <w:b w:val="false"/>
              </w:rPr>
              <w:t>011185</w:t>
            </w:r>
          </w:p>
        </w:tc>
        <w:tc>
          <w:tcPr>
            <w:tcW w:type="pct" w:w="1000"/>
            <w:vAlign w:val="center"/>
          </w:tcPr>
          <w:p>
            <w:pPr>
              <w:spacing w:line="240" w:lineRule="auto"/>
              <w:jc w:val="left"/>
            </w:pPr>
            <w:r>
              <w:rPr>
                <w:rFonts w:ascii="宋体" w:hAnsi="宋体" w:cs="宋体" w:eastAsia="宋体"/>
                <w:b w:val="false"/>
              </w:rPr>
              <w:t>017889</w:t>
            </w:r>
          </w:p>
        </w:tc>
      </w:tr>
      <w:tr>
        <w:tc>
          <w:tcPr>
            <w:tcW/>
            <w:vAlign w:val="center"/>
          </w:tcPr>
          <w:p>
            <w:pPr>
              <w:spacing w:line="240" w:lineRule="auto"/>
              <w:jc w:val="left"/>
            </w:pPr>
            <w:r>
              <w:rPr>
                <w:rFonts w:ascii="宋体" w:hAnsi="宋体" w:cs="宋体" w:eastAsia="宋体"/>
                <w:b w:val="false"/>
              </w:rPr>
              <w:t>报告期末下属分级基金的份额总额</w:t>
            </w:r>
          </w:p>
        </w:tc>
        <w:tc>
          <w:tcPr>
            <w:tcW w:type="pct" w:w="1000"/>
            <w:vAlign w:val="center"/>
          </w:tcPr>
          <w:p>
            <w:pPr>
              <w:spacing w:line="240" w:lineRule="auto"/>
              <w:jc w:val="left"/>
            </w:pPr>
            <w:r>
              <w:rPr>
                <w:rFonts w:ascii="宋体" w:hAnsi="宋体" w:cs="宋体" w:eastAsia="宋体"/>
                <w:b w:val="false"/>
              </w:rPr>
              <w:t>577,984,084.47份</w:t>
            </w:r>
          </w:p>
        </w:tc>
        <w:tc>
          <w:tcPr>
            <w:tcW w:type="pct" w:w="1000"/>
            <w:vAlign w:val="center"/>
          </w:tcPr>
          <w:p>
            <w:pPr>
              <w:spacing w:line="240" w:lineRule="auto"/>
              <w:jc w:val="left"/>
            </w:pPr>
            <w:r>
              <w:rPr>
                <w:rFonts w:ascii="宋体" w:hAnsi="宋体" w:cs="宋体" w:eastAsia="宋体"/>
                <w:b w:val="false"/>
              </w:rPr>
              <w:t>8,198,154.24份</w:t>
            </w:r>
          </w:p>
        </w:tc>
        <w:tc>
          <w:tcPr>
            <w:tcW w:type="pct" w:w="1000"/>
            <w:vAlign w:val="center"/>
          </w:tcPr>
          <w:p>
            <w:pPr>
              <w:spacing w:line="240" w:lineRule="auto"/>
              <w:jc w:val="left"/>
            </w:pPr>
            <w:r>
              <w:rPr>
                <w:rFonts w:ascii="宋体" w:hAnsi="宋体" w:cs="宋体" w:eastAsia="宋体"/>
                <w:b w:val="false"/>
              </w:rPr>
              <w:t>62,130,387.22份</w:t>
            </w:r>
          </w:p>
        </w:tc>
      </w:tr>
    </w:tbl>
    <w:p>
      <w:pPr>
        <w:pStyle w:val="1"/>
        <w:jc w:val="center"/>
      </w:pPr>
      <w:r>
        <w:rPr>
          <w:rFonts w:ascii="宋体" w:hAnsi="宋体" w:cs="宋体" w:eastAsia="宋体"/>
        </w:rPr>
        <w:t>§3 主要财务指标和基金净值表现</w:t>
      </w:r>
    </w:p>
    <w:p>
      <w:pPr>
        <w:pStyle w:val="2"/>
        <w:jc w:val="left"/>
      </w:pPr>
      <w:r>
        <w:rPr>
          <w:rFonts w:ascii="宋体" w:hAnsi="宋体" w:cs="宋体" w:eastAsia="宋体"/>
        </w:rPr>
        <w:t>3.1 主要财务指标</w:t>
      </w:r>
    </w:p>
    <w:p>
      <w:pPr>
        <w:jc w:val="right"/>
      </w:pPr>
      <w:r>
        <w:rPr>
          <w:rFonts w:ascii="宋体" w:hAnsi="宋体" w:cs="宋体" w:eastAsia="宋体"/>
          <w:b w:val="false"/>
        </w:rPr>
        <w:t>单位：人民币元</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1923"/>
            <w:vMerge w:val="restart"/>
            <w:vAlign w:val="center"/>
          </w:tcPr>
          <w:tcPr>
            <w:shd w:fill="d9d9d9"/>
          </w:tcPr>
          <w:p>
            <w:pPr>
              <w:spacing w:line="240" w:lineRule="auto"/>
              <w:jc w:val="center"/>
            </w:pPr>
            <w:r>
              <w:rPr>
                <w:rFonts w:ascii="宋体" w:hAnsi="宋体" w:cs="宋体" w:eastAsia="宋体"/>
                <w:b w:val="true"/>
              </w:rPr>
              <w:t>主要财务指标</w:t>
            </w:r>
          </w:p>
        </w:tc>
        <w:tc>
          <w:tcPr>
            <w:tcW w:type="pct" w:w="3077"/>
            <w:hMerge w:val="restart"/>
            <w:vAlign w:val="center"/>
          </w:tcPr>
          <w:tcPr>
            <w:shd w:fill="d9d9d9"/>
          </w:tcPr>
          <w:p>
            <w:pPr>
              <w:spacing w:line="240" w:lineRule="auto"/>
              <w:jc w:val="center"/>
            </w:pPr>
            <w:r>
              <w:rPr>
                <w:rFonts w:ascii="宋体" w:hAnsi="宋体" w:cs="宋体" w:eastAsia="宋体"/>
                <w:b w:val="false"/>
              </w:rPr>
              <w:t>报告期（2025年10月01日-2025年12月31日）</w:t>
            </w:r>
          </w:p>
        </w:tc>
        <w:tc>
          <w:tcPr>
            <w:hMerge w:val="continue"/>
          </w:tcPr>
          <w:p/>
        </w:tc>
        <w:tc>
          <w:tcPr>
            <w:hMerge w:val="continue"/>
          </w:tcPr>
          <w:p/>
        </w:tc>
      </w:tr>
      <w:tr>
        <w:tc>
          <w:tcPr>
            <w:vMerge w:val="continue"/>
          </w:tcPr>
          <w:p/>
        </w:tc>
        <w:tc>
          <w:tcPr>
            <w:tcW w:type="pct" w:w="1000"/>
            <w:vAlign w:val="center"/>
          </w:tcPr>
          <w:tcPr>
            <w:shd w:fill="d9d9d9"/>
          </w:tcPr>
          <w:p>
            <w:pPr>
              <w:spacing w:line="240" w:lineRule="auto"/>
              <w:jc w:val="center"/>
            </w:pPr>
            <w:r>
              <w:rPr>
                <w:rFonts w:ascii="宋体" w:hAnsi="宋体" w:cs="宋体" w:eastAsia="宋体"/>
                <w:b w:val="false"/>
              </w:rPr>
              <w:t>东方阿尔法招阳混合A</w:t>
            </w:r>
          </w:p>
        </w:tc>
        <w:tc>
          <w:tcPr>
            <w:tcW w:type="pct" w:w="1000"/>
            <w:vAlign w:val="center"/>
          </w:tcPr>
          <w:tcPr>
            <w:shd w:fill="d9d9d9"/>
          </w:tcPr>
          <w:p>
            <w:pPr>
              <w:spacing w:line="240" w:lineRule="auto"/>
              <w:jc w:val="center"/>
            </w:pPr>
            <w:r>
              <w:rPr>
                <w:rFonts w:ascii="宋体" w:hAnsi="宋体" w:cs="宋体" w:eastAsia="宋体"/>
                <w:b w:val="false"/>
              </w:rPr>
              <w:t>东方阿尔法招阳混合C</w:t>
            </w:r>
          </w:p>
        </w:tc>
        <w:tc>
          <w:tcPr>
            <w:tcW w:type="pct" w:w="1000"/>
            <w:vAlign w:val="center"/>
          </w:tcPr>
          <w:tcPr>
            <w:shd w:fill="d9d9d9"/>
          </w:tcPr>
          <w:p>
            <w:pPr>
              <w:spacing w:line="240" w:lineRule="auto"/>
              <w:jc w:val="center"/>
            </w:pPr>
            <w:r>
              <w:rPr>
                <w:rFonts w:ascii="宋体" w:hAnsi="宋体" w:cs="宋体" w:eastAsia="宋体"/>
                <w:b w:val="false"/>
              </w:rPr>
              <w:t>东方阿尔法招阳混合E</w:t>
            </w:r>
          </w:p>
        </w:tc>
      </w:tr>
      <w:tr>
        <w:tc>
          <w:tcPr>
            <w:tcW/>
            <w:vAlign w:val="center"/>
          </w:tcPr>
          <w:p>
            <w:pPr>
              <w:spacing w:line="240" w:lineRule="auto"/>
              <w:jc w:val="left"/>
            </w:pPr>
            <w:r>
              <w:rPr>
                <w:rFonts w:ascii="宋体" w:hAnsi="宋体" w:cs="宋体" w:eastAsia="宋体"/>
                <w:b w:val="false"/>
              </w:rPr>
              <w:t>1.本期已实现收益</w:t>
            </w:r>
          </w:p>
        </w:tc>
        <w:tc>
          <w:tcPr>
            <w:tcW w:type="pct" w:w="1000"/>
            <w:vAlign w:val="center"/>
          </w:tcPr>
          <w:p>
            <w:pPr>
              <w:spacing w:line="240" w:lineRule="auto"/>
              <w:jc w:val="right"/>
            </w:pPr>
            <w:r>
              <w:rPr>
                <w:rFonts w:ascii="宋体" w:hAnsi="宋体" w:cs="宋体" w:eastAsia="宋体"/>
                <w:b w:val="false"/>
              </w:rPr>
              <w:t>-10,813,655.59</w:t>
            </w:r>
          </w:p>
        </w:tc>
        <w:tc>
          <w:tcPr>
            <w:tcW w:type="pct" w:w="1000"/>
            <w:vAlign w:val="center"/>
          </w:tcPr>
          <w:p>
            <w:pPr>
              <w:spacing w:line="240" w:lineRule="auto"/>
              <w:jc w:val="right"/>
            </w:pPr>
            <w:r>
              <w:rPr>
                <w:rFonts w:ascii="宋体" w:hAnsi="宋体" w:cs="宋体" w:eastAsia="宋体"/>
                <w:b w:val="false"/>
              </w:rPr>
              <w:t>-163,030.92</w:t>
            </w:r>
          </w:p>
        </w:tc>
        <w:tc>
          <w:tcPr>
            <w:tcW w:type="pct" w:w="1000"/>
            <w:vAlign w:val="center"/>
          </w:tcPr>
          <w:p>
            <w:pPr>
              <w:spacing w:line="240" w:lineRule="auto"/>
              <w:jc w:val="right"/>
            </w:pPr>
            <w:r>
              <w:rPr>
                <w:rFonts w:ascii="宋体" w:hAnsi="宋体" w:cs="宋体" w:eastAsia="宋体"/>
                <w:b w:val="false"/>
              </w:rPr>
              <w:t>-2,921,697.34</w:t>
            </w:r>
          </w:p>
        </w:tc>
      </w:tr>
      <w:tr>
        <w:tc>
          <w:tcPr>
            <w:tcW/>
            <w:vAlign w:val="center"/>
          </w:tcPr>
          <w:p>
            <w:pPr>
              <w:spacing w:line="240" w:lineRule="auto"/>
              <w:jc w:val="left"/>
            </w:pPr>
            <w:r>
              <w:rPr>
                <w:rFonts w:ascii="宋体" w:hAnsi="宋体" w:cs="宋体" w:eastAsia="宋体"/>
                <w:b w:val="false"/>
              </w:rPr>
              <w:t>2.本期利润</w:t>
            </w:r>
          </w:p>
        </w:tc>
        <w:tc>
          <w:tcPr>
            <w:tcW w:type="pct" w:w="1000"/>
            <w:vAlign w:val="center"/>
          </w:tcPr>
          <w:p>
            <w:pPr>
              <w:spacing w:line="240" w:lineRule="auto"/>
              <w:jc w:val="right"/>
            </w:pPr>
            <w:r>
              <w:rPr>
                <w:rFonts w:ascii="宋体" w:hAnsi="宋体" w:cs="宋体" w:eastAsia="宋体"/>
                <w:b w:val="false"/>
              </w:rPr>
              <w:t>-6,279,875.22</w:t>
            </w:r>
          </w:p>
        </w:tc>
        <w:tc>
          <w:tcPr>
            <w:tcW w:type="pct" w:w="1000"/>
            <w:vAlign w:val="center"/>
          </w:tcPr>
          <w:p>
            <w:pPr>
              <w:spacing w:line="240" w:lineRule="auto"/>
              <w:jc w:val="right"/>
            </w:pPr>
            <w:r>
              <w:rPr>
                <w:rFonts w:ascii="宋体" w:hAnsi="宋体" w:cs="宋体" w:eastAsia="宋体"/>
                <w:b w:val="false"/>
              </w:rPr>
              <w:t>-98,956.67</w:t>
            </w:r>
          </w:p>
        </w:tc>
        <w:tc>
          <w:tcPr>
            <w:tcW w:type="pct" w:w="1000"/>
            <w:vAlign w:val="center"/>
          </w:tcPr>
          <w:p>
            <w:pPr>
              <w:spacing w:line="240" w:lineRule="auto"/>
              <w:jc w:val="right"/>
            </w:pPr>
            <w:r>
              <w:rPr>
                <w:rFonts w:ascii="宋体" w:hAnsi="宋体" w:cs="宋体" w:eastAsia="宋体"/>
                <w:b w:val="false"/>
              </w:rPr>
              <w:t>-10,781,153.63</w:t>
            </w:r>
          </w:p>
        </w:tc>
      </w:tr>
      <w:tr>
        <w:tc>
          <w:tcPr>
            <w:tcW/>
            <w:vAlign w:val="center"/>
          </w:tcPr>
          <w:p>
            <w:pPr>
              <w:spacing w:line="240" w:lineRule="auto"/>
              <w:jc w:val="left"/>
            </w:pPr>
            <w:r>
              <w:rPr>
                <w:rFonts w:ascii="宋体" w:hAnsi="宋体" w:cs="宋体" w:eastAsia="宋体"/>
                <w:b w:val="false"/>
              </w:rPr>
              <w:t>3.加权平均基金份额本期利润</w:t>
            </w:r>
          </w:p>
        </w:tc>
        <w:tc>
          <w:tcPr>
            <w:tcW w:type="pct" w:w="1000"/>
            <w:vAlign w:val="center"/>
          </w:tcPr>
          <w:p>
            <w:pPr>
              <w:spacing w:line="240" w:lineRule="auto"/>
              <w:jc w:val="right"/>
            </w:pPr>
            <w:r>
              <w:rPr>
                <w:rFonts w:ascii="宋体" w:hAnsi="宋体" w:cs="宋体" w:eastAsia="宋体"/>
                <w:b w:val="false"/>
              </w:rPr>
              <w:t>-0.0108</w:t>
            </w:r>
          </w:p>
        </w:tc>
        <w:tc>
          <w:tcPr>
            <w:tcW w:type="pct" w:w="1000"/>
            <w:vAlign w:val="center"/>
          </w:tcPr>
          <w:p>
            <w:pPr>
              <w:spacing w:line="240" w:lineRule="auto"/>
              <w:jc w:val="right"/>
            </w:pPr>
            <w:r>
              <w:rPr>
                <w:rFonts w:ascii="宋体" w:hAnsi="宋体" w:cs="宋体" w:eastAsia="宋体"/>
                <w:b w:val="false"/>
              </w:rPr>
              <w:t>-0.0113</w:t>
            </w:r>
          </w:p>
        </w:tc>
        <w:tc>
          <w:tcPr>
            <w:tcW w:type="pct" w:w="1000"/>
            <w:vAlign w:val="center"/>
          </w:tcPr>
          <w:p>
            <w:pPr>
              <w:spacing w:line="240" w:lineRule="auto"/>
              <w:jc w:val="right"/>
            </w:pPr>
            <w:r>
              <w:rPr>
                <w:rFonts w:ascii="宋体" w:hAnsi="宋体" w:cs="宋体" w:eastAsia="宋体"/>
                <w:b w:val="false"/>
              </w:rPr>
              <w:t>-0.0496</w:t>
            </w:r>
          </w:p>
        </w:tc>
      </w:tr>
      <w:tr>
        <w:tc>
          <w:tcPr>
            <w:tcW/>
            <w:vAlign w:val="center"/>
          </w:tcPr>
          <w:p>
            <w:pPr>
              <w:spacing w:line="240" w:lineRule="auto"/>
              <w:jc w:val="left"/>
            </w:pPr>
            <w:r>
              <w:rPr>
                <w:rFonts w:ascii="宋体" w:hAnsi="宋体" w:cs="宋体" w:eastAsia="宋体"/>
                <w:b w:val="false"/>
              </w:rPr>
              <w:t>4.期末基金资产净值</w:t>
            </w:r>
          </w:p>
        </w:tc>
        <w:tc>
          <w:tcPr>
            <w:tcW w:type="pct" w:w="1000"/>
            <w:vAlign w:val="center"/>
          </w:tcPr>
          <w:p>
            <w:pPr>
              <w:spacing w:line="240" w:lineRule="auto"/>
              <w:jc w:val="right"/>
            </w:pPr>
            <w:r>
              <w:rPr>
                <w:rFonts w:ascii="宋体" w:hAnsi="宋体" w:cs="宋体" w:eastAsia="宋体"/>
                <w:b w:val="false"/>
              </w:rPr>
              <w:t>268,576,329.47</w:t>
            </w:r>
          </w:p>
        </w:tc>
        <w:tc>
          <w:tcPr>
            <w:tcW w:type="pct" w:w="1000"/>
            <w:vAlign w:val="center"/>
          </w:tcPr>
          <w:p>
            <w:pPr>
              <w:spacing w:line="240" w:lineRule="auto"/>
              <w:jc w:val="right"/>
            </w:pPr>
            <w:r>
              <w:rPr>
                <w:rFonts w:ascii="宋体" w:hAnsi="宋体" w:cs="宋体" w:eastAsia="宋体"/>
                <w:b w:val="false"/>
              </w:rPr>
              <w:t>3,609,874.94</w:t>
            </w:r>
          </w:p>
        </w:tc>
        <w:tc>
          <w:tcPr>
            <w:tcW w:type="pct" w:w="1000"/>
            <w:vAlign w:val="center"/>
          </w:tcPr>
          <w:p>
            <w:pPr>
              <w:spacing w:line="240" w:lineRule="auto"/>
              <w:jc w:val="right"/>
            </w:pPr>
            <w:r>
              <w:rPr>
                <w:rFonts w:ascii="宋体" w:hAnsi="宋体" w:cs="宋体" w:eastAsia="宋体"/>
                <w:b w:val="false"/>
              </w:rPr>
              <w:t>28,491,400.13</w:t>
            </w:r>
          </w:p>
        </w:tc>
      </w:tr>
      <w:tr>
        <w:tc>
          <w:tcPr>
            <w:tcW/>
            <w:vAlign w:val="center"/>
          </w:tcPr>
          <w:p>
            <w:pPr>
              <w:spacing w:line="240" w:lineRule="auto"/>
              <w:jc w:val="left"/>
            </w:pPr>
            <w:r>
              <w:rPr>
                <w:rFonts w:ascii="宋体" w:hAnsi="宋体" w:cs="宋体" w:eastAsia="宋体"/>
                <w:b w:val="false"/>
              </w:rPr>
              <w:t>5.期末基金份额净值</w:t>
            </w:r>
          </w:p>
        </w:tc>
        <w:tc>
          <w:tcPr>
            <w:tcW w:type="pct" w:w="1000"/>
            <w:vAlign w:val="center"/>
          </w:tcPr>
          <w:p>
            <w:pPr>
              <w:spacing w:line="240" w:lineRule="auto"/>
              <w:jc w:val="right"/>
            </w:pPr>
            <w:r>
              <w:rPr>
                <w:rFonts w:ascii="宋体" w:hAnsi="宋体" w:cs="宋体" w:eastAsia="宋体"/>
                <w:b w:val="false"/>
              </w:rPr>
              <w:t>0.4647</w:t>
            </w:r>
          </w:p>
        </w:tc>
        <w:tc>
          <w:tcPr>
            <w:tcW w:type="pct" w:w="1000"/>
            <w:vAlign w:val="center"/>
          </w:tcPr>
          <w:p>
            <w:pPr>
              <w:spacing w:line="240" w:lineRule="auto"/>
              <w:jc w:val="right"/>
            </w:pPr>
            <w:r>
              <w:rPr>
                <w:rFonts w:ascii="宋体" w:hAnsi="宋体" w:cs="宋体" w:eastAsia="宋体"/>
                <w:b w:val="false"/>
              </w:rPr>
              <w:t>0.4403</w:t>
            </w:r>
          </w:p>
        </w:tc>
        <w:tc>
          <w:tcPr>
            <w:tcW w:type="pct" w:w="1000"/>
            <w:vAlign w:val="center"/>
          </w:tcPr>
          <w:p>
            <w:pPr>
              <w:spacing w:line="240" w:lineRule="auto"/>
              <w:jc w:val="right"/>
            </w:pPr>
            <w:r>
              <w:rPr>
                <w:rFonts w:ascii="宋体" w:hAnsi="宋体" w:cs="宋体" w:eastAsia="宋体"/>
                <w:b w:val="false"/>
              </w:rPr>
              <w:t>0.4586</w:t>
            </w:r>
          </w:p>
        </w:tc>
      </w:tr>
    </w:tbl>
    <w:p>
      <w:r>
        <w:rPr>
          <w:rFonts w:ascii="宋体" w:hAnsi="宋体" w:cs="宋体" w:eastAsia="宋体"/>
          <w:b w:val="false"/>
        </w:rPr>
        <w:t>注：1、本期已实现收益指基金本期利息收入、投资收益、其他收入(不含公允价值变动收益)扣除相关费用后的余额，本期利润为本期已实现收益加上本期公允价值变动收益。</w:t>
        <w:cr/>
      </w:r>
      <w:r>
        <w:rPr>
          <w:rFonts w:ascii="宋体" w:hAnsi="宋体" w:cs="宋体" w:eastAsia="宋体"/>
          <w:b w:val="false"/>
        </w:rPr>
        <w:t>2、所述基金业绩指标不包括持有人认购或交易基金的各项费用，计入费用后实际收益水平要低于所列数字。</w:t>
      </w:r>
    </w:p>
    <w:p/>
    <w:p>
      <w:pPr>
        <w:pStyle w:val="2"/>
        <w:jc w:val="left"/>
      </w:pPr>
      <w:r>
        <w:rPr>
          <w:rFonts w:ascii="宋体" w:hAnsi="宋体" w:cs="宋体" w:eastAsia="宋体"/>
        </w:rPr>
        <w:t>3.2 基金净值表现</w:t>
      </w:r>
    </w:p>
    <w:p>
      <w:pPr>
        <w:pStyle w:val="zhangjiep2"/>
      </w:pPr>
      <w:r>
        <w:rPr>
          <w:rStyle w:val="正文"/>
          <w:rFonts w:ascii="宋体" w:hAnsi="宋体" w:cs="宋体" w:eastAsia="宋体"/>
          <w:b w:val="true"/>
        </w:rPr>
        <w:t>3.2.1 基金份额净值增长率及其与同期业绩比较基准收益率的比较</w:t>
      </w:r>
    </w:p>
    <w:p>
      <w:pPr>
        <w:jc w:val="left"/>
      </w:pPr>
      <w:r>
        <w:rPr>
          <w:rFonts w:ascii="宋体" w:hAnsi="宋体" w:cs="宋体" w:eastAsia="宋体"/>
          <w:b w:val="true"/>
        </w:rPr>
        <w:t>东方阿尔法招阳混合A净值表现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-2.27%</w:t>
            </w:r>
          </w:p>
        </w:tc>
        <w:tc>
          <w:tcPr>
            <w:tcW/>
            <w:vAlign w:val="center"/>
          </w:tcPr>
          <w:p>
            <w:pPr>
              <w:spacing w:line="240" w:lineRule="auto"/>
              <w:jc w:val="right"/>
            </w:pPr>
            <w:r>
              <w:rPr>
                <w:rFonts w:ascii="宋体" w:hAnsi="宋体" w:cs="宋体" w:eastAsia="宋体"/>
                <w:b w:val="false"/>
              </w:rPr>
              <w:t>1.58%</w:t>
            </w:r>
          </w:p>
        </w:tc>
        <w:tc>
          <w:tcPr>
            <w:tcW/>
            <w:vAlign w:val="center"/>
          </w:tcPr>
          <w:p>
            <w:pPr>
              <w:spacing w:line="240" w:lineRule="auto"/>
              <w:jc w:val="right"/>
            </w:pPr>
            <w:r>
              <w:rPr>
                <w:rFonts w:ascii="宋体" w:hAnsi="宋体" w:cs="宋体" w:eastAsia="宋体"/>
                <w:b w:val="false"/>
              </w:rPr>
              <w:t>-0.36%</w:t>
            </w:r>
          </w:p>
        </w:tc>
        <w:tc>
          <w:tcPr>
            <w:tcW/>
            <w:vAlign w:val="center"/>
          </w:tcPr>
          <w:p>
            <w:pPr>
              <w:spacing w:line="240" w:lineRule="auto"/>
              <w:jc w:val="right"/>
            </w:pPr>
            <w:r>
              <w:rPr>
                <w:rFonts w:ascii="宋体" w:hAnsi="宋体" w:cs="宋体" w:eastAsia="宋体"/>
                <w:b w:val="false"/>
              </w:rPr>
              <w:t>0.89%</w:t>
            </w:r>
          </w:p>
        </w:tc>
        <w:tc>
          <w:tcPr>
            <w:tcW/>
            <w:vAlign w:val="center"/>
          </w:tcPr>
          <w:p>
            <w:pPr>
              <w:spacing w:line="240" w:lineRule="auto"/>
              <w:jc w:val="right"/>
            </w:pPr>
            <w:r>
              <w:rPr>
                <w:rFonts w:ascii="宋体" w:hAnsi="宋体" w:cs="宋体" w:eastAsia="宋体"/>
                <w:b w:val="false"/>
              </w:rPr>
              <w:t>-1.91%</w:t>
            </w:r>
          </w:p>
        </w:tc>
        <w:tc>
          <w:tcPr>
            <w:tcW/>
            <w:vAlign w:val="center"/>
          </w:tcPr>
          <w:p>
            <w:pPr>
              <w:spacing w:line="240" w:lineRule="auto"/>
              <w:jc w:val="right"/>
            </w:pPr>
            <w:r>
              <w:rPr>
                <w:rFonts w:ascii="宋体" w:hAnsi="宋体" w:cs="宋体" w:eastAsia="宋体"/>
                <w:b w:val="false"/>
              </w:rPr>
              <w:t>0.69%</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-6.59%</w:t>
            </w:r>
          </w:p>
        </w:tc>
        <w:tc>
          <w:tcPr>
            <w:tcW/>
            <w:vAlign w:val="center"/>
          </w:tcPr>
          <w:p>
            <w:pPr>
              <w:spacing w:line="240" w:lineRule="auto"/>
              <w:jc w:val="right"/>
            </w:pPr>
            <w:r>
              <w:rPr>
                <w:rFonts w:ascii="宋体" w:hAnsi="宋体" w:cs="宋体" w:eastAsia="宋体"/>
                <w:b w:val="false"/>
              </w:rPr>
              <w:t>1.86%</w:t>
            </w:r>
          </w:p>
        </w:tc>
        <w:tc>
          <w:tcPr>
            <w:tcW/>
            <w:vAlign w:val="center"/>
          </w:tcPr>
          <w:p>
            <w:pPr>
              <w:spacing w:line="240" w:lineRule="auto"/>
              <w:jc w:val="right"/>
            </w:pPr>
            <w:r>
              <w:rPr>
                <w:rFonts w:ascii="宋体" w:hAnsi="宋体" w:cs="宋体" w:eastAsia="宋体"/>
                <w:b w:val="false"/>
              </w:rPr>
              <w:t>16.38%</w:t>
            </w:r>
          </w:p>
        </w:tc>
        <w:tc>
          <w:tcPr>
            <w:tcW/>
            <w:vAlign w:val="center"/>
          </w:tcPr>
          <w:p>
            <w:pPr>
              <w:spacing w:line="240" w:lineRule="auto"/>
              <w:jc w:val="right"/>
            </w:pPr>
            <w:r>
              <w:rPr>
                <w:rFonts w:ascii="宋体" w:hAnsi="宋体" w:cs="宋体" w:eastAsia="宋体"/>
                <w:b w:val="false"/>
              </w:rPr>
              <w:t>0.84%</w:t>
            </w:r>
          </w:p>
        </w:tc>
        <w:tc>
          <w:tcPr>
            <w:tcW/>
            <w:vAlign w:val="center"/>
          </w:tcPr>
          <w:p>
            <w:pPr>
              <w:spacing w:line="240" w:lineRule="auto"/>
              <w:jc w:val="right"/>
            </w:pPr>
            <w:r>
              <w:rPr>
                <w:rFonts w:ascii="宋体" w:hAnsi="宋体" w:cs="宋体" w:eastAsia="宋体"/>
                <w:b w:val="false"/>
              </w:rPr>
              <w:t>-22.97%</w:t>
            </w:r>
          </w:p>
        </w:tc>
        <w:tc>
          <w:tcPr>
            <w:tcW/>
            <w:vAlign w:val="center"/>
          </w:tcPr>
          <w:p>
            <w:pPr>
              <w:spacing w:line="240" w:lineRule="auto"/>
              <w:jc w:val="right"/>
            </w:pPr>
            <w:r>
              <w:rPr>
                <w:rFonts w:ascii="宋体" w:hAnsi="宋体" w:cs="宋体" w:eastAsia="宋体"/>
                <w:b w:val="false"/>
              </w:rPr>
              <w:t>1.02%</w:t>
            </w:r>
          </w:p>
        </w:tc>
      </w:tr>
      <w:tr>
        <w:tc>
          <w:tcPr>
            <w:tcW/>
            <w:vAlign w:val="center"/>
          </w:tcPr>
          <w:p>
            <w:pPr>
              <w:spacing w:line="240" w:lineRule="auto"/>
              <w:jc w:val="left"/>
            </w:pPr>
            <w:r>
              <w:rPr>
                <w:rFonts w:ascii="宋体" w:hAnsi="宋体" w:cs="宋体" w:eastAsia="宋体"/>
                <w:b w:val="false"/>
              </w:rPr>
              <w:t>过去一年</w:t>
            </w:r>
          </w:p>
        </w:tc>
        <w:tc>
          <w:tcPr>
            <w:tcW/>
            <w:vAlign w:val="center"/>
          </w:tcPr>
          <w:p>
            <w:pPr>
              <w:spacing w:line="240" w:lineRule="auto"/>
              <w:jc w:val="right"/>
            </w:pPr>
            <w:r>
              <w:rPr>
                <w:rFonts w:ascii="宋体" w:hAnsi="宋体" w:cs="宋体" w:eastAsia="宋体"/>
                <w:b w:val="false"/>
              </w:rPr>
              <w:t>-8.29%</w:t>
            </w:r>
          </w:p>
        </w:tc>
        <w:tc>
          <w:tcPr>
            <w:tcW/>
            <w:vAlign w:val="center"/>
          </w:tcPr>
          <w:p>
            <w:pPr>
              <w:spacing w:line="240" w:lineRule="auto"/>
              <w:jc w:val="right"/>
            </w:pPr>
            <w:r>
              <w:rPr>
                <w:rFonts w:ascii="宋体" w:hAnsi="宋体" w:cs="宋体" w:eastAsia="宋体"/>
                <w:b w:val="false"/>
              </w:rPr>
              <w:t>1.89%</w:t>
            </w:r>
          </w:p>
        </w:tc>
        <w:tc>
          <w:tcPr>
            <w:tcW/>
            <w:vAlign w:val="center"/>
          </w:tcPr>
          <w:p>
            <w:pPr>
              <w:spacing w:line="240" w:lineRule="auto"/>
              <w:jc w:val="right"/>
            </w:pPr>
            <w:r>
              <w:rPr>
                <w:rFonts w:ascii="宋体" w:hAnsi="宋体" w:cs="宋体" w:eastAsia="宋体"/>
                <w:b w:val="false"/>
              </w:rPr>
              <w:t>19.66%</w:t>
            </w:r>
          </w:p>
        </w:tc>
        <w:tc>
          <w:tcPr>
            <w:tcW/>
            <w:vAlign w:val="center"/>
          </w:tcPr>
          <w:p>
            <w:pPr>
              <w:spacing w:line="240" w:lineRule="auto"/>
              <w:jc w:val="right"/>
            </w:pPr>
            <w:r>
              <w:rPr>
                <w:rFonts w:ascii="宋体" w:hAnsi="宋体" w:cs="宋体" w:eastAsia="宋体"/>
                <w:b w:val="false"/>
              </w:rPr>
              <w:t>0.93%</w:t>
            </w:r>
          </w:p>
        </w:tc>
        <w:tc>
          <w:tcPr>
            <w:tcW/>
            <w:vAlign w:val="center"/>
          </w:tcPr>
          <w:p>
            <w:pPr>
              <w:spacing w:line="240" w:lineRule="auto"/>
              <w:jc w:val="right"/>
            </w:pPr>
            <w:r>
              <w:rPr>
                <w:rFonts w:ascii="宋体" w:hAnsi="宋体" w:cs="宋体" w:eastAsia="宋体"/>
                <w:b w:val="false"/>
              </w:rPr>
              <w:t>-27.95%</w:t>
            </w:r>
          </w:p>
        </w:tc>
        <w:tc>
          <w:tcPr>
            <w:tcW/>
            <w:vAlign w:val="center"/>
          </w:tcPr>
          <w:p>
            <w:pPr>
              <w:spacing w:line="240" w:lineRule="auto"/>
              <w:jc w:val="right"/>
            </w:pPr>
            <w:r>
              <w:rPr>
                <w:rFonts w:ascii="宋体" w:hAnsi="宋体" w:cs="宋体" w:eastAsia="宋体"/>
                <w:b w:val="false"/>
              </w:rPr>
              <w:t>0.96%</w:t>
            </w:r>
          </w:p>
        </w:tc>
      </w:tr>
      <w:tr>
        <w:tc>
          <w:tcPr>
            <w:tcW/>
            <w:vAlign w:val="center"/>
          </w:tcPr>
          <w:p>
            <w:pPr>
              <w:spacing w:line="240" w:lineRule="auto"/>
              <w:jc w:val="left"/>
            </w:pPr>
            <w:r>
              <w:rPr>
                <w:rFonts w:ascii="宋体" w:hAnsi="宋体" w:cs="宋体" w:eastAsia="宋体"/>
                <w:b w:val="false"/>
              </w:rPr>
              <w:t>过去三年</w:t>
            </w:r>
          </w:p>
        </w:tc>
        <w:tc>
          <w:tcPr>
            <w:tcW/>
            <w:vAlign w:val="center"/>
          </w:tcPr>
          <w:p>
            <w:pPr>
              <w:spacing w:line="240" w:lineRule="auto"/>
              <w:jc w:val="right"/>
            </w:pPr>
            <w:r>
              <w:rPr>
                <w:rFonts w:ascii="宋体" w:hAnsi="宋体" w:cs="宋体" w:eastAsia="宋体"/>
                <w:b w:val="false"/>
              </w:rPr>
              <w:t>-37.18%</w:t>
            </w:r>
          </w:p>
        </w:tc>
        <w:tc>
          <w:tcPr>
            <w:tcW/>
            <w:vAlign w:val="center"/>
          </w:tcPr>
          <w:p>
            <w:pPr>
              <w:spacing w:line="240" w:lineRule="auto"/>
              <w:jc w:val="right"/>
            </w:pPr>
            <w:r>
              <w:rPr>
                <w:rFonts w:ascii="宋体" w:hAnsi="宋体" w:cs="宋体" w:eastAsia="宋体"/>
                <w:b w:val="false"/>
              </w:rPr>
              <w:t>1.94%</w:t>
            </w:r>
          </w:p>
        </w:tc>
        <w:tc>
          <w:tcPr>
            <w:tcW/>
            <w:vAlign w:val="center"/>
          </w:tcPr>
          <w:p>
            <w:pPr>
              <w:spacing w:line="240" w:lineRule="auto"/>
              <w:jc w:val="right"/>
            </w:pPr>
            <w:r>
              <w:rPr>
                <w:rFonts w:ascii="宋体" w:hAnsi="宋体" w:cs="宋体" w:eastAsia="宋体"/>
                <w:b w:val="false"/>
              </w:rPr>
              <w:t>22.59%</w:t>
            </w:r>
          </w:p>
        </w:tc>
        <w:tc>
          <w:tcPr>
            <w:tcW/>
            <w:vAlign w:val="center"/>
          </w:tcPr>
          <w:p>
            <w:pPr>
              <w:spacing w:line="240" w:lineRule="auto"/>
              <w:jc w:val="right"/>
            </w:pPr>
            <w:r>
              <w:rPr>
                <w:rFonts w:ascii="宋体" w:hAnsi="宋体" w:cs="宋体" w:eastAsia="宋体"/>
                <w:b w:val="false"/>
              </w:rPr>
              <w:t>0.99%</w:t>
            </w:r>
          </w:p>
        </w:tc>
        <w:tc>
          <w:tcPr>
            <w:tcW/>
            <w:vAlign w:val="center"/>
          </w:tcPr>
          <w:p>
            <w:pPr>
              <w:spacing w:line="240" w:lineRule="auto"/>
              <w:jc w:val="right"/>
            </w:pPr>
            <w:r>
              <w:rPr>
                <w:rFonts w:ascii="宋体" w:hAnsi="宋体" w:cs="宋体" w:eastAsia="宋体"/>
                <w:b w:val="false"/>
              </w:rPr>
              <w:t>-59.77%</w:t>
            </w:r>
          </w:p>
        </w:tc>
        <w:tc>
          <w:tcPr>
            <w:tcW/>
            <w:vAlign w:val="center"/>
          </w:tcPr>
          <w:p>
            <w:pPr>
              <w:spacing w:line="240" w:lineRule="auto"/>
              <w:jc w:val="right"/>
            </w:pPr>
            <w:r>
              <w:rPr>
                <w:rFonts w:ascii="宋体" w:hAnsi="宋体" w:cs="宋体" w:eastAsia="宋体"/>
                <w:b w:val="false"/>
              </w:rPr>
              <w:t>0.95%</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-53.53%</w:t>
            </w:r>
          </w:p>
        </w:tc>
        <w:tc>
          <w:tcPr>
            <w:tcW/>
            <w:vAlign w:val="center"/>
          </w:tcPr>
          <w:p>
            <w:pPr>
              <w:spacing w:line="240" w:lineRule="auto"/>
              <w:jc w:val="right"/>
            </w:pPr>
            <w:r>
              <w:rPr>
                <w:rFonts w:ascii="宋体" w:hAnsi="宋体" w:cs="宋体" w:eastAsia="宋体"/>
                <w:b w:val="false"/>
              </w:rPr>
              <w:t>1.82%</w:t>
            </w:r>
          </w:p>
        </w:tc>
        <w:tc>
          <w:tcPr>
            <w:tcW/>
            <w:vAlign w:val="center"/>
          </w:tcPr>
          <w:p>
            <w:pPr>
              <w:spacing w:line="240" w:lineRule="auto"/>
              <w:jc w:val="right"/>
            </w:pPr>
            <w:r>
              <w:rPr>
                <w:rFonts w:ascii="宋体" w:hAnsi="宋体" w:cs="宋体" w:eastAsia="宋体"/>
                <w:b w:val="false"/>
              </w:rPr>
              <w:t>0.16%</w:t>
            </w:r>
          </w:p>
        </w:tc>
        <w:tc>
          <w:tcPr>
            <w:tcW/>
            <w:vAlign w:val="center"/>
          </w:tcPr>
          <w:p>
            <w:pPr>
              <w:spacing w:line="240" w:lineRule="auto"/>
              <w:jc w:val="right"/>
            </w:pPr>
            <w:r>
              <w:rPr>
                <w:rFonts w:ascii="宋体" w:hAnsi="宋体" w:cs="宋体" w:eastAsia="宋体"/>
                <w:b w:val="false"/>
              </w:rPr>
              <w:t>1.00%</w:t>
            </w:r>
          </w:p>
        </w:tc>
        <w:tc>
          <w:tcPr>
            <w:tcW/>
            <w:vAlign w:val="center"/>
          </w:tcPr>
          <w:p>
            <w:pPr>
              <w:spacing w:line="240" w:lineRule="auto"/>
              <w:jc w:val="right"/>
            </w:pPr>
            <w:r>
              <w:rPr>
                <w:rFonts w:ascii="宋体" w:hAnsi="宋体" w:cs="宋体" w:eastAsia="宋体"/>
                <w:b w:val="false"/>
              </w:rPr>
              <w:t>-53.69%</w:t>
            </w:r>
          </w:p>
        </w:tc>
        <w:tc>
          <w:tcPr>
            <w:tcW/>
            <w:vAlign w:val="center"/>
          </w:tcPr>
          <w:p>
            <w:pPr>
              <w:spacing w:line="240" w:lineRule="auto"/>
              <w:jc w:val="right"/>
            </w:pPr>
            <w:r>
              <w:rPr>
                <w:rFonts w:ascii="宋体" w:hAnsi="宋体" w:cs="宋体" w:eastAsia="宋体"/>
                <w:b w:val="false"/>
              </w:rPr>
              <w:t>0.82%</w:t>
            </w:r>
          </w:p>
        </w:tc>
      </w:tr>
    </w:tbl>
    <w:p>
      <w:pPr>
        <w:jc w:val="left"/>
      </w:pPr>
      <w:r>
        <w:rPr>
          <w:rFonts w:ascii="宋体" w:hAnsi="宋体" w:cs="宋体" w:eastAsia="宋体"/>
          <w:b w:val="true"/>
        </w:rPr>
        <w:t>东方阿尔法招阳混合C净值表现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-2.48%</w:t>
            </w:r>
          </w:p>
        </w:tc>
        <w:tc>
          <w:tcPr>
            <w:tcW/>
            <w:vAlign w:val="center"/>
          </w:tcPr>
          <w:p>
            <w:pPr>
              <w:spacing w:line="240" w:lineRule="auto"/>
              <w:jc w:val="right"/>
            </w:pPr>
            <w:r>
              <w:rPr>
                <w:rFonts w:ascii="宋体" w:hAnsi="宋体" w:cs="宋体" w:eastAsia="宋体"/>
                <w:b w:val="false"/>
              </w:rPr>
              <w:t>1.58%</w:t>
            </w:r>
          </w:p>
        </w:tc>
        <w:tc>
          <w:tcPr>
            <w:tcW/>
            <w:vAlign w:val="center"/>
          </w:tcPr>
          <w:p>
            <w:pPr>
              <w:spacing w:line="240" w:lineRule="auto"/>
              <w:jc w:val="right"/>
            </w:pPr>
            <w:r>
              <w:rPr>
                <w:rFonts w:ascii="宋体" w:hAnsi="宋体" w:cs="宋体" w:eastAsia="宋体"/>
                <w:b w:val="false"/>
              </w:rPr>
              <w:t>-0.36%</w:t>
            </w:r>
          </w:p>
        </w:tc>
        <w:tc>
          <w:tcPr>
            <w:tcW/>
            <w:vAlign w:val="center"/>
          </w:tcPr>
          <w:p>
            <w:pPr>
              <w:spacing w:line="240" w:lineRule="auto"/>
              <w:jc w:val="right"/>
            </w:pPr>
            <w:r>
              <w:rPr>
                <w:rFonts w:ascii="宋体" w:hAnsi="宋体" w:cs="宋体" w:eastAsia="宋体"/>
                <w:b w:val="false"/>
              </w:rPr>
              <w:t>0.89%</w:t>
            </w:r>
          </w:p>
        </w:tc>
        <w:tc>
          <w:tcPr>
            <w:tcW/>
            <w:vAlign w:val="center"/>
          </w:tcPr>
          <w:p>
            <w:pPr>
              <w:spacing w:line="240" w:lineRule="auto"/>
              <w:jc w:val="right"/>
            </w:pPr>
            <w:r>
              <w:rPr>
                <w:rFonts w:ascii="宋体" w:hAnsi="宋体" w:cs="宋体" w:eastAsia="宋体"/>
                <w:b w:val="false"/>
              </w:rPr>
              <w:t>-2.12%</w:t>
            </w:r>
          </w:p>
        </w:tc>
        <w:tc>
          <w:tcPr>
            <w:tcW/>
            <w:vAlign w:val="center"/>
          </w:tcPr>
          <w:p>
            <w:pPr>
              <w:spacing w:line="240" w:lineRule="auto"/>
              <w:jc w:val="right"/>
            </w:pPr>
            <w:r>
              <w:rPr>
                <w:rFonts w:ascii="宋体" w:hAnsi="宋体" w:cs="宋体" w:eastAsia="宋体"/>
                <w:b w:val="false"/>
              </w:rPr>
              <w:t>0.69%</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-6.97%</w:t>
            </w:r>
          </w:p>
        </w:tc>
        <w:tc>
          <w:tcPr>
            <w:tcW/>
            <w:vAlign w:val="center"/>
          </w:tcPr>
          <w:p>
            <w:pPr>
              <w:spacing w:line="240" w:lineRule="auto"/>
              <w:jc w:val="right"/>
            </w:pPr>
            <w:r>
              <w:rPr>
                <w:rFonts w:ascii="宋体" w:hAnsi="宋体" w:cs="宋体" w:eastAsia="宋体"/>
                <w:b w:val="false"/>
              </w:rPr>
              <w:t>1.86%</w:t>
            </w:r>
          </w:p>
        </w:tc>
        <w:tc>
          <w:tcPr>
            <w:tcW/>
            <w:vAlign w:val="center"/>
          </w:tcPr>
          <w:p>
            <w:pPr>
              <w:spacing w:line="240" w:lineRule="auto"/>
              <w:jc w:val="right"/>
            </w:pPr>
            <w:r>
              <w:rPr>
                <w:rFonts w:ascii="宋体" w:hAnsi="宋体" w:cs="宋体" w:eastAsia="宋体"/>
                <w:b w:val="false"/>
              </w:rPr>
              <w:t>16.38%</w:t>
            </w:r>
          </w:p>
        </w:tc>
        <w:tc>
          <w:tcPr>
            <w:tcW/>
            <w:vAlign w:val="center"/>
          </w:tcPr>
          <w:p>
            <w:pPr>
              <w:spacing w:line="240" w:lineRule="auto"/>
              <w:jc w:val="right"/>
            </w:pPr>
            <w:r>
              <w:rPr>
                <w:rFonts w:ascii="宋体" w:hAnsi="宋体" w:cs="宋体" w:eastAsia="宋体"/>
                <w:b w:val="false"/>
              </w:rPr>
              <w:t>0.84%</w:t>
            </w:r>
          </w:p>
        </w:tc>
        <w:tc>
          <w:tcPr>
            <w:tcW/>
            <w:vAlign w:val="center"/>
          </w:tcPr>
          <w:p>
            <w:pPr>
              <w:spacing w:line="240" w:lineRule="auto"/>
              <w:jc w:val="right"/>
            </w:pPr>
            <w:r>
              <w:rPr>
                <w:rFonts w:ascii="宋体" w:hAnsi="宋体" w:cs="宋体" w:eastAsia="宋体"/>
                <w:b w:val="false"/>
              </w:rPr>
              <w:t>-23.35%</w:t>
            </w:r>
          </w:p>
        </w:tc>
        <w:tc>
          <w:tcPr>
            <w:tcW/>
            <w:vAlign w:val="center"/>
          </w:tcPr>
          <w:p>
            <w:pPr>
              <w:spacing w:line="240" w:lineRule="auto"/>
              <w:jc w:val="right"/>
            </w:pPr>
            <w:r>
              <w:rPr>
                <w:rFonts w:ascii="宋体" w:hAnsi="宋体" w:cs="宋体" w:eastAsia="宋体"/>
                <w:b w:val="false"/>
              </w:rPr>
              <w:t>1.02%</w:t>
            </w:r>
          </w:p>
        </w:tc>
      </w:tr>
      <w:tr>
        <w:tc>
          <w:tcPr>
            <w:tcW/>
            <w:vAlign w:val="center"/>
          </w:tcPr>
          <w:p>
            <w:pPr>
              <w:spacing w:line="240" w:lineRule="auto"/>
              <w:jc w:val="left"/>
            </w:pPr>
            <w:r>
              <w:rPr>
                <w:rFonts w:ascii="宋体" w:hAnsi="宋体" w:cs="宋体" w:eastAsia="宋体"/>
                <w:b w:val="false"/>
              </w:rPr>
              <w:t>过去一年</w:t>
            </w:r>
          </w:p>
        </w:tc>
        <w:tc>
          <w:tcPr>
            <w:tcW/>
            <w:vAlign w:val="center"/>
          </w:tcPr>
          <w:p>
            <w:pPr>
              <w:spacing w:line="240" w:lineRule="auto"/>
              <w:jc w:val="right"/>
            </w:pPr>
            <w:r>
              <w:rPr>
                <w:rFonts w:ascii="宋体" w:hAnsi="宋体" w:cs="宋体" w:eastAsia="宋体"/>
                <w:b w:val="false"/>
              </w:rPr>
              <w:t>-9.03%</w:t>
            </w:r>
          </w:p>
        </w:tc>
        <w:tc>
          <w:tcPr>
            <w:tcW/>
            <w:vAlign w:val="center"/>
          </w:tcPr>
          <w:p>
            <w:pPr>
              <w:spacing w:line="240" w:lineRule="auto"/>
              <w:jc w:val="right"/>
            </w:pPr>
            <w:r>
              <w:rPr>
                <w:rFonts w:ascii="宋体" w:hAnsi="宋体" w:cs="宋体" w:eastAsia="宋体"/>
                <w:b w:val="false"/>
              </w:rPr>
              <w:t>1.89%</w:t>
            </w:r>
          </w:p>
        </w:tc>
        <w:tc>
          <w:tcPr>
            <w:tcW/>
            <w:vAlign w:val="center"/>
          </w:tcPr>
          <w:p>
            <w:pPr>
              <w:spacing w:line="240" w:lineRule="auto"/>
              <w:jc w:val="right"/>
            </w:pPr>
            <w:r>
              <w:rPr>
                <w:rFonts w:ascii="宋体" w:hAnsi="宋体" w:cs="宋体" w:eastAsia="宋体"/>
                <w:b w:val="false"/>
              </w:rPr>
              <w:t>19.66%</w:t>
            </w:r>
          </w:p>
        </w:tc>
        <w:tc>
          <w:tcPr>
            <w:tcW/>
            <w:vAlign w:val="center"/>
          </w:tcPr>
          <w:p>
            <w:pPr>
              <w:spacing w:line="240" w:lineRule="auto"/>
              <w:jc w:val="right"/>
            </w:pPr>
            <w:r>
              <w:rPr>
                <w:rFonts w:ascii="宋体" w:hAnsi="宋体" w:cs="宋体" w:eastAsia="宋体"/>
                <w:b w:val="false"/>
              </w:rPr>
              <w:t>0.93%</w:t>
            </w:r>
          </w:p>
        </w:tc>
        <w:tc>
          <w:tcPr>
            <w:tcW/>
            <w:vAlign w:val="center"/>
          </w:tcPr>
          <w:p>
            <w:pPr>
              <w:spacing w:line="240" w:lineRule="auto"/>
              <w:jc w:val="right"/>
            </w:pPr>
            <w:r>
              <w:rPr>
                <w:rFonts w:ascii="宋体" w:hAnsi="宋体" w:cs="宋体" w:eastAsia="宋体"/>
                <w:b w:val="false"/>
              </w:rPr>
              <w:t>-28.69%</w:t>
            </w:r>
          </w:p>
        </w:tc>
        <w:tc>
          <w:tcPr>
            <w:tcW/>
            <w:vAlign w:val="center"/>
          </w:tcPr>
          <w:p>
            <w:pPr>
              <w:spacing w:line="240" w:lineRule="auto"/>
              <w:jc w:val="right"/>
            </w:pPr>
            <w:r>
              <w:rPr>
                <w:rFonts w:ascii="宋体" w:hAnsi="宋体" w:cs="宋体" w:eastAsia="宋体"/>
                <w:b w:val="false"/>
              </w:rPr>
              <w:t>0.96%</w:t>
            </w:r>
          </w:p>
        </w:tc>
      </w:tr>
      <w:tr>
        <w:tc>
          <w:tcPr>
            <w:tcW/>
            <w:vAlign w:val="center"/>
          </w:tcPr>
          <w:p>
            <w:pPr>
              <w:spacing w:line="240" w:lineRule="auto"/>
              <w:jc w:val="left"/>
            </w:pPr>
            <w:r>
              <w:rPr>
                <w:rFonts w:ascii="宋体" w:hAnsi="宋体" w:cs="宋体" w:eastAsia="宋体"/>
                <w:b w:val="false"/>
              </w:rPr>
              <w:t>过去三年</w:t>
            </w:r>
          </w:p>
        </w:tc>
        <w:tc>
          <w:tcPr>
            <w:tcW/>
            <w:vAlign w:val="center"/>
          </w:tcPr>
          <w:p>
            <w:pPr>
              <w:spacing w:line="240" w:lineRule="auto"/>
              <w:jc w:val="right"/>
            </w:pPr>
            <w:r>
              <w:rPr>
                <w:rFonts w:ascii="宋体" w:hAnsi="宋体" w:cs="宋体" w:eastAsia="宋体"/>
                <w:b w:val="false"/>
              </w:rPr>
              <w:t>-38.86%</w:t>
            </w:r>
          </w:p>
        </w:tc>
        <w:tc>
          <w:tcPr>
            <w:tcW/>
            <w:vAlign w:val="center"/>
          </w:tcPr>
          <w:p>
            <w:pPr>
              <w:spacing w:line="240" w:lineRule="auto"/>
              <w:jc w:val="right"/>
            </w:pPr>
            <w:r>
              <w:rPr>
                <w:rFonts w:ascii="宋体" w:hAnsi="宋体" w:cs="宋体" w:eastAsia="宋体"/>
                <w:b w:val="false"/>
              </w:rPr>
              <w:t>1.94%</w:t>
            </w:r>
          </w:p>
        </w:tc>
        <w:tc>
          <w:tcPr>
            <w:tcW/>
            <w:vAlign w:val="center"/>
          </w:tcPr>
          <w:p>
            <w:pPr>
              <w:spacing w:line="240" w:lineRule="auto"/>
              <w:jc w:val="right"/>
            </w:pPr>
            <w:r>
              <w:rPr>
                <w:rFonts w:ascii="宋体" w:hAnsi="宋体" w:cs="宋体" w:eastAsia="宋体"/>
                <w:b w:val="false"/>
              </w:rPr>
              <w:t>22.59%</w:t>
            </w:r>
          </w:p>
        </w:tc>
        <w:tc>
          <w:tcPr>
            <w:tcW/>
            <w:vAlign w:val="center"/>
          </w:tcPr>
          <w:p>
            <w:pPr>
              <w:spacing w:line="240" w:lineRule="auto"/>
              <w:jc w:val="right"/>
            </w:pPr>
            <w:r>
              <w:rPr>
                <w:rFonts w:ascii="宋体" w:hAnsi="宋体" w:cs="宋体" w:eastAsia="宋体"/>
                <w:b w:val="false"/>
              </w:rPr>
              <w:t>0.99%</w:t>
            </w:r>
          </w:p>
        </w:tc>
        <w:tc>
          <w:tcPr>
            <w:tcW/>
            <w:vAlign w:val="center"/>
          </w:tcPr>
          <w:p>
            <w:pPr>
              <w:spacing w:line="240" w:lineRule="auto"/>
              <w:jc w:val="right"/>
            </w:pPr>
            <w:r>
              <w:rPr>
                <w:rFonts w:ascii="宋体" w:hAnsi="宋体" w:cs="宋体" w:eastAsia="宋体"/>
                <w:b w:val="false"/>
              </w:rPr>
              <w:t>-61.45%</w:t>
            </w:r>
          </w:p>
        </w:tc>
        <w:tc>
          <w:tcPr>
            <w:tcW/>
            <w:vAlign w:val="center"/>
          </w:tcPr>
          <w:p>
            <w:pPr>
              <w:spacing w:line="240" w:lineRule="auto"/>
              <w:jc w:val="right"/>
            </w:pPr>
            <w:r>
              <w:rPr>
                <w:rFonts w:ascii="宋体" w:hAnsi="宋体" w:cs="宋体" w:eastAsia="宋体"/>
                <w:b w:val="false"/>
              </w:rPr>
              <w:t>0.95%</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-55.97%</w:t>
            </w:r>
          </w:p>
        </w:tc>
        <w:tc>
          <w:tcPr>
            <w:tcW/>
            <w:vAlign w:val="center"/>
          </w:tcPr>
          <w:p>
            <w:pPr>
              <w:spacing w:line="240" w:lineRule="auto"/>
              <w:jc w:val="right"/>
            </w:pPr>
            <w:r>
              <w:rPr>
                <w:rFonts w:ascii="宋体" w:hAnsi="宋体" w:cs="宋体" w:eastAsia="宋体"/>
                <w:b w:val="false"/>
              </w:rPr>
              <w:t>1.82%</w:t>
            </w:r>
          </w:p>
        </w:tc>
        <w:tc>
          <w:tcPr>
            <w:tcW/>
            <w:vAlign w:val="center"/>
          </w:tcPr>
          <w:p>
            <w:pPr>
              <w:spacing w:line="240" w:lineRule="auto"/>
              <w:jc w:val="right"/>
            </w:pPr>
            <w:r>
              <w:rPr>
                <w:rFonts w:ascii="宋体" w:hAnsi="宋体" w:cs="宋体" w:eastAsia="宋体"/>
                <w:b w:val="false"/>
              </w:rPr>
              <w:t>0.16%</w:t>
            </w:r>
          </w:p>
        </w:tc>
        <w:tc>
          <w:tcPr>
            <w:tcW/>
            <w:vAlign w:val="center"/>
          </w:tcPr>
          <w:p>
            <w:pPr>
              <w:spacing w:line="240" w:lineRule="auto"/>
              <w:jc w:val="right"/>
            </w:pPr>
            <w:r>
              <w:rPr>
                <w:rFonts w:ascii="宋体" w:hAnsi="宋体" w:cs="宋体" w:eastAsia="宋体"/>
                <w:b w:val="false"/>
              </w:rPr>
              <w:t>1.00%</w:t>
            </w:r>
          </w:p>
        </w:tc>
        <w:tc>
          <w:tcPr>
            <w:tcW/>
            <w:vAlign w:val="center"/>
          </w:tcPr>
          <w:p>
            <w:pPr>
              <w:spacing w:line="240" w:lineRule="auto"/>
              <w:jc w:val="right"/>
            </w:pPr>
            <w:r>
              <w:rPr>
                <w:rFonts w:ascii="宋体" w:hAnsi="宋体" w:cs="宋体" w:eastAsia="宋体"/>
                <w:b w:val="false"/>
              </w:rPr>
              <w:t>-56.13%</w:t>
            </w:r>
          </w:p>
        </w:tc>
        <w:tc>
          <w:tcPr>
            <w:tcW/>
            <w:vAlign w:val="center"/>
          </w:tcPr>
          <w:p>
            <w:pPr>
              <w:spacing w:line="240" w:lineRule="auto"/>
              <w:jc w:val="right"/>
            </w:pPr>
            <w:r>
              <w:rPr>
                <w:rFonts w:ascii="宋体" w:hAnsi="宋体" w:cs="宋体" w:eastAsia="宋体"/>
                <w:b w:val="false"/>
              </w:rPr>
              <w:t>0.82%</w:t>
            </w:r>
          </w:p>
        </w:tc>
      </w:tr>
    </w:tbl>
    <w:p>
      <w:pPr>
        <w:jc w:val="left"/>
      </w:pPr>
      <w:r>
        <w:rPr>
          <w:rFonts w:ascii="宋体" w:hAnsi="宋体" w:cs="宋体" w:eastAsia="宋体"/>
          <w:b w:val="true"/>
        </w:rPr>
        <w:t>东方阿尔法招阳混合E净值表现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-2.38%</w:t>
            </w:r>
          </w:p>
        </w:tc>
        <w:tc>
          <w:tcPr>
            <w:tcW/>
            <w:vAlign w:val="center"/>
          </w:tcPr>
          <w:p>
            <w:pPr>
              <w:spacing w:line="240" w:lineRule="auto"/>
              <w:jc w:val="right"/>
            </w:pPr>
            <w:r>
              <w:rPr>
                <w:rFonts w:ascii="宋体" w:hAnsi="宋体" w:cs="宋体" w:eastAsia="宋体"/>
                <w:b w:val="false"/>
              </w:rPr>
              <w:t>1.58%</w:t>
            </w:r>
          </w:p>
        </w:tc>
        <w:tc>
          <w:tcPr>
            <w:tcW/>
            <w:vAlign w:val="center"/>
          </w:tcPr>
          <w:p>
            <w:pPr>
              <w:spacing w:line="240" w:lineRule="auto"/>
              <w:jc w:val="right"/>
            </w:pPr>
            <w:r>
              <w:rPr>
                <w:rFonts w:ascii="宋体" w:hAnsi="宋体" w:cs="宋体" w:eastAsia="宋体"/>
                <w:b w:val="false"/>
              </w:rPr>
              <w:t>-0.36%</w:t>
            </w:r>
          </w:p>
        </w:tc>
        <w:tc>
          <w:tcPr>
            <w:tcW/>
            <w:vAlign w:val="center"/>
          </w:tcPr>
          <w:p>
            <w:pPr>
              <w:spacing w:line="240" w:lineRule="auto"/>
              <w:jc w:val="right"/>
            </w:pPr>
            <w:r>
              <w:rPr>
                <w:rFonts w:ascii="宋体" w:hAnsi="宋体" w:cs="宋体" w:eastAsia="宋体"/>
                <w:b w:val="false"/>
              </w:rPr>
              <w:t>0.89%</w:t>
            </w:r>
          </w:p>
        </w:tc>
        <w:tc>
          <w:tcPr>
            <w:tcW/>
            <w:vAlign w:val="center"/>
          </w:tcPr>
          <w:p>
            <w:pPr>
              <w:spacing w:line="240" w:lineRule="auto"/>
              <w:jc w:val="right"/>
            </w:pPr>
            <w:r>
              <w:rPr>
                <w:rFonts w:ascii="宋体" w:hAnsi="宋体" w:cs="宋体" w:eastAsia="宋体"/>
                <w:b w:val="false"/>
              </w:rPr>
              <w:t>-2.02%</w:t>
            </w:r>
          </w:p>
        </w:tc>
        <w:tc>
          <w:tcPr>
            <w:tcW/>
            <w:vAlign w:val="center"/>
          </w:tcPr>
          <w:p>
            <w:pPr>
              <w:spacing w:line="240" w:lineRule="auto"/>
              <w:jc w:val="right"/>
            </w:pPr>
            <w:r>
              <w:rPr>
                <w:rFonts w:ascii="宋体" w:hAnsi="宋体" w:cs="宋体" w:eastAsia="宋体"/>
                <w:b w:val="false"/>
              </w:rPr>
              <w:t>0.69%</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-6.83%</w:t>
            </w:r>
          </w:p>
        </w:tc>
        <w:tc>
          <w:tcPr>
            <w:tcW/>
            <w:vAlign w:val="center"/>
          </w:tcPr>
          <w:p>
            <w:pPr>
              <w:spacing w:line="240" w:lineRule="auto"/>
              <w:jc w:val="right"/>
            </w:pPr>
            <w:r>
              <w:rPr>
                <w:rFonts w:ascii="宋体" w:hAnsi="宋体" w:cs="宋体" w:eastAsia="宋体"/>
                <w:b w:val="false"/>
              </w:rPr>
              <w:t>1.86%</w:t>
            </w:r>
          </w:p>
        </w:tc>
        <w:tc>
          <w:tcPr>
            <w:tcW/>
            <w:vAlign w:val="center"/>
          </w:tcPr>
          <w:p>
            <w:pPr>
              <w:spacing w:line="240" w:lineRule="auto"/>
              <w:jc w:val="right"/>
            </w:pPr>
            <w:r>
              <w:rPr>
                <w:rFonts w:ascii="宋体" w:hAnsi="宋体" w:cs="宋体" w:eastAsia="宋体"/>
                <w:b w:val="false"/>
              </w:rPr>
              <w:t>16.38%</w:t>
            </w:r>
          </w:p>
        </w:tc>
        <w:tc>
          <w:tcPr>
            <w:tcW/>
            <w:vAlign w:val="center"/>
          </w:tcPr>
          <w:p>
            <w:pPr>
              <w:spacing w:line="240" w:lineRule="auto"/>
              <w:jc w:val="right"/>
            </w:pPr>
            <w:r>
              <w:rPr>
                <w:rFonts w:ascii="宋体" w:hAnsi="宋体" w:cs="宋体" w:eastAsia="宋体"/>
                <w:b w:val="false"/>
              </w:rPr>
              <w:t>0.84%</w:t>
            </w:r>
          </w:p>
        </w:tc>
        <w:tc>
          <w:tcPr>
            <w:tcW/>
            <w:vAlign w:val="center"/>
          </w:tcPr>
          <w:p>
            <w:pPr>
              <w:spacing w:line="240" w:lineRule="auto"/>
              <w:jc w:val="right"/>
            </w:pPr>
            <w:r>
              <w:rPr>
                <w:rFonts w:ascii="宋体" w:hAnsi="宋体" w:cs="宋体" w:eastAsia="宋体"/>
                <w:b w:val="false"/>
              </w:rPr>
              <w:t>-23.21%</w:t>
            </w:r>
          </w:p>
        </w:tc>
        <w:tc>
          <w:tcPr>
            <w:tcW/>
            <w:vAlign w:val="center"/>
          </w:tcPr>
          <w:p>
            <w:pPr>
              <w:spacing w:line="240" w:lineRule="auto"/>
              <w:jc w:val="right"/>
            </w:pPr>
            <w:r>
              <w:rPr>
                <w:rFonts w:ascii="宋体" w:hAnsi="宋体" w:cs="宋体" w:eastAsia="宋体"/>
                <w:b w:val="false"/>
              </w:rPr>
              <w:t>1.02%</w:t>
            </w:r>
          </w:p>
        </w:tc>
      </w:tr>
      <w:tr>
        <w:tc>
          <w:tcPr>
            <w:tcW/>
            <w:vAlign w:val="center"/>
          </w:tcPr>
          <w:p>
            <w:pPr>
              <w:spacing w:line="240" w:lineRule="auto"/>
              <w:jc w:val="left"/>
            </w:pPr>
            <w:r>
              <w:rPr>
                <w:rFonts w:ascii="宋体" w:hAnsi="宋体" w:cs="宋体" w:eastAsia="宋体"/>
                <w:b w:val="false"/>
              </w:rPr>
              <w:t>过去一年</w:t>
            </w:r>
          </w:p>
        </w:tc>
        <w:tc>
          <w:tcPr>
            <w:tcW/>
            <w:vAlign w:val="center"/>
          </w:tcPr>
          <w:p>
            <w:pPr>
              <w:spacing w:line="240" w:lineRule="auto"/>
              <w:jc w:val="right"/>
            </w:pPr>
            <w:r>
              <w:rPr>
                <w:rFonts w:ascii="宋体" w:hAnsi="宋体" w:cs="宋体" w:eastAsia="宋体"/>
                <w:b w:val="false"/>
              </w:rPr>
              <w:t>-8.75%</w:t>
            </w:r>
          </w:p>
        </w:tc>
        <w:tc>
          <w:tcPr>
            <w:tcW/>
            <w:vAlign w:val="center"/>
          </w:tcPr>
          <w:p>
            <w:pPr>
              <w:spacing w:line="240" w:lineRule="auto"/>
              <w:jc w:val="right"/>
            </w:pPr>
            <w:r>
              <w:rPr>
                <w:rFonts w:ascii="宋体" w:hAnsi="宋体" w:cs="宋体" w:eastAsia="宋体"/>
                <w:b w:val="false"/>
              </w:rPr>
              <w:t>1.89%</w:t>
            </w:r>
          </w:p>
        </w:tc>
        <w:tc>
          <w:tcPr>
            <w:tcW/>
            <w:vAlign w:val="center"/>
          </w:tcPr>
          <w:p>
            <w:pPr>
              <w:spacing w:line="240" w:lineRule="auto"/>
              <w:jc w:val="right"/>
            </w:pPr>
            <w:r>
              <w:rPr>
                <w:rFonts w:ascii="宋体" w:hAnsi="宋体" w:cs="宋体" w:eastAsia="宋体"/>
                <w:b w:val="false"/>
              </w:rPr>
              <w:t>19.66%</w:t>
            </w:r>
          </w:p>
        </w:tc>
        <w:tc>
          <w:tcPr>
            <w:tcW/>
            <w:vAlign w:val="center"/>
          </w:tcPr>
          <w:p>
            <w:pPr>
              <w:spacing w:line="240" w:lineRule="auto"/>
              <w:jc w:val="right"/>
            </w:pPr>
            <w:r>
              <w:rPr>
                <w:rFonts w:ascii="宋体" w:hAnsi="宋体" w:cs="宋体" w:eastAsia="宋体"/>
                <w:b w:val="false"/>
              </w:rPr>
              <w:t>0.93%</w:t>
            </w:r>
          </w:p>
        </w:tc>
        <w:tc>
          <w:tcPr>
            <w:tcW/>
            <w:vAlign w:val="center"/>
          </w:tcPr>
          <w:p>
            <w:pPr>
              <w:spacing w:line="240" w:lineRule="auto"/>
              <w:jc w:val="right"/>
            </w:pPr>
            <w:r>
              <w:rPr>
                <w:rFonts w:ascii="宋体" w:hAnsi="宋体" w:cs="宋体" w:eastAsia="宋体"/>
                <w:b w:val="false"/>
              </w:rPr>
              <w:t>-28.41%</w:t>
            </w:r>
          </w:p>
        </w:tc>
        <w:tc>
          <w:tcPr>
            <w:tcW/>
            <w:vAlign w:val="center"/>
          </w:tcPr>
          <w:p>
            <w:pPr>
              <w:spacing w:line="240" w:lineRule="auto"/>
              <w:jc w:val="right"/>
            </w:pPr>
            <w:r>
              <w:rPr>
                <w:rFonts w:ascii="宋体" w:hAnsi="宋体" w:cs="宋体" w:eastAsia="宋体"/>
                <w:b w:val="false"/>
              </w:rPr>
              <w:t>0.96%</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-30.62%</w:t>
            </w:r>
          </w:p>
        </w:tc>
        <w:tc>
          <w:tcPr>
            <w:tcW/>
            <w:vAlign w:val="center"/>
          </w:tcPr>
          <w:p>
            <w:pPr>
              <w:spacing w:line="240" w:lineRule="auto"/>
              <w:jc w:val="right"/>
            </w:pPr>
            <w:r>
              <w:rPr>
                <w:rFonts w:ascii="宋体" w:hAnsi="宋体" w:cs="宋体" w:eastAsia="宋体"/>
                <w:b w:val="false"/>
              </w:rPr>
              <w:t>1.98%</w:t>
            </w:r>
          </w:p>
        </w:tc>
        <w:tc>
          <w:tcPr>
            <w:tcW/>
            <w:vAlign w:val="center"/>
          </w:tcPr>
          <w:p>
            <w:pPr>
              <w:spacing w:line="240" w:lineRule="auto"/>
              <w:jc w:val="right"/>
            </w:pPr>
            <w:r>
              <w:rPr>
                <w:rFonts w:ascii="宋体" w:hAnsi="宋体" w:cs="宋体" w:eastAsia="宋体"/>
                <w:b w:val="false"/>
              </w:rPr>
              <w:t>18.75%</w:t>
            </w:r>
          </w:p>
        </w:tc>
        <w:tc>
          <w:tcPr>
            <w:tcW/>
            <w:vAlign w:val="center"/>
          </w:tcPr>
          <w:p>
            <w:pPr>
              <w:spacing w:line="240" w:lineRule="auto"/>
              <w:jc w:val="right"/>
            </w:pPr>
            <w:r>
              <w:rPr>
                <w:rFonts w:ascii="宋体" w:hAnsi="宋体" w:cs="宋体" w:eastAsia="宋体"/>
                <w:b w:val="false"/>
              </w:rPr>
              <w:t>1.01%</w:t>
            </w:r>
          </w:p>
        </w:tc>
        <w:tc>
          <w:tcPr>
            <w:tcW/>
            <w:vAlign w:val="center"/>
          </w:tcPr>
          <w:p>
            <w:pPr>
              <w:spacing w:line="240" w:lineRule="auto"/>
              <w:jc w:val="right"/>
            </w:pPr>
            <w:r>
              <w:rPr>
                <w:rFonts w:ascii="宋体" w:hAnsi="宋体" w:cs="宋体" w:eastAsia="宋体"/>
                <w:b w:val="false"/>
              </w:rPr>
              <w:t>-49.37%</w:t>
            </w:r>
          </w:p>
        </w:tc>
        <w:tc>
          <w:tcPr>
            <w:tcW/>
            <w:vAlign w:val="center"/>
          </w:tcPr>
          <w:p>
            <w:pPr>
              <w:spacing w:line="240" w:lineRule="auto"/>
              <w:jc w:val="right"/>
            </w:pPr>
            <w:r>
              <w:rPr>
                <w:rFonts w:ascii="宋体" w:hAnsi="宋体" w:cs="宋体" w:eastAsia="宋体"/>
                <w:b w:val="false"/>
              </w:rPr>
              <w:t>0.97%</w:t>
            </w:r>
          </w:p>
        </w:tc>
      </w:tr>
    </w:tbl>
    <w:p>
      <w:r>
        <w:rPr>
          <w:rFonts w:ascii="宋体" w:hAnsi="宋体" w:cs="宋体" w:eastAsia="宋体"/>
          <w:b w:val="false"/>
        </w:rPr>
        <w:t>注：1、本基金成立于2021年3月17日。自2023年5月10日起，本基金增设E类份额类别，份额首次确认日为2023年5月11日，增设当期的相关数据和指标按实际存续期计算。</w:t>
        <w:cr/>
      </w:r>
      <w:r>
        <w:rPr>
          <w:rFonts w:ascii="宋体" w:hAnsi="宋体" w:cs="宋体" w:eastAsia="宋体"/>
          <w:b w:val="false"/>
        </w:rPr>
        <w:t>2、本基金业绩比较基准为：中证800指数收益率×80%+中证综合债券指数收益率×10%+恒生指数收益率×10%。</w:t>
      </w:r>
    </w:p>
    <w:p/>
    <w:p>
      <w:pPr>
        <w:pStyle w:val="zhangjiep2"/>
      </w:pPr>
      <w:r>
        <w:rPr>
          <w:rStyle w:val="正文"/>
          <w:rFonts w:ascii="宋体" w:hAnsi="宋体" w:cs="宋体" w:eastAsia="宋体"/>
          <w:b w:val="true"/>
        </w:rPr>
        <w:t>3.2.2 自基金合同生效以来基金累计净值增长率变动及其与同期业绩比较基准收益率变动的比较</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r>
        <w:drawing>
          <wp:inline distT="0" distR="0" distB="0" distL="0">
            <wp:extent cx="5715000" cy="3048000"/>
            <wp:docPr id="3" name="Drawing 3" descr="Generated"/>
            <a:graphic xmlns:a="http://schemas.openxmlformats.org/drawingml/2006/main">
              <a:graphicData uri="http://schemas.openxmlformats.org/drawingml/2006/picture">
                <pic:pic xmlns:pic="http://schemas.openxmlformats.org/drawingml/2006/picture">
                  <pic:nvPicPr>
                    <pic:cNvPr id="0" name="Picture 3" descr="Generated"/>
                    <pic:cNvPicPr>
                      <a:picLocks noChangeAspect="true"/>
                    </pic:cNvPicPr>
                  </pic:nvPicPr>
                  <pic:blipFill>
                    <a:blip r:embed="rId18"/>
                    <a:stretch>
                      <a:fillRect/>
                    </a:stretch>
                  </pic:blipFill>
                  <pic:spPr>
                    <a:xfrm>
                      <a:off x="0" y="0"/>
                      <a:ext cx="5715000" cy="3048000"/>
                    </a:xfrm>
                    <a:prstGeom prst="rect">
                      <a:avLst/>
                    </a:prstGeom>
                  </pic:spPr>
                </pic:pic>
              </a:graphicData>
            </a:graphic>
          </wp:inline>
        </w:drawing>
      </w:r>
    </w:p>
    <w:p>
      <w:r>
        <w:rPr>
          <w:rFonts w:ascii="宋体" w:hAnsi="宋体" w:cs="宋体" w:eastAsia="宋体"/>
          <w:b w:val="false"/>
        </w:rPr>
        <w:t>注：自2023年5月10日起，本基金增设E类份额类别，份额首次确认日为2023年5月11日，增设当期的相关数据和指标按实际存续期计算。</w:t>
      </w:r>
    </w:p>
    <w:p>
      <w:pPr>
        <w:pStyle w:val="1"/>
        <w:jc w:val="center"/>
      </w:pPr>
      <w:r>
        <w:rPr>
          <w:rFonts w:ascii="宋体" w:hAnsi="宋体" w:cs="宋体" w:eastAsia="宋体"/>
        </w:rPr>
        <w:t>§4 管理人报告</w:t>
      </w:r>
    </w:p>
    <w:p>
      <w:pPr>
        <w:pStyle w:val="2"/>
        <w:jc w:val="left"/>
      </w:pPr>
      <w:r>
        <w:rPr>
          <w:rFonts w:ascii="宋体" w:hAnsi="宋体" w:cs="宋体" w:eastAsia="宋体"/>
        </w:rPr>
        <w:t>4.1 基金经理（或基金经理小组）简介</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538"/>
            <w:vMerge w:val="restart"/>
            <w:vAlign w:val="center"/>
          </w:tcPr>
          <w:tcPr>
            <w:shd w:fill="d9d9d9"/>
          </w:tcPr>
          <w:p>
            <w:pPr>
              <w:spacing w:line="240" w:lineRule="auto"/>
              <w:jc w:val="center"/>
            </w:pPr>
            <w:r>
              <w:rPr>
                <w:rFonts w:ascii="宋体" w:hAnsi="宋体" w:cs="宋体" w:eastAsia="宋体"/>
                <w:b w:val="false"/>
              </w:rPr>
              <w:t>姓名</w:t>
            </w:r>
          </w:p>
        </w:tc>
        <w:tc>
          <w:tcPr>
            <w:tcW w:type="pct" w:w="1231"/>
            <w:vMerge w:val="restart"/>
            <w:vAlign w:val="center"/>
          </w:tcPr>
          <w:tcPr>
            <w:shd w:fill="d9d9d9"/>
          </w:tcPr>
          <w:p>
            <w:pPr>
              <w:spacing w:line="240" w:lineRule="auto"/>
              <w:jc w:val="center"/>
            </w:pPr>
            <w:r>
              <w:rPr>
                <w:rFonts w:ascii="宋体" w:hAnsi="宋体" w:cs="宋体" w:eastAsia="宋体"/>
                <w:b w:val="false"/>
              </w:rPr>
              <w:t>职务</w:t>
            </w:r>
          </w:p>
        </w:tc>
        <w:tc>
          <w:tcPr>
            <w:tcW w:type="pct" w:w="808"/>
            <w:hMerge w:val="restart"/>
            <w:vAlign w:val="center"/>
          </w:tcPr>
          <w:tcPr>
            <w:shd w:fill="d9d9d9"/>
          </w:tcPr>
          <w:p>
            <w:pPr>
              <w:spacing w:line="240" w:lineRule="auto"/>
              <w:jc w:val="center"/>
            </w:pPr>
            <w:r>
              <w:rPr>
                <w:rFonts w:ascii="宋体" w:hAnsi="宋体" w:cs="宋体" w:eastAsia="宋体"/>
                <w:b w:val="false"/>
              </w:rPr>
              <w:t>任本基金的基金经理期限</w:t>
            </w:r>
          </w:p>
        </w:tc>
        <w:tc>
          <w:tcPr>
            <w:hMerge w:val="continue"/>
          </w:tcPr>
          <w:p/>
        </w:tc>
        <w:tc>
          <w:tcPr>
            <w:tcW w:type="pct" w:w="308"/>
            <w:vMerge w:val="restart"/>
            <w:vAlign w:val="center"/>
          </w:tcPr>
          <w:tcPr>
            <w:shd w:fill="d9d9d9"/>
          </w:tcPr>
          <w:p>
            <w:pPr>
              <w:spacing w:line="240" w:lineRule="auto"/>
              <w:jc w:val="center"/>
            </w:pPr>
            <w:r>
              <w:rPr>
                <w:rFonts w:ascii="宋体" w:hAnsi="宋体" w:cs="宋体" w:eastAsia="宋体"/>
                <w:b w:val="false"/>
              </w:rPr>
              <w:t>证券从业年限</w:t>
            </w:r>
          </w:p>
        </w:tc>
        <w:tc>
          <w:tcPr>
            <w:tcW w:type="pct" w:w="1462"/>
            <w:vMerge w:val="restart"/>
            <w:vAlign w:val="center"/>
          </w:tcPr>
          <w:tcPr>
            <w:shd w:fill="d9d9d9"/>
          </w:tcPr>
          <w:p>
            <w:pPr>
              <w:spacing w:line="240" w:lineRule="auto"/>
              <w:jc w:val="center"/>
            </w:pPr>
            <w:r>
              <w:rPr>
                <w:rFonts w:ascii="宋体" w:hAnsi="宋体" w:cs="宋体" w:eastAsia="宋体"/>
                <w:b w:val="false"/>
              </w:rPr>
              <w:t>说明</w:t>
            </w:r>
          </w:p>
        </w:tc>
      </w:tr>
      <w:tr>
        <w:tc>
          <w:tcPr>
            <w:vMerge w:val="continue"/>
          </w:tcPr>
          <w:p/>
        </w:tc>
        <w:tc>
          <w:tcPr>
            <w:vMerge w:val="continue"/>
          </w:tcPr>
          <w:p/>
        </w:tc>
        <w:tc>
          <w:tcPr>
            <w:tcW w:type="pct" w:w="400"/>
            <w:vAlign w:val="center"/>
          </w:tcPr>
          <w:tcPr>
            <w:shd w:fill="d9d9d9"/>
          </w:tcPr>
          <w:p>
            <w:pPr>
              <w:spacing w:line="240" w:lineRule="auto"/>
              <w:jc w:val="center"/>
            </w:pPr>
            <w:r>
              <w:rPr>
                <w:rFonts w:ascii="宋体" w:hAnsi="宋体" w:cs="宋体" w:eastAsia="宋体"/>
                <w:b w:val="false"/>
              </w:rPr>
              <w:t>任职日期</w:t>
            </w:r>
          </w:p>
        </w:tc>
        <w:tc>
          <w:tcPr>
            <w:tcW w:type="pct" w:w="392"/>
            <w:vAlign w:val="center"/>
          </w:tcPr>
          <w:tcPr>
            <w:shd w:fill="d9d9d9"/>
          </w:tcPr>
          <w:p>
            <w:pPr>
              <w:spacing w:line="240" w:lineRule="auto"/>
              <w:jc w:val="center"/>
            </w:pPr>
            <w:r>
              <w:rPr>
                <w:rFonts w:ascii="宋体" w:hAnsi="宋体" w:cs="宋体" w:eastAsia="宋体"/>
                <w:b w:val="false"/>
              </w:rPr>
              <w:t>离任日期</w:t>
            </w:r>
          </w:p>
        </w:tc>
        <w:tc>
          <w:tcPr>
            <w:vMerge w:val="continue"/>
          </w:tcPr>
          <w:p/>
        </w:tc>
        <w:tc>
          <w:tcPr>
            <w:vMerge w:val="continue"/>
          </w:tcPr>
          <w:p/>
        </w:tc>
      </w:tr>
      <w:tr>
        <w:tc>
          <w:tcPr>
            <w:tcW/>
            <w:vAlign w:val="center"/>
          </w:tcPr>
          <w:p>
            <w:pPr>
              <w:spacing w:line="240" w:lineRule="auto"/>
              <w:jc w:val="left"/>
            </w:pPr>
            <w:r>
              <w:rPr>
                <w:rFonts w:ascii="宋体" w:hAnsi="宋体" w:cs="宋体" w:eastAsia="宋体"/>
                <w:b w:val="false"/>
              </w:rPr>
              <w:t>潘令梓</w:t>
            </w:r>
          </w:p>
        </w:tc>
        <w:tc>
          <w:tcPr>
            <w:tcW/>
            <w:vAlign w:val="center"/>
          </w:tcPr>
          <w:p>
            <w:pPr>
              <w:spacing w:line="240" w:lineRule="auto"/>
              <w:jc w:val="left"/>
            </w:pPr>
            <w:r>
              <w:rPr>
                <w:rFonts w:ascii="宋体" w:hAnsi="宋体" w:cs="宋体" w:eastAsia="宋体"/>
                <w:b w:val="false"/>
              </w:rPr>
              <w:t>基金经理</w:t>
            </w:r>
          </w:p>
        </w:tc>
        <w:tc>
          <w:tcPr>
            <w:tcW/>
            <w:vAlign w:val="center"/>
          </w:tcPr>
          <w:p>
            <w:pPr>
              <w:spacing w:line="240" w:lineRule="auto"/>
              <w:jc w:val="center"/>
            </w:pPr>
            <w:r>
              <w:rPr>
                <w:rFonts w:ascii="宋体" w:hAnsi="宋体" w:cs="宋体" w:eastAsia="宋体"/>
                <w:b w:val="false"/>
              </w:rPr>
              <w:t>2024-11-19</w:t>
            </w:r>
          </w:p>
        </w:tc>
        <w:tc>
          <w:tcPr>
            <w:tcW/>
            <w:vAlign w:val="center"/>
          </w:tcPr>
          <w:p>
            <w:pPr>
              <w:spacing w:line="240" w:lineRule="auto"/>
              <w:jc w:val="center"/>
            </w:pPr>
            <w:r>
              <w:rPr>
                <w:rFonts w:ascii="宋体" w:hAnsi="宋体" w:cs="宋体" w:eastAsia="宋体"/>
                <w:b w:val="false"/>
              </w:rPr>
              <w:t>-</w:t>
            </w:r>
          </w:p>
        </w:tc>
        <w:tc>
          <w:tcPr>
            <w:tcW/>
            <w:vAlign w:val="center"/>
          </w:tcPr>
          <w:p>
            <w:pPr>
              <w:spacing w:line="240" w:lineRule="auto"/>
              <w:jc w:val="center"/>
            </w:pPr>
            <w:r>
              <w:rPr>
                <w:rFonts w:ascii="宋体" w:hAnsi="宋体" w:cs="宋体" w:eastAsia="宋体"/>
                <w:b w:val="false"/>
              </w:rPr>
              <w:t>6年</w:t>
            </w:r>
          </w:p>
        </w:tc>
        <w:tc>
          <w:tcPr>
            <w:tcW/>
            <w:vAlign w:val="center"/>
          </w:tcPr>
          <w:p>
            <w:pPr>
              <w:spacing w:line="240" w:lineRule="auto"/>
              <w:jc w:val="left"/>
            </w:pPr>
            <w:r>
              <w:rPr>
                <w:rFonts w:ascii="宋体" w:hAnsi="宋体" w:cs="宋体" w:eastAsia="宋体"/>
                <w:b w:val="false"/>
              </w:rPr>
              <w:t>潘令梓先生，南开大学保险学学士，香港大学会计学硕士，于2019年11月入职东方阿尔法基金管理有限公司，历任研究部研究员、基金经理助理。现任东方阿尔法基金管理有限公司基金经理。</w:t>
            </w:r>
          </w:p>
        </w:tc>
      </w:tr>
    </w:tbl>
    <w:p>
      <w:r>
        <w:rPr>
          <w:rFonts w:ascii="宋体" w:hAnsi="宋体" w:cs="宋体" w:eastAsia="宋体"/>
          <w:b w:val="false"/>
        </w:rPr>
        <w:t>注：1.对基金的首任基金经理，其"任职日期"为基金合同生效日，"离任日期"为根据公告确定的解聘日期；对此后的非首任基金经理，"任职日期"和"离任日期"分别指公告确定的任职日期和离任日期。</w:t>
        <w:cr/>
      </w:r>
      <w:r>
        <w:rPr>
          <w:rFonts w:ascii="宋体" w:hAnsi="宋体" w:cs="宋体" w:eastAsia="宋体"/>
          <w:b w:val="false"/>
        </w:rPr>
        <w:t>2.证券从业的含义遵从《证券基金经营机构董事、监事、高级管理人员及从业人员监督管理办法》的相关规定。</w:t>
      </w:r>
    </w:p>
    <w:p/>
    <w:p>
      <w:pPr>
        <w:pStyle w:val="zhangjiep2"/>
      </w:pPr>
      <w:r>
        <w:rPr>
          <w:rStyle w:val="正文"/>
          <w:rFonts w:ascii="宋体" w:hAnsi="宋体" w:cs="宋体" w:eastAsia="宋体"/>
          <w:b w:val="true"/>
        </w:rPr>
        <w:t>4.1.1 期末兼任私募资产管理计划投资经理的基金经理同时管理的产品情况</w:t>
      </w:r>
    </w:p>
    <w:p>
      <w:r>
        <w:rPr>
          <w:rFonts w:ascii="宋体" w:hAnsi="宋体" w:cs="宋体" w:eastAsia="宋体"/>
          <w:b w:val="false"/>
        </w:rPr>
        <w:t xml:space="preserve">    无。</w:t>
      </w:r>
    </w:p>
    <w:p/>
    <w:p>
      <w:pPr>
        <w:pStyle w:val="2"/>
        <w:jc w:val="left"/>
      </w:pPr>
      <w:r>
        <w:rPr>
          <w:rFonts w:ascii="宋体" w:hAnsi="宋体" w:cs="宋体" w:eastAsia="宋体"/>
        </w:rPr>
        <w:t>4.2 管理人对报告期内本基金运作遵规守信情况的说明</w:t>
      </w:r>
    </w:p>
    <w:p>
      <w:r>
        <w:rPr>
          <w:rFonts w:ascii="宋体" w:hAnsi="宋体" w:cs="宋体" w:eastAsia="宋体"/>
          <w:b w:val="false"/>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2"/>
        <w:jc w:val="left"/>
      </w:pPr>
      <w:r>
        <w:rPr>
          <w:rFonts w:ascii="宋体" w:hAnsi="宋体" w:cs="宋体" w:eastAsia="宋体"/>
        </w:rPr>
        <w:t>4.3 公平交易专项说明</w:t>
      </w:r>
    </w:p>
    <w:p>
      <w:pPr>
        <w:pStyle w:val="zhangjiep2"/>
      </w:pPr>
      <w:r>
        <w:rPr>
          <w:rStyle w:val="正文"/>
          <w:rFonts w:ascii="宋体" w:hAnsi="宋体" w:cs="宋体" w:eastAsia="宋体"/>
          <w:b w:val="true"/>
        </w:rPr>
        <w:t>4.3.1 公平交易制度的执行情况</w:t>
      </w:r>
    </w:p>
    <w:p>
      <w:r>
        <w:rPr>
          <w:rFonts w:ascii="宋体" w:hAnsi="宋体" w:cs="宋体" w:eastAsia="宋体"/>
          <w:b w:val="false"/>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cr/>
      </w:r>
      <w:r>
        <w:rPr>
          <w:rFonts w:ascii="宋体" w:hAnsi="宋体" w:cs="宋体" w:eastAsia="宋体"/>
          <w:b w:val="false"/>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pPr>
        <w:pStyle w:val="zhangjiep2"/>
      </w:pPr>
      <w:r>
        <w:rPr>
          <w:rStyle w:val="正文"/>
          <w:rFonts w:ascii="宋体" w:hAnsi="宋体" w:cs="宋体" w:eastAsia="宋体"/>
          <w:b w:val="true"/>
        </w:rPr>
        <w:t>4.3.2 异常交易行为的专项说明</w:t>
      </w:r>
    </w:p>
    <w:p>
      <w:r>
        <w:rPr>
          <w:rFonts w:ascii="宋体" w:hAnsi="宋体" w:cs="宋体" w:eastAsia="宋体"/>
          <w:b w:val="false"/>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2"/>
        <w:jc w:val="left"/>
      </w:pPr>
      <w:r>
        <w:rPr>
          <w:rFonts w:ascii="宋体" w:hAnsi="宋体" w:cs="宋体" w:eastAsia="宋体"/>
        </w:rPr>
        <w:t>4.4 报告期内基金的投资策略和运作分析</w:t>
      </w:r>
    </w:p>
    <w:p>
      <w:r>
        <w:rPr>
          <w:rFonts w:ascii="宋体" w:hAnsi="宋体" w:cs="宋体" w:eastAsia="宋体"/>
          <w:b w:val="false"/>
        </w:rPr>
        <w:t xml:space="preserve">    2025年四季度，国内宏观经济表现平稳，12月PMI重回扩张区间且环比超季节性，贸易环境改善提振企业预期。10月30日中美元首在韩国釜山会晤后宣布经贸磋商共识，关税战暂停一年，2026年上半年存在互访可能，中美关系处于阶段性缓冲窗口。12月出口数据显著超季节性，再次印证中国制造全球竞争力。海外流动性方面，美联储9月降息25BP开启降息周期，12月继续降息并购买短债维持储备充裕，全球宏观流动性环境宽松，随着今年新主席人选明确，降息预期仍有望提升。</w:t>
        <w:cr/>
      </w:r>
      <w:r>
        <w:rPr>
          <w:rFonts w:ascii="宋体" w:hAnsi="宋体" w:cs="宋体" w:eastAsia="宋体"/>
          <w:b w:val="false"/>
        </w:rPr>
        <w:t xml:space="preserve">    报告期内A股整体上扬，12月开启跨年行情。10月28日十五五规划建议首提“航天强国”，12月上交所发布商业火箭企业适用科创板第五套上市标准，蓝箭航天朱雀三号遥一成功入轨并率先完成IPO辅导；海外SpaceX启动上市静默期并连续上修估值。在政策和产业催化共振下，商业航天细分行业于2025年底跑出显著超额，成为市场焦点。在商业航天带动下，部分传统军工股因关注度提升、流动性外溢及主机厂补价款落地，也实现一定估值修复。</w:t>
        <w:cr/>
      </w:r>
      <w:r>
        <w:rPr>
          <w:rFonts w:ascii="宋体" w:hAnsi="宋体" w:cs="宋体" w:eastAsia="宋体"/>
          <w:b w:val="false"/>
        </w:rPr>
        <w:t xml:space="preserve">    宏观政策定调明确，我们对2026年持乐观积极的态度。2025年第四季度，四中全会顺利召开，十五五规划建议继续强调“以经济建设为中心”，比十四五新增“经济增长保持在合理区间”，经济增长诉求更明确。12月中央经济工作会议指出要发挥存量政策和增量政策集成效应，加大逆周期和跨周期调节力度，预计2026年宏观经济稳中向好的势头仍能延续。</w:t>
        <w:cr/>
      </w:r>
      <w:r>
        <w:rPr>
          <w:rFonts w:ascii="宋体" w:hAnsi="宋体" w:cs="宋体" w:eastAsia="宋体"/>
          <w:b w:val="false"/>
        </w:rPr>
        <w:t xml:space="preserve">    当前国际地缘政治关系持续紧张，保障国家战略安全需求迫切。2026年1月3日美国突袭委内瑞拉并抓捕总统马杜罗，特朗普更提出将2027财年美国军费从1万亿美元提至1.5万亿美元。动荡形势将加剧全球军备竞赛，各国不安全感增加、军费开支提升，我国军贸有望受益。印巴空战中我国体系化高端国防装备证明实战先进性，巴基斯坦沙特共同防御协议签署也意味军贸市场扩容。在大国博弈背景下，军工等高端制造仍是核心抓手。本基金管理人继续看好以军工为代表的中国高端制造业崛起，重点布局军贸细分方向，重仓相关股票品种，期望未来基金净值修复并为持有人带来较好回报。</w:t>
      </w:r>
    </w:p>
    <w:p/>
    <w:p>
      <w:pPr>
        <w:pStyle w:val="2"/>
        <w:jc w:val="left"/>
      </w:pPr>
      <w:r>
        <w:rPr>
          <w:rFonts w:ascii="宋体" w:hAnsi="宋体" w:cs="宋体" w:eastAsia="宋体"/>
        </w:rPr>
        <w:t>4.5 报告期内基金的业绩表现</w:t>
      </w:r>
    </w:p>
    <w:p>
      <w:r>
        <w:rPr>
          <w:rFonts w:ascii="宋体" w:hAnsi="宋体" w:cs="宋体" w:eastAsia="宋体"/>
          <w:b w:val="false"/>
        </w:rPr>
        <w:t xml:space="preserve">    截至报告期末东方阿尔法招阳混合A基金份额净值为0.4647元，本报告期内，该类基金份额净值增长率为-2.27%，同期业绩比较基准收益率为-0.36%；截至报告期末东方阿尔法招阳混合C基金份额净值为0.4403元，本报告期内，该类基金份额净值增长率为-2.48%，同期业绩比较基准收益率为-0.36%；截至报告期末东方阿尔法招阳混合E基金份额净值为0.4586元，本报告期内，该类基金份额净值增长率为-2.38%，同期业绩比较基准收益率为-0.36%。</w:t>
      </w:r>
    </w:p>
    <w:p/>
    <w:p>
      <w:pPr>
        <w:pStyle w:val="2"/>
        <w:jc w:val="left"/>
      </w:pPr>
      <w:r>
        <w:rPr>
          <w:rFonts w:ascii="宋体" w:hAnsi="宋体" w:cs="宋体" w:eastAsia="宋体"/>
        </w:rPr>
        <w:t>4.6 报告期内基金持有人数或基金资产净值预警说明</w:t>
      </w:r>
    </w:p>
    <w:p>
      <w:r>
        <w:rPr>
          <w:rFonts w:ascii="宋体" w:hAnsi="宋体" w:cs="宋体" w:eastAsia="宋体"/>
          <w:b w:val="false"/>
        </w:rPr>
        <w:t xml:space="preserve">    本报告期内，本基金未出现连续20个工作日基金份额持有人数量不满200人或者基金资产净值低于5000万的情形。</w:t>
      </w:r>
    </w:p>
    <w:p>
      <w:pPr>
        <w:pStyle w:val="1"/>
        <w:jc w:val="center"/>
      </w:pPr>
      <w:r>
        <w:rPr>
          <w:rFonts w:ascii="宋体" w:hAnsi="宋体" w:cs="宋体" w:eastAsia="宋体"/>
        </w:rPr>
        <w:t>§5 投资组合报告</w:t>
      </w:r>
    </w:p>
    <w:p>
      <w:pPr>
        <w:pStyle w:val="2"/>
        <w:jc w:val="left"/>
      </w:pPr>
      <w:r>
        <w:rPr>
          <w:rFonts w:ascii="宋体" w:hAnsi="宋体" w:cs="宋体" w:eastAsia="宋体"/>
        </w:rPr>
        <w:t>5.1 报告期末基金资产组合情况</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462"/>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项目</w:t>
            </w:r>
          </w:p>
        </w:tc>
        <w:tc>
          <w:tcPr>
            <w:tcW w:type="pct" w:w="1538"/>
            <w:vAlign w:val="center"/>
          </w:tcPr>
          <w:tcPr>
            <w:shd w:fill="d9d9d9"/>
          </w:tcPr>
          <w:p>
            <w:pPr>
              <w:spacing w:line="240" w:lineRule="auto"/>
              <w:jc w:val="center"/>
            </w:pPr>
            <w:r>
              <w:rPr>
                <w:rFonts w:ascii="宋体" w:hAnsi="宋体" w:cs="宋体" w:eastAsia="宋体"/>
                <w:b w:val="false"/>
              </w:rPr>
              <w:t>金额(元)</w:t>
            </w:r>
          </w:p>
        </w:tc>
        <w:tc>
          <w:tcPr>
            <w:tcW w:type="pct" w:w="1538"/>
            <w:vAlign w:val="center"/>
          </w:tcPr>
          <w:tcPr>
            <w:shd w:fill="d9d9d9"/>
          </w:tcPr>
          <w:p>
            <w:pPr>
              <w:spacing w:line="240" w:lineRule="auto"/>
              <w:jc w:val="center"/>
            </w:pPr>
            <w:r>
              <w:rPr>
                <w:rFonts w:ascii="宋体" w:hAnsi="宋体" w:cs="宋体" w:eastAsia="宋体"/>
                <w:b w:val="false"/>
              </w:rPr>
              <w:t>占基金总资产的比例（%）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权益投资</w:t>
            </w:r>
          </w:p>
        </w:tc>
        <w:tc>
          <w:tcPr>
            <w:tcW/>
            <w:vAlign w:val="center"/>
          </w:tcPr>
          <w:p>
            <w:pPr>
              <w:spacing w:line="240" w:lineRule="auto"/>
              <w:jc w:val="right"/>
            </w:pPr>
            <w:r>
              <w:rPr>
                <w:rFonts w:ascii="宋体" w:hAnsi="宋体" w:cs="宋体" w:eastAsia="宋体"/>
                <w:b w:val="false"/>
              </w:rPr>
              <w:t>285,476,263.20</w:t>
            </w:r>
          </w:p>
        </w:tc>
        <w:tc>
          <w:tcPr>
            <w:tcW/>
            <w:vAlign w:val="center"/>
          </w:tcPr>
          <w:p>
            <w:pPr>
              <w:spacing w:line="240" w:lineRule="auto"/>
              <w:jc w:val="right"/>
            </w:pPr>
            <w:r>
              <w:rPr>
                <w:rFonts w:ascii="宋体" w:hAnsi="宋体" w:cs="宋体" w:eastAsia="宋体"/>
                <w:b w:val="false"/>
              </w:rPr>
              <w:t>92.55</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其中：股票</w:t>
            </w:r>
          </w:p>
        </w:tc>
        <w:tc>
          <w:tcPr>
            <w:tcW/>
            <w:vAlign w:val="center"/>
          </w:tcPr>
          <w:p>
            <w:pPr>
              <w:spacing w:line="240" w:lineRule="auto"/>
              <w:jc w:val="right"/>
            </w:pPr>
            <w:r>
              <w:rPr>
                <w:rFonts w:ascii="宋体" w:hAnsi="宋体" w:cs="宋体" w:eastAsia="宋体"/>
                <w:b w:val="false"/>
              </w:rPr>
              <w:t>285,476,263.20</w:t>
            </w:r>
          </w:p>
        </w:tc>
        <w:tc>
          <w:tcPr>
            <w:tcW/>
            <w:vAlign w:val="center"/>
          </w:tcPr>
          <w:p>
            <w:pPr>
              <w:spacing w:line="240" w:lineRule="auto"/>
              <w:jc w:val="right"/>
            </w:pPr>
            <w:r>
              <w:rPr>
                <w:rFonts w:ascii="宋体" w:hAnsi="宋体" w:cs="宋体" w:eastAsia="宋体"/>
                <w:b w:val="false"/>
              </w:rPr>
              <w:t>92.55</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基金投资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固定收益投资</w:t>
            </w:r>
          </w:p>
        </w:tc>
        <w:tc>
          <w:tcPr>
            <w:tcW/>
            <w:vAlign w:val="center"/>
          </w:tcPr>
          <w:p>
            <w:pPr>
              <w:spacing w:line="240" w:lineRule="auto"/>
              <w:jc w:val="right"/>
            </w:pPr>
            <w:r>
              <w:rPr>
                <w:rFonts w:ascii="宋体" w:hAnsi="宋体" w:cs="宋体" w:eastAsia="宋体"/>
                <w:b w:val="false"/>
              </w:rPr>
              <w:t>16,257,447.01</w:t>
            </w:r>
          </w:p>
        </w:tc>
        <w:tc>
          <w:tcPr>
            <w:tcW/>
            <w:vAlign w:val="center"/>
          </w:tcPr>
          <w:p>
            <w:pPr>
              <w:spacing w:line="240" w:lineRule="auto"/>
              <w:jc w:val="right"/>
            </w:pPr>
            <w:r>
              <w:rPr>
                <w:rFonts w:ascii="宋体" w:hAnsi="宋体" w:cs="宋体" w:eastAsia="宋体"/>
                <w:b w:val="false"/>
              </w:rPr>
              <w:t>5.27</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其中：债券</w:t>
            </w:r>
          </w:p>
        </w:tc>
        <w:tc>
          <w:tcPr>
            <w:tcW/>
            <w:vAlign w:val="center"/>
          </w:tcPr>
          <w:p>
            <w:pPr>
              <w:spacing w:line="240" w:lineRule="auto"/>
              <w:jc w:val="right"/>
            </w:pPr>
            <w:r>
              <w:rPr>
                <w:rFonts w:ascii="宋体" w:hAnsi="宋体" w:cs="宋体" w:eastAsia="宋体"/>
                <w:b w:val="false"/>
              </w:rPr>
              <w:t>16,257,447.01</w:t>
            </w:r>
          </w:p>
        </w:tc>
        <w:tc>
          <w:tcPr>
            <w:tcW/>
            <w:vAlign w:val="center"/>
          </w:tcPr>
          <w:p>
            <w:pPr>
              <w:spacing w:line="240" w:lineRule="auto"/>
              <w:jc w:val="right"/>
            </w:pPr>
            <w:r>
              <w:rPr>
                <w:rFonts w:ascii="宋体" w:hAnsi="宋体" w:cs="宋体" w:eastAsia="宋体"/>
                <w:b w:val="false"/>
              </w:rPr>
              <w:t>5.27</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 xml:space="preserve">      资产支持证券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pPr>
            <w:r>
              <w:rPr>
                <w:rFonts w:ascii="宋体" w:hAnsi="宋体" w:cs="宋体" w:eastAsia="宋体"/>
                <w:b w:val="false"/>
              </w:rPr>
              <w:t>贵金属投资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金融衍生品投资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其中：买断式回购的买入返售金融资产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银行存款和结算备付金合计</w:t>
            </w:r>
          </w:p>
        </w:tc>
        <w:tc>
          <w:tcPr>
            <w:tcW/>
            <w:vAlign w:val="center"/>
          </w:tcPr>
          <w:p>
            <w:pPr>
              <w:spacing w:line="240" w:lineRule="auto"/>
              <w:jc w:val="right"/>
            </w:pPr>
            <w:r>
              <w:rPr>
                <w:rFonts w:ascii="宋体" w:hAnsi="宋体" w:cs="宋体" w:eastAsia="宋体"/>
                <w:b w:val="false"/>
              </w:rPr>
              <w:t>6,288,730.80</w:t>
            </w:r>
          </w:p>
        </w:tc>
        <w:tc>
          <w:tcPr>
            <w:tcW/>
            <w:vAlign w:val="center"/>
          </w:tcPr>
          <w:p>
            <w:pPr>
              <w:spacing w:line="240" w:lineRule="auto"/>
              <w:jc w:val="right"/>
            </w:pPr>
            <w:r>
              <w:rPr>
                <w:rFonts w:ascii="宋体" w:hAnsi="宋体" w:cs="宋体" w:eastAsia="宋体"/>
                <w:b w:val="false"/>
              </w:rPr>
              <w:t>2.04</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其他资产</w:t>
            </w:r>
          </w:p>
        </w:tc>
        <w:tc>
          <w:tcPr>
            <w:tcW/>
            <w:vAlign w:val="center"/>
          </w:tcPr>
          <w:p>
            <w:pPr>
              <w:spacing w:line="240" w:lineRule="auto"/>
              <w:jc w:val="right"/>
            </w:pPr>
            <w:r>
              <w:rPr>
                <w:rFonts w:ascii="宋体" w:hAnsi="宋体" w:cs="宋体" w:eastAsia="宋体"/>
                <w:b w:val="false"/>
              </w:rPr>
              <w:t>435,693.36</w:t>
            </w:r>
          </w:p>
        </w:tc>
        <w:tc>
          <w:tcPr>
            <w:tcW/>
            <w:vAlign w:val="center"/>
          </w:tcPr>
          <w:p>
            <w:pPr>
              <w:spacing w:line="240" w:lineRule="auto"/>
              <w:jc w:val="right"/>
            </w:pPr>
            <w:r>
              <w:rPr>
                <w:rFonts w:ascii="宋体" w:hAnsi="宋体" w:cs="宋体" w:eastAsia="宋体"/>
                <w:b w:val="false"/>
              </w:rPr>
              <w:t>0.14</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308,458,134.37</w:t>
            </w:r>
          </w:p>
        </w:tc>
        <w:tc>
          <w:tcPr>
            <w:tcW/>
            <w:vAlign w:val="center"/>
          </w:tcPr>
          <w:p>
            <w:pPr>
              <w:spacing w:line="240" w:lineRule="auto"/>
              <w:jc w:val="right"/>
            </w:pPr>
            <w:r>
              <w:rPr>
                <w:rFonts w:ascii="宋体" w:hAnsi="宋体" w:cs="宋体" w:eastAsia="宋体"/>
                <w:b w:val="false"/>
              </w:rPr>
              <w:t>100.00</w:t>
            </w:r>
          </w:p>
        </w:tc>
      </w:tr>
    </w:tbl>
    <w:p>
      <w:r>
        <w:rPr>
          <w:rFonts w:ascii="宋体" w:hAnsi="宋体" w:cs="宋体" w:eastAsia="宋体"/>
          <w:b w:val="false"/>
        </w:rPr>
        <w:t>注：报告期末本基金通过港股通交易机制投资的港股公允价值合计1,882,960.80元，占基金资产净值的比例为0.63%。</w:t>
      </w:r>
    </w:p>
    <w:p/>
    <w:p>
      <w:pPr>
        <w:pStyle w:val="2"/>
        <w:jc w:val="left"/>
      </w:pPr>
      <w:r>
        <w:rPr>
          <w:rFonts w:ascii="宋体" w:hAnsi="宋体" w:cs="宋体" w:eastAsia="宋体"/>
        </w:rPr>
        <w:t>5.2 报告期末按行业分类的股票投资组合</w:t>
      </w:r>
    </w:p>
    <w:p>
      <w:pPr>
        <w:pStyle w:val="zhangjiep2"/>
      </w:pPr>
      <w:r>
        <w:rPr>
          <w:rStyle w:val="正文"/>
          <w:rFonts w:ascii="宋体" w:hAnsi="宋体" w:cs="宋体" w:eastAsia="宋体"/>
          <w:b w:val="true"/>
        </w:rPr>
        <w:t>5.2.1 报告期末按行业分类的境内股票投资组合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代码</w:t>
            </w:r>
          </w:p>
        </w:tc>
        <w:tc>
          <w:tcPr>
            <w:tcW w:type="pct" w:w="1538"/>
            <w:vAlign w:val="center"/>
          </w:tcPr>
          <w:tcPr>
            <w:shd w:fill="d9d9d9"/>
          </w:tcPr>
          <w:p>
            <w:pPr>
              <w:spacing w:line="240" w:lineRule="auto"/>
              <w:jc w:val="center"/>
            </w:pPr>
            <w:r>
              <w:rPr>
                <w:rFonts w:ascii="宋体" w:hAnsi="宋体" w:cs="宋体" w:eastAsia="宋体"/>
                <w:b w:val="false"/>
              </w:rPr>
              <w:t>行业类别</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1538"/>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A</w:t>
            </w:r>
          </w:p>
        </w:tc>
        <w:tc>
          <w:tcPr>
            <w:tcW/>
            <w:vAlign w:val="center"/>
          </w:tcPr>
          <w:p>
            <w:pPr>
              <w:spacing w:line="240" w:lineRule="auto"/>
              <w:jc w:val="left"/>
            </w:pPr>
            <w:r>
              <w:rPr>
                <w:rFonts w:ascii="宋体" w:hAnsi="宋体" w:cs="宋体" w:eastAsia="宋体"/>
                <w:b w:val="false"/>
              </w:rPr>
              <w:t>农、林、牧、渔业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B</w:t>
            </w:r>
          </w:p>
        </w:tc>
        <w:tc>
          <w:tcPr>
            <w:tcW/>
            <w:vAlign w:val="center"/>
          </w:tcPr>
          <w:p>
            <w:pPr>
              <w:spacing w:line="240" w:lineRule="auto"/>
              <w:jc w:val="left"/>
            </w:pPr>
            <w:r>
              <w:rPr>
                <w:rFonts w:ascii="宋体" w:hAnsi="宋体" w:cs="宋体" w:eastAsia="宋体"/>
                <w:b w:val="false"/>
              </w:rPr>
              <w:t>采矿业</w:t>
            </w:r>
          </w:p>
        </w:tc>
        <w:tc>
          <w:tcPr>
            <w:tcW/>
            <w:vAlign w:val="center"/>
          </w:tcPr>
          <w:p>
            <w:pPr>
              <w:spacing w:line="240" w:lineRule="auto"/>
              <w:jc w:val="right"/>
            </w:pPr>
            <w:r>
              <w:rPr>
                <w:rFonts w:ascii="宋体" w:hAnsi="宋体" w:cs="宋体" w:eastAsia="宋体"/>
                <w:b w:val="false"/>
              </w:rPr>
              <w:t>20,667,600.16</w:t>
            </w:r>
          </w:p>
        </w:tc>
        <w:tc>
          <w:tcPr>
            <w:tcW/>
            <w:vAlign w:val="center"/>
          </w:tcPr>
          <w:p>
            <w:pPr>
              <w:spacing w:line="240" w:lineRule="auto"/>
              <w:jc w:val="right"/>
            </w:pPr>
            <w:r>
              <w:rPr>
                <w:rFonts w:ascii="宋体" w:hAnsi="宋体" w:cs="宋体" w:eastAsia="宋体"/>
                <w:b w:val="false"/>
              </w:rPr>
              <w:t>6.87</w:t>
            </w:r>
          </w:p>
        </w:tc>
      </w:tr>
      <w:tr>
        <w:tc>
          <w:tcPr>
            <w:tcW/>
            <w:vAlign w:val="center"/>
          </w:tcPr>
          <w:p>
            <w:pPr>
              <w:spacing w:line="240" w:lineRule="auto"/>
              <w:jc w:val="center"/>
            </w:pPr>
            <w:r>
              <w:rPr>
                <w:rFonts w:ascii="宋体" w:hAnsi="宋体" w:cs="宋体" w:eastAsia="宋体"/>
                <w:b w:val="false"/>
              </w:rPr>
              <w:t>C</w:t>
            </w:r>
          </w:p>
        </w:tc>
        <w:tc>
          <w:tcPr>
            <w:tcW/>
            <w:vAlign w:val="center"/>
          </w:tcPr>
          <w:p>
            <w:pPr>
              <w:spacing w:line="240" w:lineRule="auto"/>
              <w:jc w:val="left"/>
            </w:pPr>
            <w:r>
              <w:rPr>
                <w:rFonts w:ascii="宋体" w:hAnsi="宋体" w:cs="宋体" w:eastAsia="宋体"/>
                <w:b w:val="false"/>
              </w:rPr>
              <w:t>制造业</w:t>
            </w:r>
          </w:p>
        </w:tc>
        <w:tc>
          <w:tcPr>
            <w:tcW/>
            <w:vAlign w:val="center"/>
          </w:tcPr>
          <w:p>
            <w:pPr>
              <w:spacing w:line="240" w:lineRule="auto"/>
              <w:jc w:val="right"/>
            </w:pPr>
            <w:r>
              <w:rPr>
                <w:rFonts w:ascii="宋体" w:hAnsi="宋体" w:cs="宋体" w:eastAsia="宋体"/>
                <w:b w:val="false"/>
              </w:rPr>
              <w:t>262,456,424.96</w:t>
            </w:r>
          </w:p>
        </w:tc>
        <w:tc>
          <w:tcPr>
            <w:tcW/>
            <w:vAlign w:val="center"/>
          </w:tcPr>
          <w:p>
            <w:pPr>
              <w:spacing w:line="240" w:lineRule="auto"/>
              <w:jc w:val="right"/>
            </w:pPr>
            <w:r>
              <w:rPr>
                <w:rFonts w:ascii="宋体" w:hAnsi="宋体" w:cs="宋体" w:eastAsia="宋体"/>
                <w:b w:val="false"/>
              </w:rPr>
              <w:t>87.29</w:t>
            </w:r>
          </w:p>
        </w:tc>
      </w:tr>
      <w:tr>
        <w:tc>
          <w:tcPr>
            <w:tcW/>
            <w:vAlign w:val="center"/>
          </w:tcPr>
          <w:p>
            <w:pPr>
              <w:spacing w:line="240" w:lineRule="auto"/>
              <w:jc w:val="center"/>
            </w:pPr>
            <w:r>
              <w:rPr>
                <w:rFonts w:ascii="宋体" w:hAnsi="宋体" w:cs="宋体" w:eastAsia="宋体"/>
                <w:b w:val="false"/>
              </w:rPr>
              <w:t>D</w:t>
            </w:r>
          </w:p>
        </w:tc>
        <w:tc>
          <w:tcPr>
            <w:tcW/>
            <w:vAlign w:val="center"/>
          </w:tcPr>
          <w:p>
            <w:pPr>
              <w:spacing w:line="240" w:lineRule="auto"/>
              <w:jc w:val="left"/>
            </w:pPr>
            <w:r>
              <w:rPr>
                <w:rFonts w:ascii="宋体" w:hAnsi="宋体" w:cs="宋体" w:eastAsia="宋体"/>
                <w:b w:val="false"/>
              </w:rPr>
              <w:t>电力、热力、燃气及水生产和供应业</w:t>
            </w:r>
          </w:p>
        </w:tc>
        <w:tc>
          <w:tcPr>
            <w:tcW/>
            <w:vAlign w:val="center"/>
          </w:tcPr>
          <w:p>
            <w:pPr>
              <w:spacing w:line="240" w:lineRule="auto"/>
              <w:jc w:val="right"/>
            </w:pPr>
            <w:r>
              <w:rPr>
                <w:rFonts w:ascii="宋体" w:hAnsi="宋体" w:cs="宋体" w:eastAsia="宋体"/>
                <w:b w:val="false"/>
              </w:rPr>
              <w:t>396,651.84</w:t>
            </w:r>
          </w:p>
        </w:tc>
        <w:tc>
          <w:tcPr>
            <w:tcW/>
            <w:vAlign w:val="center"/>
          </w:tcPr>
          <w:p>
            <w:pPr>
              <w:spacing w:line="240" w:lineRule="auto"/>
              <w:jc w:val="right"/>
            </w:pPr>
            <w:r>
              <w:rPr>
                <w:rFonts w:ascii="宋体" w:hAnsi="宋体" w:cs="宋体" w:eastAsia="宋体"/>
                <w:b w:val="false"/>
              </w:rPr>
              <w:t>0.13</w:t>
            </w:r>
          </w:p>
        </w:tc>
      </w:tr>
      <w:tr>
        <w:tc>
          <w:tcPr>
            <w:tcW/>
            <w:vAlign w:val="center"/>
          </w:tcPr>
          <w:p>
            <w:pPr>
              <w:spacing w:line="240" w:lineRule="auto"/>
              <w:jc w:val="center"/>
            </w:pPr>
            <w:r>
              <w:rPr>
                <w:rFonts w:ascii="宋体" w:hAnsi="宋体" w:cs="宋体" w:eastAsia="宋体"/>
                <w:b w:val="false"/>
              </w:rPr>
              <w:t>E</w:t>
            </w:r>
          </w:p>
        </w:tc>
        <w:tc>
          <w:tcPr>
            <w:tcW/>
            <w:vAlign w:val="center"/>
          </w:tcPr>
          <w:p>
            <w:pPr>
              <w:spacing w:line="240" w:lineRule="auto"/>
              <w:jc w:val="left"/>
            </w:pPr>
            <w:r>
              <w:rPr>
                <w:rFonts w:ascii="宋体" w:hAnsi="宋体" w:cs="宋体" w:eastAsia="宋体"/>
                <w:b w:val="false"/>
              </w:rPr>
              <w:t>建筑业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F</w:t>
            </w:r>
          </w:p>
        </w:tc>
        <w:tc>
          <w:tcPr>
            <w:tcW/>
            <w:vAlign w:val="center"/>
          </w:tcPr>
          <w:p>
            <w:pPr>
              <w:spacing w:line="240" w:lineRule="auto"/>
              <w:jc w:val="left"/>
            </w:pPr>
            <w:r>
              <w:rPr>
                <w:rFonts w:ascii="宋体" w:hAnsi="宋体" w:cs="宋体" w:eastAsia="宋体"/>
                <w:b w:val="false"/>
              </w:rPr>
              <w:t>批发和零售业</w:t>
            </w:r>
          </w:p>
        </w:tc>
        <w:tc>
          <w:tcPr>
            <w:tcW/>
            <w:vAlign w:val="center"/>
          </w:tcPr>
          <w:p>
            <w:pPr>
              <w:spacing w:line="240" w:lineRule="auto"/>
              <w:jc w:val="right"/>
            </w:pPr>
            <w:r>
              <w:rPr>
                <w:rFonts w:ascii="宋体" w:hAnsi="宋体" w:cs="宋体" w:eastAsia="宋体"/>
                <w:b w:val="false"/>
              </w:rPr>
              <w:t>11,988.54</w:t>
            </w:r>
          </w:p>
        </w:tc>
        <w:tc>
          <w:tcPr>
            <w:tcW/>
            <w:vAlign w:val="center"/>
          </w:tcPr>
          <w:p>
            <w:pPr>
              <w:spacing w:line="240" w:lineRule="auto"/>
              <w:jc w:val="right"/>
            </w:pPr>
            <w:r>
              <w:rPr>
                <w:rFonts w:ascii="宋体" w:hAnsi="宋体" w:cs="宋体" w:eastAsia="宋体"/>
                <w:b w:val="false"/>
              </w:rPr>
              <w:t>0.00</w:t>
            </w:r>
          </w:p>
        </w:tc>
      </w:tr>
      <w:tr>
        <w:tc>
          <w:tcPr>
            <w:tcW/>
            <w:vAlign w:val="center"/>
          </w:tcPr>
          <w:p>
            <w:pPr>
              <w:spacing w:line="240" w:lineRule="auto"/>
              <w:jc w:val="center"/>
            </w:pPr>
            <w:r>
              <w:rPr>
                <w:rFonts w:ascii="宋体" w:hAnsi="宋体" w:cs="宋体" w:eastAsia="宋体"/>
                <w:b w:val="false"/>
              </w:rPr>
              <w:t>G</w:t>
            </w:r>
          </w:p>
        </w:tc>
        <w:tc>
          <w:tcPr>
            <w:tcW/>
            <w:vAlign w:val="center"/>
          </w:tcPr>
          <w:p>
            <w:pPr>
              <w:spacing w:line="240" w:lineRule="auto"/>
              <w:jc w:val="left"/>
            </w:pPr>
            <w:r>
              <w:rPr>
                <w:rFonts w:ascii="宋体" w:hAnsi="宋体" w:cs="宋体" w:eastAsia="宋体"/>
                <w:b w:val="false"/>
              </w:rPr>
              <w:t>交通运输、仓储和邮政业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H</w:t>
            </w:r>
          </w:p>
        </w:tc>
        <w:tc>
          <w:tcPr>
            <w:tcW/>
            <w:vAlign w:val="center"/>
          </w:tcPr>
          <w:p>
            <w:pPr>
              <w:spacing w:line="240" w:lineRule="auto"/>
              <w:jc w:val="left"/>
            </w:pPr>
            <w:r>
              <w:rPr>
                <w:rFonts w:ascii="宋体" w:hAnsi="宋体" w:cs="宋体" w:eastAsia="宋体"/>
                <w:b w:val="false"/>
              </w:rPr>
              <w:t>住宿和餐饮业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I</w:t>
            </w:r>
          </w:p>
        </w:tc>
        <w:tc>
          <w:tcPr>
            <w:tcW/>
            <w:vAlign w:val="center"/>
          </w:tcPr>
          <w:p>
            <w:pPr>
              <w:spacing w:line="240" w:lineRule="auto"/>
              <w:jc w:val="left"/>
            </w:pPr>
            <w:r>
              <w:rPr>
                <w:rFonts w:ascii="宋体" w:hAnsi="宋体" w:cs="宋体" w:eastAsia="宋体"/>
                <w:b w:val="false"/>
              </w:rPr>
              <w:t>信息传输、软件和信息技术服务业</w:t>
            </w:r>
          </w:p>
        </w:tc>
        <w:tc>
          <w:tcPr>
            <w:tcW/>
            <w:vAlign w:val="center"/>
          </w:tcPr>
          <w:p>
            <w:pPr>
              <w:spacing w:line="240" w:lineRule="auto"/>
              <w:jc w:val="right"/>
            </w:pPr>
            <w:r>
              <w:rPr>
                <w:rFonts w:ascii="宋体" w:hAnsi="宋体" w:cs="宋体" w:eastAsia="宋体"/>
                <w:b w:val="false"/>
              </w:rPr>
              <w:t>21,826.56</w:t>
            </w:r>
          </w:p>
        </w:tc>
        <w:tc>
          <w:tcPr>
            <w:tcW/>
            <w:vAlign w:val="center"/>
          </w:tcPr>
          <w:p>
            <w:pPr>
              <w:spacing w:line="240" w:lineRule="auto"/>
              <w:jc w:val="right"/>
            </w:pPr>
            <w:r>
              <w:rPr>
                <w:rFonts w:ascii="宋体" w:hAnsi="宋体" w:cs="宋体" w:eastAsia="宋体"/>
                <w:b w:val="false"/>
              </w:rPr>
              <w:t>0.01</w:t>
            </w:r>
          </w:p>
        </w:tc>
      </w:tr>
      <w:tr>
        <w:tc>
          <w:tcPr>
            <w:tcW/>
            <w:vAlign w:val="center"/>
          </w:tcPr>
          <w:p>
            <w:pPr>
              <w:spacing w:line="240" w:lineRule="auto"/>
              <w:jc w:val="center"/>
            </w:pPr>
            <w:r>
              <w:rPr>
                <w:rFonts w:ascii="宋体" w:hAnsi="宋体" w:cs="宋体" w:eastAsia="宋体"/>
                <w:b w:val="false"/>
              </w:rPr>
              <w:t>J</w:t>
            </w:r>
          </w:p>
        </w:tc>
        <w:tc>
          <w:tcPr>
            <w:tcW/>
            <w:vAlign w:val="center"/>
          </w:tcPr>
          <w:p>
            <w:pPr>
              <w:spacing w:line="240" w:lineRule="auto"/>
              <w:jc w:val="left"/>
            </w:pPr>
            <w:r>
              <w:rPr>
                <w:rFonts w:ascii="宋体" w:hAnsi="宋体" w:cs="宋体" w:eastAsia="宋体"/>
                <w:b w:val="false"/>
              </w:rPr>
              <w:t>金融业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K</w:t>
            </w:r>
          </w:p>
        </w:tc>
        <w:tc>
          <w:tcPr>
            <w:tcW/>
            <w:vAlign w:val="center"/>
          </w:tcPr>
          <w:p>
            <w:pPr>
              <w:spacing w:line="240" w:lineRule="auto"/>
              <w:jc w:val="left"/>
            </w:pPr>
            <w:r>
              <w:rPr>
                <w:rFonts w:ascii="宋体" w:hAnsi="宋体" w:cs="宋体" w:eastAsia="宋体"/>
                <w:b w:val="false"/>
              </w:rPr>
              <w:t>房地产业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L</w:t>
            </w:r>
          </w:p>
        </w:tc>
        <w:tc>
          <w:tcPr>
            <w:tcW/>
            <w:vAlign w:val="center"/>
          </w:tcPr>
          <w:p>
            <w:pPr>
              <w:spacing w:line="240" w:lineRule="auto"/>
              <w:jc w:val="left"/>
            </w:pPr>
            <w:r>
              <w:rPr>
                <w:rFonts w:ascii="宋体" w:hAnsi="宋体" w:cs="宋体" w:eastAsia="宋体"/>
                <w:b w:val="false"/>
              </w:rPr>
              <w:t>租赁和商务服务业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M</w:t>
            </w:r>
          </w:p>
        </w:tc>
        <w:tc>
          <w:tcPr>
            <w:tcW/>
            <w:vAlign w:val="center"/>
          </w:tcPr>
          <w:p>
            <w:pPr>
              <w:spacing w:line="240" w:lineRule="auto"/>
              <w:jc w:val="left"/>
            </w:pPr>
            <w:r>
              <w:rPr>
                <w:rFonts w:ascii="宋体" w:hAnsi="宋体" w:cs="宋体" w:eastAsia="宋体"/>
                <w:b w:val="false"/>
              </w:rPr>
              <w:t>科学研究和技术服务业</w:t>
            </w:r>
          </w:p>
        </w:tc>
        <w:tc>
          <w:tcPr>
            <w:tcW/>
            <w:vAlign w:val="center"/>
          </w:tcPr>
          <w:p>
            <w:pPr>
              <w:spacing w:line="240" w:lineRule="auto"/>
              <w:jc w:val="right"/>
            </w:pPr>
            <w:r>
              <w:rPr>
                <w:rFonts w:ascii="宋体" w:hAnsi="宋体" w:cs="宋体" w:eastAsia="宋体"/>
                <w:b w:val="false"/>
              </w:rPr>
              <w:t>38,810.34</w:t>
            </w:r>
          </w:p>
        </w:tc>
        <w:tc>
          <w:tcPr>
            <w:tcW/>
            <w:vAlign w:val="center"/>
          </w:tcPr>
          <w:p>
            <w:pPr>
              <w:spacing w:line="240" w:lineRule="auto"/>
              <w:jc w:val="right"/>
            </w:pPr>
            <w:r>
              <w:rPr>
                <w:rFonts w:ascii="宋体" w:hAnsi="宋体" w:cs="宋体" w:eastAsia="宋体"/>
                <w:b w:val="false"/>
              </w:rPr>
              <w:t>0.01</w:t>
            </w:r>
          </w:p>
        </w:tc>
      </w:tr>
      <w:tr>
        <w:tc>
          <w:tcPr>
            <w:tcW/>
            <w:vAlign w:val="center"/>
          </w:tcPr>
          <w:p>
            <w:pPr>
              <w:spacing w:line="240" w:lineRule="auto"/>
              <w:jc w:val="center"/>
            </w:pPr>
            <w:r>
              <w:rPr>
                <w:rFonts w:ascii="宋体" w:hAnsi="宋体" w:cs="宋体" w:eastAsia="宋体"/>
                <w:b w:val="false"/>
              </w:rPr>
              <w:t>N</w:t>
            </w:r>
          </w:p>
        </w:tc>
        <w:tc>
          <w:tcPr>
            <w:tcW/>
            <w:vAlign w:val="center"/>
          </w:tcPr>
          <w:p>
            <w:pPr>
              <w:spacing w:line="240" w:lineRule="auto"/>
              <w:jc w:val="left"/>
            </w:pPr>
            <w:r>
              <w:rPr>
                <w:rFonts w:ascii="宋体" w:hAnsi="宋体" w:cs="宋体" w:eastAsia="宋体"/>
                <w:b w:val="false"/>
              </w:rPr>
              <w:t>水利、环境和公共设施管理业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O</w:t>
            </w:r>
          </w:p>
        </w:tc>
        <w:tc>
          <w:tcPr>
            <w:tcW/>
            <w:vAlign w:val="center"/>
          </w:tcPr>
          <w:p>
            <w:pPr>
              <w:spacing w:line="240" w:lineRule="auto"/>
              <w:jc w:val="left"/>
            </w:pPr>
            <w:r>
              <w:rPr>
                <w:rFonts w:ascii="宋体" w:hAnsi="宋体" w:cs="宋体" w:eastAsia="宋体"/>
                <w:b w:val="false"/>
              </w:rPr>
              <w:t>居民服务、修理和其他服务业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P</w:t>
            </w:r>
          </w:p>
        </w:tc>
        <w:tc>
          <w:tcPr>
            <w:tcW/>
            <w:vAlign w:val="center"/>
          </w:tcPr>
          <w:p>
            <w:pPr>
              <w:spacing w:line="240" w:lineRule="auto"/>
              <w:jc w:val="left"/>
            </w:pPr>
            <w:r>
              <w:rPr>
                <w:rFonts w:ascii="宋体" w:hAnsi="宋体" w:cs="宋体" w:eastAsia="宋体"/>
                <w:b w:val="false"/>
              </w:rPr>
              <w:t>教育</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Q</w:t>
            </w:r>
          </w:p>
        </w:tc>
        <w:tc>
          <w:tcPr>
            <w:tcW/>
            <w:vAlign w:val="center"/>
          </w:tcPr>
          <w:p>
            <w:pPr>
              <w:spacing w:line="240" w:lineRule="auto"/>
              <w:jc w:val="left"/>
            </w:pPr>
            <w:r>
              <w:rPr>
                <w:rFonts w:ascii="宋体" w:hAnsi="宋体" w:cs="宋体" w:eastAsia="宋体"/>
                <w:b w:val="false"/>
              </w:rPr>
              <w:t>卫生和社会工作</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R</w:t>
            </w:r>
          </w:p>
        </w:tc>
        <w:tc>
          <w:tcPr>
            <w:tcW/>
            <w:vAlign w:val="center"/>
          </w:tcPr>
          <w:p>
            <w:pPr>
              <w:spacing w:line="240" w:lineRule="auto"/>
              <w:jc w:val="left"/>
            </w:pPr>
            <w:r>
              <w:rPr>
                <w:rFonts w:ascii="宋体" w:hAnsi="宋体" w:cs="宋体" w:eastAsia="宋体"/>
                <w:b w:val="false"/>
              </w:rPr>
              <w:t>文化、体育和娱乐业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S</w:t>
            </w:r>
          </w:p>
        </w:tc>
        <w:tc>
          <w:tcPr>
            <w:tcW/>
            <w:vAlign w:val="center"/>
          </w:tcPr>
          <w:p>
            <w:pPr>
              <w:spacing w:line="240" w:lineRule="auto"/>
              <w:jc w:val="left"/>
            </w:pPr>
            <w:r>
              <w:rPr>
                <w:rFonts w:ascii="宋体" w:hAnsi="宋体" w:cs="宋体" w:eastAsia="宋体"/>
                <w:b w:val="false"/>
              </w:rPr>
              <w:t>综合</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283,593,302.40</w:t>
            </w:r>
          </w:p>
        </w:tc>
        <w:tc>
          <w:tcPr>
            <w:tcW/>
            <w:vAlign w:val="center"/>
          </w:tcPr>
          <w:p>
            <w:pPr>
              <w:spacing w:line="240" w:lineRule="auto"/>
              <w:jc w:val="right"/>
            </w:pPr>
            <w:r>
              <w:rPr>
                <w:rFonts w:ascii="宋体" w:hAnsi="宋体" w:cs="宋体" w:eastAsia="宋体"/>
                <w:b w:val="false"/>
              </w:rPr>
              <w:t>94.32</w:t>
            </w:r>
          </w:p>
        </w:tc>
      </w:tr>
    </w:tbl>
    <w:p/>
    <w:p>
      <w:pPr>
        <w:pStyle w:val="zhangjiep2"/>
      </w:pPr>
      <w:r>
        <w:rPr>
          <w:rStyle w:val="正文"/>
          <w:rFonts w:ascii="宋体" w:hAnsi="宋体" w:cs="宋体" w:eastAsia="宋体"/>
          <w:b w:val="true"/>
        </w:rPr>
        <w:t>5.2.2 报告期末按行业分类的港股通投资股票投资组合</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538"/>
            <w:vAlign w:val="center"/>
          </w:tcPr>
          <w:tcPr>
            <w:shd w:fill="d9d9d9"/>
          </w:tcPr>
          <w:p>
            <w:pPr>
              <w:spacing w:line="240" w:lineRule="auto"/>
              <w:jc w:val="center"/>
            </w:pPr>
            <w:r>
              <w:rPr>
                <w:rFonts w:ascii="宋体" w:hAnsi="宋体" w:cs="宋体" w:eastAsia="宋体"/>
                <w:b w:val="false"/>
              </w:rPr>
              <w:t>行业类别</w:t>
            </w:r>
          </w:p>
        </w:tc>
        <w:tc>
          <w:tcPr>
            <w:tcW w:type="pct" w:w="1538"/>
            <w:vAlign w:val="center"/>
          </w:tcPr>
          <w:tcPr>
            <w:shd w:fill="d9d9d9"/>
          </w:tcPr>
          <w:p>
            <w:pPr>
              <w:spacing w:line="240" w:lineRule="auto"/>
              <w:jc w:val="center"/>
            </w:pPr>
            <w:r>
              <w:rPr>
                <w:rFonts w:ascii="宋体" w:hAnsi="宋体" w:cs="宋体" w:eastAsia="宋体"/>
                <w:b w:val="false"/>
              </w:rPr>
              <w:t>公允价值（人民币）</w:t>
            </w:r>
          </w:p>
        </w:tc>
        <w:tc>
          <w:tcPr>
            <w:tcW w:type="pct" w:w="1538"/>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left"/>
            </w:pPr>
            <w:r>
              <w:rPr>
                <w:rFonts w:ascii="宋体" w:hAnsi="宋体" w:cs="宋体" w:eastAsia="宋体"/>
                <w:b w:val="false"/>
              </w:rPr>
              <w:t>信息技术</w:t>
            </w:r>
          </w:p>
        </w:tc>
        <w:tc>
          <w:tcPr>
            <w:tcW/>
            <w:vAlign w:val="center"/>
          </w:tcPr>
          <w:p>
            <w:pPr>
              <w:spacing w:line="240" w:lineRule="auto"/>
              <w:jc w:val="right"/>
            </w:pPr>
            <w:r>
              <w:rPr>
                <w:rFonts w:ascii="宋体" w:hAnsi="宋体" w:cs="宋体" w:eastAsia="宋体"/>
                <w:b w:val="false"/>
              </w:rPr>
              <w:t>1,882,960.80</w:t>
            </w:r>
          </w:p>
        </w:tc>
        <w:tc>
          <w:tcPr>
            <w:tcW/>
            <w:vAlign w:val="center"/>
          </w:tcPr>
          <w:p>
            <w:pPr>
              <w:spacing w:line="240" w:lineRule="auto"/>
              <w:jc w:val="right"/>
            </w:pPr>
            <w:r>
              <w:rPr>
                <w:rFonts w:ascii="宋体" w:hAnsi="宋体" w:cs="宋体" w:eastAsia="宋体"/>
                <w:b w:val="false"/>
              </w:rPr>
              <w:t>0.63</w:t>
            </w:r>
          </w:p>
        </w:tc>
      </w:tr>
      <w:tr>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1,882,960.80</w:t>
            </w:r>
          </w:p>
        </w:tc>
        <w:tc>
          <w:tcPr>
            <w:tcW/>
            <w:vAlign w:val="center"/>
          </w:tcPr>
          <w:p>
            <w:pPr>
              <w:spacing w:line="240" w:lineRule="auto"/>
              <w:jc w:val="right"/>
            </w:pPr>
            <w:r>
              <w:rPr>
                <w:rFonts w:ascii="宋体" w:hAnsi="宋体" w:cs="宋体" w:eastAsia="宋体"/>
                <w:b w:val="false"/>
              </w:rPr>
              <w:t>0.63</w:t>
            </w:r>
          </w:p>
        </w:tc>
      </w:tr>
    </w:tbl>
    <w:p/>
    <w:p>
      <w:pPr>
        <w:pStyle w:val="2"/>
        <w:jc w:val="left"/>
      </w:pPr>
      <w:r>
        <w:rPr>
          <w:rFonts w:ascii="宋体" w:hAnsi="宋体" w:cs="宋体" w:eastAsia="宋体"/>
        </w:rPr>
        <w:t>5.3 报告期末按公允价值占基金资产净值比例大小排序的前十名股票投资明细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股票代码</w:t>
            </w:r>
          </w:p>
        </w:tc>
        <w:tc>
          <w:tcPr>
            <w:tcW w:type="pct" w:w="769"/>
            <w:vAlign w:val="center"/>
          </w:tcPr>
          <w:tcPr>
            <w:shd w:fill="d9d9d9"/>
          </w:tcPr>
          <w:p>
            <w:pPr>
              <w:spacing w:line="240" w:lineRule="auto"/>
              <w:jc w:val="center"/>
            </w:pPr>
            <w:r>
              <w:rPr>
                <w:rFonts w:ascii="宋体" w:hAnsi="宋体" w:cs="宋体" w:eastAsia="宋体"/>
                <w:b w:val="false"/>
              </w:rPr>
              <w:t>股票名称</w:t>
            </w:r>
          </w:p>
        </w:tc>
        <w:tc>
          <w:tcPr>
            <w:tcW w:type="pct" w:w="615"/>
            <w:vAlign w:val="center"/>
          </w:tcPr>
          <w:tcPr>
            <w:shd w:fill="d9d9d9"/>
          </w:tcPr>
          <w:p>
            <w:pPr>
              <w:spacing w:line="240" w:lineRule="auto"/>
              <w:jc w:val="center"/>
            </w:pPr>
            <w:r>
              <w:rPr>
                <w:rFonts w:ascii="宋体" w:hAnsi="宋体" w:cs="宋体" w:eastAsia="宋体"/>
                <w:b w:val="false"/>
              </w:rPr>
              <w:t>数量(股)</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600760</w:t>
            </w:r>
          </w:p>
        </w:tc>
        <w:tc>
          <w:tcPr>
            <w:tcW/>
            <w:vAlign w:val="center"/>
          </w:tcPr>
          <w:p>
            <w:pPr>
              <w:spacing w:line="240" w:lineRule="auto"/>
              <w:jc w:val="left"/>
            </w:pPr>
            <w:r>
              <w:rPr>
                <w:rFonts w:ascii="宋体" w:hAnsi="宋体" w:cs="宋体" w:eastAsia="宋体"/>
                <w:b w:val="false"/>
              </w:rPr>
              <w:t>中航沈飞</w:t>
            </w:r>
          </w:p>
        </w:tc>
        <w:tc>
          <w:tcPr>
            <w:tcW/>
            <w:vAlign w:val="center"/>
          </w:tcPr>
          <w:p>
            <w:pPr>
              <w:spacing w:line="240" w:lineRule="auto"/>
              <w:jc w:val="right"/>
            </w:pPr>
            <w:r>
              <w:rPr>
                <w:rFonts w:ascii="宋体" w:hAnsi="宋体" w:cs="宋体" w:eastAsia="宋体"/>
                <w:b w:val="false"/>
              </w:rPr>
              <w:t>460,384</w:t>
            </w:r>
          </w:p>
        </w:tc>
        <w:tc>
          <w:tcPr>
            <w:tcW/>
            <w:vAlign w:val="center"/>
          </w:tcPr>
          <w:p>
            <w:pPr>
              <w:spacing w:line="240" w:lineRule="auto"/>
              <w:jc w:val="right"/>
            </w:pPr>
            <w:r>
              <w:rPr>
                <w:rFonts w:ascii="宋体" w:hAnsi="宋体" w:cs="宋体" w:eastAsia="宋体"/>
                <w:b w:val="false"/>
              </w:rPr>
              <w:t>25,850,561.60</w:t>
            </w:r>
          </w:p>
        </w:tc>
        <w:tc>
          <w:tcPr>
            <w:tcW/>
            <w:vAlign w:val="center"/>
          </w:tcPr>
          <w:p>
            <w:pPr>
              <w:spacing w:line="240" w:lineRule="auto"/>
              <w:jc w:val="right"/>
            </w:pPr>
            <w:r>
              <w:rPr>
                <w:rFonts w:ascii="宋体" w:hAnsi="宋体" w:cs="宋体" w:eastAsia="宋体"/>
                <w:b w:val="false"/>
              </w:rPr>
              <w:t>8.60</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002414</w:t>
            </w:r>
          </w:p>
        </w:tc>
        <w:tc>
          <w:tcPr>
            <w:tcW/>
            <w:vAlign w:val="center"/>
          </w:tcPr>
          <w:p>
            <w:pPr>
              <w:spacing w:line="240" w:lineRule="auto"/>
              <w:jc w:val="left"/>
            </w:pPr>
            <w:r>
              <w:rPr>
                <w:rFonts w:ascii="宋体" w:hAnsi="宋体" w:cs="宋体" w:eastAsia="宋体"/>
                <w:b w:val="false"/>
              </w:rPr>
              <w:t>高德红外</w:t>
            </w:r>
          </w:p>
        </w:tc>
        <w:tc>
          <w:tcPr>
            <w:tcW/>
            <w:vAlign w:val="center"/>
          </w:tcPr>
          <w:p>
            <w:pPr>
              <w:spacing w:line="240" w:lineRule="auto"/>
              <w:jc w:val="right"/>
            </w:pPr>
            <w:r>
              <w:rPr>
                <w:rFonts w:ascii="宋体" w:hAnsi="宋体" w:cs="宋体" w:eastAsia="宋体"/>
                <w:b w:val="false"/>
              </w:rPr>
              <w:t>1,628,530</w:t>
            </w:r>
          </w:p>
        </w:tc>
        <w:tc>
          <w:tcPr>
            <w:tcW/>
            <w:vAlign w:val="center"/>
          </w:tcPr>
          <w:p>
            <w:pPr>
              <w:spacing w:line="240" w:lineRule="auto"/>
              <w:jc w:val="right"/>
            </w:pPr>
            <w:r>
              <w:rPr>
                <w:rFonts w:ascii="宋体" w:hAnsi="宋体" w:cs="宋体" w:eastAsia="宋体"/>
                <w:b w:val="false"/>
              </w:rPr>
              <w:t>23,890,535.10</w:t>
            </w:r>
          </w:p>
        </w:tc>
        <w:tc>
          <w:tcPr>
            <w:tcW/>
            <w:vAlign w:val="center"/>
          </w:tcPr>
          <w:p>
            <w:pPr>
              <w:spacing w:line="240" w:lineRule="auto"/>
              <w:jc w:val="right"/>
            </w:pPr>
            <w:r>
              <w:rPr>
                <w:rFonts w:ascii="宋体" w:hAnsi="宋体" w:cs="宋体" w:eastAsia="宋体"/>
                <w:b w:val="false"/>
              </w:rPr>
              <w:t>7.95</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688543</w:t>
            </w:r>
          </w:p>
        </w:tc>
        <w:tc>
          <w:tcPr>
            <w:tcW/>
            <w:vAlign w:val="center"/>
          </w:tcPr>
          <w:p>
            <w:pPr>
              <w:spacing w:line="240" w:lineRule="auto"/>
              <w:jc w:val="left"/>
            </w:pPr>
            <w:r>
              <w:rPr>
                <w:rFonts w:ascii="宋体" w:hAnsi="宋体" w:cs="宋体" w:eastAsia="宋体"/>
                <w:b w:val="false"/>
              </w:rPr>
              <w:t>国科军工</w:t>
            </w:r>
          </w:p>
        </w:tc>
        <w:tc>
          <w:tcPr>
            <w:tcW/>
            <w:vAlign w:val="center"/>
          </w:tcPr>
          <w:p>
            <w:pPr>
              <w:spacing w:line="240" w:lineRule="auto"/>
              <w:jc w:val="right"/>
            </w:pPr>
            <w:r>
              <w:rPr>
                <w:rFonts w:ascii="宋体" w:hAnsi="宋体" w:cs="宋体" w:eastAsia="宋体"/>
                <w:b w:val="false"/>
              </w:rPr>
              <w:t>379,294</w:t>
            </w:r>
          </w:p>
        </w:tc>
        <w:tc>
          <w:tcPr>
            <w:tcW/>
            <w:vAlign w:val="center"/>
          </w:tcPr>
          <w:p>
            <w:pPr>
              <w:spacing w:line="240" w:lineRule="auto"/>
              <w:jc w:val="right"/>
            </w:pPr>
            <w:r>
              <w:rPr>
                <w:rFonts w:ascii="宋体" w:hAnsi="宋体" w:cs="宋体" w:eastAsia="宋体"/>
                <w:b w:val="false"/>
              </w:rPr>
              <w:t>23,542,778.58</w:t>
            </w:r>
          </w:p>
        </w:tc>
        <w:tc>
          <w:tcPr>
            <w:tcW/>
            <w:vAlign w:val="center"/>
          </w:tcPr>
          <w:p>
            <w:pPr>
              <w:spacing w:line="240" w:lineRule="auto"/>
              <w:jc w:val="right"/>
            </w:pPr>
            <w:r>
              <w:rPr>
                <w:rFonts w:ascii="宋体" w:hAnsi="宋体" w:cs="宋体" w:eastAsia="宋体"/>
                <w:b w:val="false"/>
              </w:rPr>
              <w:t>7.83</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002683</w:t>
            </w:r>
          </w:p>
        </w:tc>
        <w:tc>
          <w:tcPr>
            <w:tcW/>
            <w:vAlign w:val="center"/>
          </w:tcPr>
          <w:p>
            <w:pPr>
              <w:spacing w:line="240" w:lineRule="auto"/>
              <w:jc w:val="left"/>
            </w:pPr>
            <w:r>
              <w:rPr>
                <w:rFonts w:ascii="宋体" w:hAnsi="宋体" w:cs="宋体" w:eastAsia="宋体"/>
                <w:b w:val="false"/>
              </w:rPr>
              <w:t>广东宏大</w:t>
            </w:r>
          </w:p>
        </w:tc>
        <w:tc>
          <w:tcPr>
            <w:tcW/>
            <w:vAlign w:val="center"/>
          </w:tcPr>
          <w:p>
            <w:pPr>
              <w:spacing w:line="240" w:lineRule="auto"/>
              <w:jc w:val="right"/>
            </w:pPr>
            <w:r>
              <w:rPr>
                <w:rFonts w:ascii="宋体" w:hAnsi="宋体" w:cs="宋体" w:eastAsia="宋体"/>
                <w:b w:val="false"/>
              </w:rPr>
              <w:t>430,900</w:t>
            </w:r>
          </w:p>
        </w:tc>
        <w:tc>
          <w:tcPr>
            <w:tcW/>
            <w:vAlign w:val="center"/>
          </w:tcPr>
          <w:p>
            <w:pPr>
              <w:spacing w:line="240" w:lineRule="auto"/>
              <w:jc w:val="right"/>
            </w:pPr>
            <w:r>
              <w:rPr>
                <w:rFonts w:ascii="宋体" w:hAnsi="宋体" w:cs="宋体" w:eastAsia="宋体"/>
                <w:b w:val="false"/>
              </w:rPr>
              <w:t>20,597,020.00</w:t>
            </w:r>
          </w:p>
        </w:tc>
        <w:tc>
          <w:tcPr>
            <w:tcW/>
            <w:vAlign w:val="center"/>
          </w:tcPr>
          <w:p>
            <w:pPr>
              <w:spacing w:line="240" w:lineRule="auto"/>
              <w:jc w:val="right"/>
            </w:pPr>
            <w:r>
              <w:rPr>
                <w:rFonts w:ascii="宋体" w:hAnsi="宋体" w:cs="宋体" w:eastAsia="宋体"/>
                <w:b w:val="false"/>
              </w:rPr>
              <w:t>6.85</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600562</w:t>
            </w:r>
          </w:p>
        </w:tc>
        <w:tc>
          <w:tcPr>
            <w:tcW/>
            <w:vAlign w:val="center"/>
          </w:tcPr>
          <w:p>
            <w:pPr>
              <w:spacing w:line="240" w:lineRule="auto"/>
              <w:jc w:val="left"/>
            </w:pPr>
            <w:r>
              <w:rPr>
                <w:rFonts w:ascii="宋体" w:hAnsi="宋体" w:cs="宋体" w:eastAsia="宋体"/>
                <w:b w:val="false"/>
              </w:rPr>
              <w:t>国睿科技</w:t>
            </w:r>
          </w:p>
        </w:tc>
        <w:tc>
          <w:tcPr>
            <w:tcW/>
            <w:vAlign w:val="center"/>
          </w:tcPr>
          <w:p>
            <w:pPr>
              <w:spacing w:line="240" w:lineRule="auto"/>
              <w:jc w:val="right"/>
            </w:pPr>
            <w:r>
              <w:rPr>
                <w:rFonts w:ascii="宋体" w:hAnsi="宋体" w:cs="宋体" w:eastAsia="宋体"/>
                <w:b w:val="false"/>
              </w:rPr>
              <w:t>696,700</w:t>
            </w:r>
          </w:p>
        </w:tc>
        <w:tc>
          <w:tcPr>
            <w:tcW/>
            <w:vAlign w:val="center"/>
          </w:tcPr>
          <w:p>
            <w:pPr>
              <w:spacing w:line="240" w:lineRule="auto"/>
              <w:jc w:val="right"/>
            </w:pPr>
            <w:r>
              <w:rPr>
                <w:rFonts w:ascii="宋体" w:hAnsi="宋体" w:cs="宋体" w:eastAsia="宋体"/>
                <w:b w:val="false"/>
              </w:rPr>
              <w:t>19,688,742.00</w:t>
            </w:r>
          </w:p>
        </w:tc>
        <w:tc>
          <w:tcPr>
            <w:tcW/>
            <w:vAlign w:val="center"/>
          </w:tcPr>
          <w:p>
            <w:pPr>
              <w:spacing w:line="240" w:lineRule="auto"/>
              <w:jc w:val="right"/>
            </w:pPr>
            <w:r>
              <w:rPr>
                <w:rFonts w:ascii="宋体" w:hAnsi="宋体" w:cs="宋体" w:eastAsia="宋体"/>
                <w:b w:val="false"/>
              </w:rPr>
              <w:t>6.55</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688552</w:t>
            </w:r>
          </w:p>
        </w:tc>
        <w:tc>
          <w:tcPr>
            <w:tcW/>
            <w:vAlign w:val="center"/>
          </w:tcPr>
          <w:p>
            <w:pPr>
              <w:spacing w:line="240" w:lineRule="auto"/>
              <w:jc w:val="left"/>
            </w:pPr>
            <w:r>
              <w:rPr>
                <w:rFonts w:ascii="宋体" w:hAnsi="宋体" w:cs="宋体" w:eastAsia="宋体"/>
                <w:b w:val="false"/>
              </w:rPr>
              <w:t>航天南湖</w:t>
            </w:r>
          </w:p>
        </w:tc>
        <w:tc>
          <w:tcPr>
            <w:tcW/>
            <w:vAlign w:val="center"/>
          </w:tcPr>
          <w:p>
            <w:pPr>
              <w:spacing w:line="240" w:lineRule="auto"/>
              <w:jc w:val="right"/>
            </w:pPr>
            <w:r>
              <w:rPr>
                <w:rFonts w:ascii="宋体" w:hAnsi="宋体" w:cs="宋体" w:eastAsia="宋体"/>
                <w:b w:val="false"/>
              </w:rPr>
              <w:t>454,455</w:t>
            </w:r>
          </w:p>
        </w:tc>
        <w:tc>
          <w:tcPr>
            <w:tcW/>
            <w:vAlign w:val="center"/>
          </w:tcPr>
          <w:p>
            <w:pPr>
              <w:spacing w:line="240" w:lineRule="auto"/>
              <w:jc w:val="right"/>
            </w:pPr>
            <w:r>
              <w:rPr>
                <w:rFonts w:ascii="宋体" w:hAnsi="宋体" w:cs="宋体" w:eastAsia="宋体"/>
                <w:b w:val="false"/>
              </w:rPr>
              <w:t>16,505,805.60</w:t>
            </w:r>
          </w:p>
        </w:tc>
        <w:tc>
          <w:tcPr>
            <w:tcW/>
            <w:vAlign w:val="center"/>
          </w:tcPr>
          <w:p>
            <w:pPr>
              <w:spacing w:line="240" w:lineRule="auto"/>
              <w:jc w:val="right"/>
            </w:pPr>
            <w:r>
              <w:rPr>
                <w:rFonts w:ascii="宋体" w:hAnsi="宋体" w:cs="宋体" w:eastAsia="宋体"/>
                <w:b w:val="false"/>
              </w:rPr>
              <w:t>5.49</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302132</w:t>
            </w:r>
          </w:p>
        </w:tc>
        <w:tc>
          <w:tcPr>
            <w:tcW/>
            <w:vAlign w:val="center"/>
          </w:tcPr>
          <w:p>
            <w:pPr>
              <w:spacing w:line="240" w:lineRule="auto"/>
              <w:jc w:val="left"/>
            </w:pPr>
            <w:r>
              <w:rPr>
                <w:rFonts w:ascii="宋体" w:hAnsi="宋体" w:cs="宋体" w:eastAsia="宋体"/>
                <w:b w:val="false"/>
              </w:rPr>
              <w:t>中航成飞</w:t>
            </w:r>
          </w:p>
        </w:tc>
        <w:tc>
          <w:tcPr>
            <w:tcW/>
            <w:vAlign w:val="center"/>
          </w:tcPr>
          <w:p>
            <w:pPr>
              <w:spacing w:line="240" w:lineRule="auto"/>
              <w:jc w:val="right"/>
            </w:pPr>
            <w:r>
              <w:rPr>
                <w:rFonts w:ascii="宋体" w:hAnsi="宋体" w:cs="宋体" w:eastAsia="宋体"/>
                <w:b w:val="false"/>
              </w:rPr>
              <w:t>153,800</w:t>
            </w:r>
          </w:p>
        </w:tc>
        <w:tc>
          <w:tcPr>
            <w:tcW/>
            <w:vAlign w:val="center"/>
          </w:tcPr>
          <w:p>
            <w:pPr>
              <w:spacing w:line="240" w:lineRule="auto"/>
              <w:jc w:val="right"/>
            </w:pPr>
            <w:r>
              <w:rPr>
                <w:rFonts w:ascii="宋体" w:hAnsi="宋体" w:cs="宋体" w:eastAsia="宋体"/>
                <w:b w:val="false"/>
              </w:rPr>
              <w:t>12,150,200.00</w:t>
            </w:r>
          </w:p>
        </w:tc>
        <w:tc>
          <w:tcPr>
            <w:tcW/>
            <w:vAlign w:val="center"/>
          </w:tcPr>
          <w:p>
            <w:pPr>
              <w:spacing w:line="240" w:lineRule="auto"/>
              <w:jc w:val="right"/>
            </w:pPr>
            <w:r>
              <w:rPr>
                <w:rFonts w:ascii="宋体" w:hAnsi="宋体" w:cs="宋体" w:eastAsia="宋体"/>
                <w:b w:val="false"/>
              </w:rPr>
              <w:t>4.04</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688002</w:t>
            </w:r>
          </w:p>
        </w:tc>
        <w:tc>
          <w:tcPr>
            <w:tcW/>
            <w:vAlign w:val="center"/>
          </w:tcPr>
          <w:p>
            <w:pPr>
              <w:spacing w:line="240" w:lineRule="auto"/>
              <w:jc w:val="left"/>
            </w:pPr>
            <w:r>
              <w:rPr>
                <w:rFonts w:ascii="宋体" w:hAnsi="宋体" w:cs="宋体" w:eastAsia="宋体"/>
                <w:b w:val="false"/>
              </w:rPr>
              <w:t>睿创微纳</w:t>
            </w:r>
          </w:p>
        </w:tc>
        <w:tc>
          <w:tcPr>
            <w:tcW/>
            <w:vAlign w:val="center"/>
          </w:tcPr>
          <w:p>
            <w:pPr>
              <w:spacing w:line="240" w:lineRule="auto"/>
              <w:jc w:val="right"/>
            </w:pPr>
            <w:r>
              <w:rPr>
                <w:rFonts w:ascii="宋体" w:hAnsi="宋体" w:cs="宋体" w:eastAsia="宋体"/>
                <w:b w:val="false"/>
              </w:rPr>
              <w:t>115,518</w:t>
            </w:r>
          </w:p>
        </w:tc>
        <w:tc>
          <w:tcPr>
            <w:tcW/>
            <w:vAlign w:val="center"/>
          </w:tcPr>
          <w:p>
            <w:pPr>
              <w:spacing w:line="240" w:lineRule="auto"/>
              <w:jc w:val="right"/>
            </w:pPr>
            <w:r>
              <w:rPr>
                <w:rFonts w:ascii="宋体" w:hAnsi="宋体" w:cs="宋体" w:eastAsia="宋体"/>
                <w:b w:val="false"/>
              </w:rPr>
              <w:t>11,644,214.40</w:t>
            </w:r>
          </w:p>
        </w:tc>
        <w:tc>
          <w:tcPr>
            <w:tcW/>
            <w:vAlign w:val="center"/>
          </w:tcPr>
          <w:p>
            <w:pPr>
              <w:spacing w:line="240" w:lineRule="auto"/>
              <w:jc w:val="right"/>
            </w:pPr>
            <w:r>
              <w:rPr>
                <w:rFonts w:ascii="宋体" w:hAnsi="宋体" w:cs="宋体" w:eastAsia="宋体"/>
                <w:b w:val="false"/>
              </w:rPr>
              <w:t>3.87</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688239</w:t>
            </w:r>
          </w:p>
        </w:tc>
        <w:tc>
          <w:tcPr>
            <w:tcW/>
            <w:vAlign w:val="center"/>
          </w:tcPr>
          <w:p>
            <w:pPr>
              <w:spacing w:line="240" w:lineRule="auto"/>
              <w:jc w:val="left"/>
            </w:pPr>
            <w:r>
              <w:rPr>
                <w:rFonts w:ascii="宋体" w:hAnsi="宋体" w:cs="宋体" w:eastAsia="宋体"/>
                <w:b w:val="false"/>
              </w:rPr>
              <w:t>航宇科技</w:t>
            </w:r>
          </w:p>
        </w:tc>
        <w:tc>
          <w:tcPr>
            <w:tcW/>
            <w:vAlign w:val="center"/>
          </w:tcPr>
          <w:p>
            <w:pPr>
              <w:spacing w:line="240" w:lineRule="auto"/>
              <w:jc w:val="right"/>
            </w:pPr>
            <w:r>
              <w:rPr>
                <w:rFonts w:ascii="宋体" w:hAnsi="宋体" w:cs="宋体" w:eastAsia="宋体"/>
                <w:b w:val="false"/>
              </w:rPr>
              <w:t>167,299</w:t>
            </w:r>
          </w:p>
        </w:tc>
        <w:tc>
          <w:tcPr>
            <w:tcW/>
            <w:vAlign w:val="center"/>
          </w:tcPr>
          <w:p>
            <w:pPr>
              <w:spacing w:line="240" w:lineRule="auto"/>
              <w:jc w:val="right"/>
            </w:pPr>
            <w:r>
              <w:rPr>
                <w:rFonts w:ascii="宋体" w:hAnsi="宋体" w:cs="宋体" w:eastAsia="宋体"/>
                <w:b w:val="false"/>
              </w:rPr>
              <w:t>11,321,123.33</w:t>
            </w:r>
          </w:p>
        </w:tc>
        <w:tc>
          <w:tcPr>
            <w:tcW/>
            <w:vAlign w:val="center"/>
          </w:tcPr>
          <w:p>
            <w:pPr>
              <w:spacing w:line="240" w:lineRule="auto"/>
              <w:jc w:val="right"/>
            </w:pPr>
            <w:r>
              <w:rPr>
                <w:rFonts w:ascii="宋体" w:hAnsi="宋体" w:cs="宋体" w:eastAsia="宋体"/>
                <w:b w:val="false"/>
              </w:rPr>
              <w:t>3.77</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603067</w:t>
            </w:r>
          </w:p>
        </w:tc>
        <w:tc>
          <w:tcPr>
            <w:tcW/>
            <w:vAlign w:val="center"/>
          </w:tcPr>
          <w:p>
            <w:pPr>
              <w:spacing w:line="240" w:lineRule="auto"/>
              <w:jc w:val="left"/>
            </w:pPr>
            <w:r>
              <w:rPr>
                <w:rFonts w:ascii="宋体" w:hAnsi="宋体" w:cs="宋体" w:eastAsia="宋体"/>
                <w:b w:val="false"/>
              </w:rPr>
              <w:t>振华股份</w:t>
            </w:r>
          </w:p>
        </w:tc>
        <w:tc>
          <w:tcPr>
            <w:tcW/>
            <w:vAlign w:val="center"/>
          </w:tcPr>
          <w:p>
            <w:pPr>
              <w:spacing w:line="240" w:lineRule="auto"/>
              <w:jc w:val="right"/>
            </w:pPr>
            <w:r>
              <w:rPr>
                <w:rFonts w:ascii="宋体" w:hAnsi="宋体" w:cs="宋体" w:eastAsia="宋体"/>
                <w:b w:val="false"/>
              </w:rPr>
              <w:t>352,800</w:t>
            </w:r>
          </w:p>
        </w:tc>
        <w:tc>
          <w:tcPr>
            <w:tcW/>
            <w:vAlign w:val="center"/>
          </w:tcPr>
          <w:p>
            <w:pPr>
              <w:spacing w:line="240" w:lineRule="auto"/>
              <w:jc w:val="right"/>
            </w:pPr>
            <w:r>
              <w:rPr>
                <w:rFonts w:ascii="宋体" w:hAnsi="宋体" w:cs="宋体" w:eastAsia="宋体"/>
                <w:b w:val="false"/>
              </w:rPr>
              <w:t>10,164,168.00</w:t>
            </w:r>
          </w:p>
        </w:tc>
        <w:tc>
          <w:tcPr>
            <w:tcW/>
            <w:vAlign w:val="center"/>
          </w:tcPr>
          <w:p>
            <w:pPr>
              <w:spacing w:line="240" w:lineRule="auto"/>
              <w:jc w:val="right"/>
            </w:pPr>
            <w:r>
              <w:rPr>
                <w:rFonts w:ascii="宋体" w:hAnsi="宋体" w:cs="宋体" w:eastAsia="宋体"/>
                <w:b w:val="false"/>
              </w:rPr>
              <w:t>3.38</w:t>
            </w:r>
          </w:p>
        </w:tc>
      </w:tr>
    </w:tbl>
    <w:p/>
    <w:p>
      <w:pPr>
        <w:pStyle w:val="2"/>
        <w:jc w:val="left"/>
      </w:pPr>
      <w:r>
        <w:rPr>
          <w:rFonts w:ascii="宋体" w:hAnsi="宋体" w:cs="宋体" w:eastAsia="宋体"/>
        </w:rPr>
        <w:t>5.4 报告期末按债券品种分类的债券投资组合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债券品种</w:t>
            </w:r>
          </w:p>
        </w:tc>
        <w:tc>
          <w:tcPr>
            <w:tcW w:type="pct" w:w="769"/>
            <w:vAlign w:val="center"/>
          </w:tcPr>
          <w:tcPr>
            <w:shd w:fill="d9d9d9"/>
          </w:tcPr>
          <w:p>
            <w:pPr>
              <w:spacing w:line="240" w:lineRule="auto"/>
              <w:jc w:val="center"/>
            </w:pPr>
            <w:r>
              <w:rPr>
                <w:rFonts w:ascii="宋体" w:hAnsi="宋体" w:cs="宋体" w:eastAsia="宋体"/>
                <w:b w:val="false"/>
              </w:rPr>
              <w:t>公允价值(元)</w:t>
            </w:r>
          </w:p>
        </w:tc>
        <w:tc>
          <w:tcPr>
            <w:tcW w:type="pct" w:w="1077"/>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国家债券</w:t>
            </w:r>
          </w:p>
        </w:tc>
        <w:tc>
          <w:tcPr>
            <w:tcW/>
            <w:vAlign w:val="center"/>
          </w:tcPr>
          <w:p>
            <w:pPr>
              <w:spacing w:line="240" w:lineRule="auto"/>
              <w:jc w:val="right"/>
            </w:pPr>
            <w:r>
              <w:rPr>
                <w:rFonts w:ascii="宋体" w:hAnsi="宋体" w:cs="宋体" w:eastAsia="宋体"/>
                <w:b w:val="false"/>
              </w:rPr>
              <w:t>16,257,447.01</w:t>
            </w:r>
          </w:p>
        </w:tc>
        <w:tc>
          <w:tcPr>
            <w:tcW/>
            <w:vAlign w:val="center"/>
          </w:tcPr>
          <w:p>
            <w:pPr>
              <w:spacing w:line="240" w:lineRule="auto"/>
              <w:jc w:val="right"/>
            </w:pPr>
            <w:r>
              <w:rPr>
                <w:rFonts w:ascii="宋体" w:hAnsi="宋体" w:cs="宋体" w:eastAsia="宋体"/>
                <w:b w:val="false"/>
              </w:rPr>
              <w:t>5.41</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央行票据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金融债券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其中：政策性金融债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企业债券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企业短期融资券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中期票据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可转债（可交换债）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同业存单</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16,257,447.01</w:t>
            </w:r>
          </w:p>
        </w:tc>
        <w:tc>
          <w:tcPr>
            <w:tcW/>
            <w:vAlign w:val="center"/>
          </w:tcPr>
          <w:p>
            <w:pPr>
              <w:spacing w:line="240" w:lineRule="auto"/>
              <w:jc w:val="right"/>
            </w:pPr>
            <w:r>
              <w:rPr>
                <w:rFonts w:ascii="宋体" w:hAnsi="宋体" w:cs="宋体" w:eastAsia="宋体"/>
                <w:b w:val="false"/>
              </w:rPr>
              <w:t>5.41</w:t>
            </w:r>
          </w:p>
        </w:tc>
      </w:tr>
    </w:tbl>
    <w:p/>
    <w:p>
      <w:pPr>
        <w:pStyle w:val="2"/>
        <w:jc w:val="left"/>
      </w:pPr>
      <w:r>
        <w:rPr>
          <w:rFonts w:ascii="宋体" w:hAnsi="宋体" w:cs="宋体" w:eastAsia="宋体"/>
        </w:rPr>
        <w:t>5.5 报告期末按公允价值占基金资产净值比例大小排序的前五名债券投资明细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债券代码</w:t>
            </w:r>
          </w:p>
        </w:tc>
        <w:tc>
          <w:tcPr>
            <w:tcW w:type="pct" w:w="769"/>
            <w:vAlign w:val="center"/>
          </w:tcPr>
          <w:tcPr>
            <w:shd w:fill="d9d9d9"/>
          </w:tcPr>
          <w:p>
            <w:pPr>
              <w:spacing w:line="240" w:lineRule="auto"/>
              <w:jc w:val="center"/>
            </w:pPr>
            <w:r>
              <w:rPr>
                <w:rFonts w:ascii="宋体" w:hAnsi="宋体" w:cs="宋体" w:eastAsia="宋体"/>
                <w:b w:val="false"/>
              </w:rPr>
              <w:t>债券名称</w:t>
            </w:r>
          </w:p>
        </w:tc>
        <w:tc>
          <w:tcPr>
            <w:tcW w:type="pct" w:w="615"/>
            <w:vAlign w:val="center"/>
          </w:tcPr>
          <w:tcPr>
            <w:shd w:fill="d9d9d9"/>
          </w:tcPr>
          <w:p>
            <w:pPr>
              <w:spacing w:line="240" w:lineRule="auto"/>
              <w:jc w:val="center"/>
            </w:pPr>
            <w:r>
              <w:rPr>
                <w:rFonts w:ascii="宋体" w:hAnsi="宋体" w:cs="宋体" w:eastAsia="宋体"/>
                <w:b w:val="false"/>
              </w:rPr>
              <w:t>数量(张)</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019785</w:t>
            </w:r>
          </w:p>
        </w:tc>
        <w:tc>
          <w:tcPr>
            <w:tcW/>
            <w:vAlign w:val="center"/>
          </w:tcPr>
          <w:p>
            <w:pPr>
              <w:spacing w:line="240" w:lineRule="auto"/>
              <w:jc w:val="left"/>
            </w:pPr>
            <w:r>
              <w:rPr>
                <w:rFonts w:ascii="宋体" w:hAnsi="宋体" w:cs="宋体" w:eastAsia="宋体"/>
                <w:b w:val="false"/>
              </w:rPr>
              <w:t>25国债13</w:t>
            </w:r>
          </w:p>
        </w:tc>
        <w:tc>
          <w:tcPr>
            <w:tcW/>
            <w:vAlign w:val="center"/>
          </w:tcPr>
          <w:p>
            <w:pPr>
              <w:spacing w:line="240" w:lineRule="auto"/>
              <w:jc w:val="right"/>
            </w:pPr>
            <w:r>
              <w:rPr>
                <w:rFonts w:ascii="宋体" w:hAnsi="宋体" w:cs="宋体" w:eastAsia="宋体"/>
                <w:b w:val="false"/>
              </w:rPr>
              <w:t>161,600</w:t>
            </w:r>
          </w:p>
        </w:tc>
        <w:tc>
          <w:tcPr>
            <w:tcW/>
            <w:vAlign w:val="center"/>
          </w:tcPr>
          <w:p>
            <w:pPr>
              <w:spacing w:line="240" w:lineRule="auto"/>
              <w:jc w:val="right"/>
            </w:pPr>
            <w:r>
              <w:rPr>
                <w:rFonts w:ascii="宋体" w:hAnsi="宋体" w:cs="宋体" w:eastAsia="宋体"/>
                <w:b w:val="false"/>
              </w:rPr>
              <w:t>16,257,447.01</w:t>
            </w:r>
          </w:p>
        </w:tc>
        <w:tc>
          <w:tcPr>
            <w:tcW/>
            <w:vAlign w:val="center"/>
          </w:tcPr>
          <w:p>
            <w:pPr>
              <w:spacing w:line="240" w:lineRule="auto"/>
              <w:jc w:val="right"/>
            </w:pPr>
            <w:r>
              <w:rPr>
                <w:rFonts w:ascii="宋体" w:hAnsi="宋体" w:cs="宋体" w:eastAsia="宋体"/>
                <w:b w:val="false"/>
              </w:rPr>
              <w:t>5.41</w:t>
            </w:r>
          </w:p>
        </w:tc>
      </w:tr>
    </w:tbl>
    <w:p>
      <w:r>
        <w:rPr>
          <w:rFonts w:ascii="宋体" w:hAnsi="宋体" w:cs="宋体" w:eastAsia="宋体"/>
          <w:b w:val="false"/>
        </w:rPr>
        <w:t>注：本基金本报告期末仅持有上述债券。</w:t>
      </w:r>
    </w:p>
    <w:p/>
    <w:p>
      <w:pPr>
        <w:pStyle w:val="2"/>
        <w:jc w:val="left"/>
      </w:pPr>
      <w:r>
        <w:rPr>
          <w:rFonts w:ascii="宋体" w:hAnsi="宋体" w:cs="宋体" w:eastAsia="宋体"/>
        </w:rPr>
        <w:t>5.6 报告期末按公允价值占基金资产净值比例大小排序的前十名资产支持证券投资明细</w:t>
      </w:r>
    </w:p>
    <w:p>
      <w:r>
        <w:rPr>
          <w:rFonts w:ascii="宋体" w:hAnsi="宋体" w:cs="宋体" w:eastAsia="宋体"/>
          <w:b w:val="false"/>
        </w:rPr>
        <w:t xml:space="preserve">    本基金本报告期末未持有资产支持证券。</w:t>
      </w:r>
    </w:p>
    <w:p/>
    <w:p>
      <w:pPr>
        <w:pStyle w:val="2"/>
        <w:jc w:val="left"/>
      </w:pPr>
      <w:r>
        <w:rPr>
          <w:rFonts w:ascii="宋体" w:hAnsi="宋体" w:cs="宋体" w:eastAsia="宋体"/>
        </w:rPr>
        <w:t>5.7 报告期末按公允价值占基金资产净值比例大小排序的前五名贵金属投资明细</w:t>
      </w:r>
    </w:p>
    <w:p>
      <w:r>
        <w:rPr>
          <w:rFonts w:ascii="宋体" w:hAnsi="宋体" w:cs="宋体" w:eastAsia="宋体"/>
          <w:b w:val="false"/>
        </w:rPr>
        <w:t xml:space="preserve">    本基金本报告期末未持有贵金属。</w:t>
      </w:r>
    </w:p>
    <w:p/>
    <w:p>
      <w:pPr>
        <w:pStyle w:val="2"/>
        <w:jc w:val="left"/>
      </w:pPr>
      <w:r>
        <w:rPr>
          <w:rFonts w:ascii="宋体" w:hAnsi="宋体" w:cs="宋体" w:eastAsia="宋体"/>
        </w:rPr>
        <w:t>5.8 报告期末按公允价值占基金资产净值比例大小排序的前五名权证投资明细</w:t>
      </w:r>
    </w:p>
    <w:p>
      <w:r>
        <w:rPr>
          <w:rFonts w:ascii="宋体" w:hAnsi="宋体" w:cs="宋体" w:eastAsia="宋体"/>
          <w:b w:val="false"/>
        </w:rPr>
        <w:t xml:space="preserve">    本基金本报告期末未持有权证。</w:t>
      </w:r>
    </w:p>
    <w:p/>
    <w:p>
      <w:pPr>
        <w:pStyle w:val="2"/>
        <w:jc w:val="left"/>
      </w:pPr>
      <w:r>
        <w:rPr>
          <w:rFonts w:ascii="宋体" w:hAnsi="宋体" w:cs="宋体" w:eastAsia="宋体"/>
        </w:rPr>
        <w:t>5.9 报告期末本基金投资的股指期货交易情况说明</w:t>
      </w:r>
    </w:p>
    <w:p>
      <w:r>
        <w:rPr>
          <w:rFonts w:ascii="宋体" w:hAnsi="宋体" w:cs="宋体" w:eastAsia="宋体"/>
          <w:b w:val="false"/>
        </w:rPr>
        <w:t xml:space="preserve">    本基金本报告期末未持有股指期货。</w:t>
      </w:r>
    </w:p>
    <w:p/>
    <w:p>
      <w:pPr>
        <w:pStyle w:val="2"/>
        <w:jc w:val="left"/>
      </w:pPr>
      <w:r>
        <w:rPr>
          <w:rFonts w:ascii="宋体" w:hAnsi="宋体" w:cs="宋体" w:eastAsia="宋体"/>
        </w:rPr>
        <w:t>5.10 报告期末本基金投资的国债期货交易情况说明</w:t>
      </w:r>
    </w:p>
    <w:p>
      <w:r>
        <w:rPr>
          <w:rFonts w:ascii="宋体" w:hAnsi="宋体" w:cs="宋体" w:eastAsia="宋体"/>
          <w:b w:val="false"/>
        </w:rPr>
        <w:t xml:space="preserve">    本基金本报告期末未持有国债期货。</w:t>
      </w:r>
    </w:p>
    <w:p/>
    <w:p>
      <w:pPr>
        <w:pStyle w:val="2"/>
        <w:jc w:val="left"/>
      </w:pPr>
      <w:r>
        <w:rPr>
          <w:rFonts w:ascii="宋体" w:hAnsi="宋体" w:cs="宋体" w:eastAsia="宋体"/>
        </w:rPr>
        <w:t>5.11 投资组合报告附注</w:t>
      </w:r>
    </w:p>
    <w:p>
      <w:pPr>
        <w:pStyle w:val="zhangjiep2"/>
      </w:pPr>
      <w:r>
        <w:rPr>
          <w:rStyle w:val="正文"/>
          <w:rFonts w:ascii="宋体" w:hAnsi="宋体" w:cs="宋体" w:eastAsia="宋体"/>
          <w:b w:val="true"/>
        </w:rPr>
        <w:t>5.11.1 本基金投资的前十名证券的发行主体本期受到监管部门立案调查或报告编制日前一年内受到公开谴责、处罚的情形说明</w:t>
      </w:r>
    </w:p>
    <w:p>
      <w:r>
        <w:rPr>
          <w:rFonts w:ascii="宋体" w:hAnsi="宋体" w:cs="宋体" w:eastAsia="宋体"/>
          <w:b w:val="false"/>
        </w:rPr>
        <w:t xml:space="preserve">    本基金投资的前十名证券的发行主体本期未出现被监管部门立案调查，或在报告编制日前一年内受到公开谴责、处罚的情形。</w:t>
      </w:r>
    </w:p>
    <w:p/>
    <w:p>
      <w:pPr>
        <w:pStyle w:val="zhangjiep2"/>
      </w:pPr>
      <w:r>
        <w:rPr>
          <w:rStyle w:val="正文"/>
          <w:rFonts w:ascii="宋体" w:hAnsi="宋体" w:cs="宋体" w:eastAsia="宋体"/>
          <w:b w:val="true"/>
        </w:rPr>
        <w:t>5.11.2 基金投资的前十名股票超出基金合同规定的备选股票库情况的说明</w:t>
      </w:r>
    </w:p>
    <w:p>
      <w:r>
        <w:rPr>
          <w:rFonts w:ascii="宋体" w:hAnsi="宋体" w:cs="宋体" w:eastAsia="宋体"/>
          <w:b w:val="false"/>
        </w:rPr>
        <w:t xml:space="preserve">    基金投资的前十名股票，均为基金合同规定备选股票库之内的股票。</w:t>
      </w:r>
    </w:p>
    <w:p/>
    <w:p>
      <w:pPr>
        <w:pStyle w:val="zhangjiep2"/>
      </w:pPr>
      <w:r>
        <w:rPr>
          <w:rStyle w:val="正文"/>
          <w:rFonts w:ascii="宋体" w:hAnsi="宋体" w:cs="宋体" w:eastAsia="宋体"/>
          <w:b w:val="true"/>
        </w:rPr>
        <w:t>5.11.3 其他资产构成</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2308"/>
            <w:vAlign w:val="center"/>
          </w:tcPr>
          <w:tcPr>
            <w:shd w:fill="d9d9d9"/>
          </w:tcPr>
          <w:p>
            <w:pPr>
              <w:spacing w:line="240" w:lineRule="auto"/>
              <w:jc w:val="center"/>
            </w:pPr>
            <w:r>
              <w:rPr>
                <w:rFonts w:ascii="宋体" w:hAnsi="宋体" w:cs="宋体" w:eastAsia="宋体"/>
                <w:b w:val="false"/>
              </w:rPr>
              <w:t>名称</w:t>
            </w:r>
          </w:p>
        </w:tc>
        <w:tc>
          <w:tcPr>
            <w:tcW w:type="pct" w:w="1538"/>
            <w:vAlign w:val="center"/>
          </w:tcPr>
          <w:tcPr>
            <w:shd w:fill="d9d9d9"/>
          </w:tcPr>
          <w:p>
            <w:pPr>
              <w:spacing w:line="240" w:lineRule="auto"/>
              <w:jc w:val="center"/>
            </w:pPr>
            <w:r>
              <w:rPr>
                <w:rFonts w:ascii="宋体" w:hAnsi="宋体" w:cs="宋体" w:eastAsia="宋体"/>
                <w:b w:val="false"/>
              </w:rPr>
              <w:t>金额(元)</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存出保证金</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应收证券清算款</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应收股利</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应收利息</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应收申购款</w:t>
            </w:r>
          </w:p>
        </w:tc>
        <w:tc>
          <w:tcPr>
            <w:tcW/>
            <w:vAlign w:val="center"/>
          </w:tcPr>
          <w:p>
            <w:pPr>
              <w:spacing w:line="240" w:lineRule="auto"/>
              <w:jc w:val="right"/>
            </w:pPr>
            <w:r>
              <w:rPr>
                <w:rFonts w:ascii="宋体" w:hAnsi="宋体" w:cs="宋体" w:eastAsia="宋体"/>
                <w:b w:val="false"/>
              </w:rPr>
              <w:t>435,693.36</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其他应收款</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435,693.36</w:t>
            </w:r>
          </w:p>
        </w:tc>
      </w:tr>
    </w:tbl>
    <w:p/>
    <w:p>
      <w:pPr>
        <w:pStyle w:val="zhangjiep2"/>
      </w:pPr>
      <w:r>
        <w:rPr>
          <w:rStyle w:val="正文"/>
          <w:rFonts w:ascii="宋体" w:hAnsi="宋体" w:cs="宋体" w:eastAsia="宋体"/>
          <w:b w:val="true"/>
        </w:rPr>
        <w:t>5.11.4 报告期末持有的处于转股期的可转换债券明细</w:t>
      </w:r>
    </w:p>
    <w:p>
      <w:r>
        <w:rPr>
          <w:rFonts w:ascii="宋体" w:hAnsi="宋体" w:cs="宋体" w:eastAsia="宋体"/>
          <w:b w:val="false"/>
        </w:rPr>
        <w:t xml:space="preserve">    本基金本报告期末未持有处于转股期的可转换债券。</w:t>
      </w:r>
    </w:p>
    <w:p/>
    <w:p>
      <w:pPr>
        <w:pStyle w:val="zhangjiep2"/>
      </w:pPr>
      <w:r>
        <w:rPr>
          <w:rStyle w:val="正文"/>
          <w:rFonts w:ascii="宋体" w:hAnsi="宋体" w:cs="宋体" w:eastAsia="宋体"/>
          <w:b w:val="true"/>
        </w:rPr>
        <w:t>5.11.5 报告期末前十名股票中存在流通受限情况的说明</w:t>
      </w:r>
    </w:p>
    <w:p>
      <w:r>
        <w:rPr>
          <w:rFonts w:ascii="宋体" w:hAnsi="宋体" w:cs="宋体" w:eastAsia="宋体"/>
          <w:b w:val="false"/>
        </w:rPr>
        <w:t xml:space="preserve">    本基金本报告期末前十名股票中不存在流通受限情况。</w:t>
      </w:r>
    </w:p>
    <w:p/>
    <w:p>
      <w:pPr>
        <w:pStyle w:val="zhangjiep2"/>
      </w:pPr>
      <w:r>
        <w:rPr>
          <w:rStyle w:val="正文"/>
          <w:rFonts w:ascii="宋体" w:hAnsi="宋体" w:cs="宋体" w:eastAsia="宋体"/>
          <w:b w:val="true"/>
        </w:rPr>
        <w:t>5.11.6 投资组合报告附注的其他文字描述部分</w:t>
      </w:r>
    </w:p>
    <w:p>
      <w:r>
        <w:rPr>
          <w:rFonts w:ascii="宋体" w:hAnsi="宋体" w:cs="宋体" w:eastAsia="宋体"/>
          <w:b w:val="false"/>
        </w:rPr>
        <w:t xml:space="preserve">    由于四舍五入原因，分项之和与合计项之间可能存在尾差。</w:t>
      </w:r>
    </w:p>
    <w:p>
      <w:pPr>
        <w:pStyle w:val="1"/>
        <w:jc w:val="center"/>
      </w:pPr>
      <w:r>
        <w:rPr>
          <w:rFonts w:ascii="宋体" w:hAnsi="宋体" w:cs="宋体" w:eastAsia="宋体"/>
        </w:rPr>
        <w:t>§6 开放式基金份额变动</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Layout w:type="fixed"/>
      </w:tblPr>
      <w:tblGrid>
        <w:gridCol w:w="2266"/>
        <w:gridCol w:w="2266"/>
        <w:gridCol w:w="2266"/>
        <w:gridCol w:w="2266"/>
      </w:tblGrid>
      <w:tr>
        <w:tc>
          <w:tcPr>
            <w:tcW w:type="pct" w:w="2308"/>
            <w:vAlign w:val="center"/>
          </w:tcPr>
          <w:p>
            <w:pPr>
              <w:spacing w:line="240" w:lineRule="auto"/>
              <w:jc w:val="center"/>
            </w:pPr>
          </w:p>
        </w:tc>
        <w:tc>
          <w:tcPr>
            <w:tcW w:type="pct" w:w="850"/>
            <w:vAlign w:val="center"/>
          </w:tcPr>
          <w:p>
            <w:pPr>
              <w:spacing w:line="240" w:lineRule="auto"/>
              <w:jc w:val="center"/>
            </w:pPr>
            <w:r>
              <w:rPr>
                <w:rFonts w:ascii="宋体" w:hAnsi="宋体" w:cs="宋体" w:eastAsia="宋体"/>
                <w:b w:val="false"/>
              </w:rPr>
              <w:t>东方阿尔法招阳混合A</w:t>
            </w:r>
          </w:p>
        </w:tc>
        <w:tc>
          <w:tcPr>
            <w:tcW w:type="pct" w:w="850"/>
            <w:vAlign w:val="center"/>
          </w:tcPr>
          <w:p>
            <w:pPr>
              <w:spacing w:line="240" w:lineRule="auto"/>
              <w:jc w:val="center"/>
            </w:pPr>
            <w:r>
              <w:rPr>
                <w:rFonts w:ascii="宋体" w:hAnsi="宋体" w:cs="宋体" w:eastAsia="宋体"/>
                <w:b w:val="false"/>
              </w:rPr>
              <w:t>东方阿尔法招阳混合C</w:t>
            </w:r>
          </w:p>
        </w:tc>
        <w:tc>
          <w:tcPr>
            <w:tcW w:type="pct" w:w="850"/>
            <w:vAlign w:val="center"/>
          </w:tcPr>
          <w:p>
            <w:pPr>
              <w:spacing w:line="240" w:lineRule="auto"/>
              <w:jc w:val="center"/>
            </w:pPr>
            <w:r>
              <w:rPr>
                <w:rFonts w:ascii="宋体" w:hAnsi="宋体" w:cs="宋体" w:eastAsia="宋体"/>
                <w:b w:val="false"/>
              </w:rPr>
              <w:t>东方阿尔法招阳混合E</w:t>
            </w:r>
          </w:p>
        </w:tc>
      </w:tr>
      <w:tr>
        <w:tc>
          <w:tcPr>
            <w:tcW/>
            <w:vAlign w:val="center"/>
          </w:tcPr>
          <w:p>
            <w:pPr>
              <w:spacing w:line="240" w:lineRule="auto"/>
              <w:jc w:val="left"/>
            </w:pPr>
            <w:r>
              <w:rPr>
                <w:rFonts w:ascii="宋体" w:hAnsi="宋体" w:cs="宋体" w:eastAsia="宋体"/>
                <w:b w:val="false"/>
              </w:rPr>
              <w:t>报告期期初基金份额总额</w:t>
            </w:r>
          </w:p>
        </w:tc>
        <w:tc>
          <w:tcPr>
            <w:tcW w:type="pct" w:w="850"/>
            <w:vAlign w:val="center"/>
          </w:tcPr>
          <w:p>
            <w:pPr>
              <w:spacing w:line="240" w:lineRule="auto"/>
              <w:jc w:val="right"/>
            </w:pPr>
            <w:r>
              <w:rPr>
                <w:rFonts w:ascii="宋体" w:hAnsi="宋体" w:cs="宋体" w:eastAsia="宋体"/>
                <w:b w:val="false"/>
              </w:rPr>
              <w:t>584,957,816.69</w:t>
            </w:r>
          </w:p>
        </w:tc>
        <w:tc>
          <w:tcPr>
            <w:tcW w:type="pct" w:w="850"/>
            <w:vAlign w:val="center"/>
          </w:tcPr>
          <w:p>
            <w:pPr>
              <w:spacing w:line="240" w:lineRule="auto"/>
              <w:jc w:val="right"/>
            </w:pPr>
            <w:r>
              <w:rPr>
                <w:rFonts w:ascii="宋体" w:hAnsi="宋体" w:cs="宋体" w:eastAsia="宋体"/>
                <w:b w:val="false"/>
              </w:rPr>
              <w:t>8,537,610.67</w:t>
            </w:r>
          </w:p>
        </w:tc>
        <w:tc>
          <w:tcPr>
            <w:tcW w:type="pct" w:w="850"/>
            <w:vAlign w:val="center"/>
          </w:tcPr>
          <w:p>
            <w:pPr>
              <w:spacing w:line="240" w:lineRule="auto"/>
              <w:jc w:val="right"/>
            </w:pPr>
            <w:r>
              <w:rPr>
                <w:rFonts w:ascii="宋体" w:hAnsi="宋体" w:cs="宋体" w:eastAsia="宋体"/>
                <w:b w:val="false"/>
              </w:rPr>
              <w:t>177,694,740.32</w:t>
            </w:r>
          </w:p>
        </w:tc>
      </w:tr>
      <w:tr>
        <w:tc>
          <w:tcPr>
            <w:tcW/>
            <w:vAlign w:val="center"/>
          </w:tcPr>
          <w:p>
            <w:pPr>
              <w:spacing w:line="240" w:lineRule="auto"/>
              <w:jc w:val="left"/>
            </w:pPr>
            <w:r>
              <w:rPr>
                <w:rFonts w:ascii="宋体" w:hAnsi="宋体" w:cs="宋体" w:eastAsia="宋体"/>
                <w:b w:val="false"/>
              </w:rPr>
              <w:t>报告期期间基金总申购份额</w:t>
            </w:r>
          </w:p>
        </w:tc>
        <w:tc>
          <w:tcPr>
            <w:tcW w:type="pct" w:w="850"/>
            <w:vAlign w:val="center"/>
          </w:tcPr>
          <w:p>
            <w:pPr>
              <w:spacing w:line="240" w:lineRule="auto"/>
              <w:jc w:val="right"/>
            </w:pPr>
            <w:r>
              <w:rPr>
                <w:rFonts w:ascii="宋体" w:hAnsi="宋体" w:cs="宋体" w:eastAsia="宋体"/>
                <w:b w:val="false"/>
              </w:rPr>
              <w:t>21,041,685.13</w:t>
            </w:r>
          </w:p>
        </w:tc>
        <w:tc>
          <w:tcPr>
            <w:tcW w:type="pct" w:w="850"/>
            <w:vAlign w:val="center"/>
          </w:tcPr>
          <w:p>
            <w:pPr>
              <w:spacing w:line="240" w:lineRule="auto"/>
              <w:jc w:val="right"/>
            </w:pPr>
            <w:r>
              <w:rPr>
                <w:rFonts w:ascii="宋体" w:hAnsi="宋体" w:cs="宋体" w:eastAsia="宋体"/>
                <w:b w:val="false"/>
              </w:rPr>
              <w:t>1,565,530.92</w:t>
            </w:r>
          </w:p>
        </w:tc>
        <w:tc>
          <w:tcPr>
            <w:tcW w:type="pct" w:w="850"/>
            <w:vAlign w:val="center"/>
          </w:tcPr>
          <w:p>
            <w:pPr>
              <w:spacing w:line="240" w:lineRule="auto"/>
              <w:jc w:val="right"/>
            </w:pPr>
            <w:r>
              <w:rPr>
                <w:rFonts w:ascii="宋体" w:hAnsi="宋体" w:cs="宋体" w:eastAsia="宋体"/>
                <w:b w:val="false"/>
              </w:rPr>
              <w:t>315,959,885.72</w:t>
            </w:r>
          </w:p>
        </w:tc>
      </w:tr>
      <w:tr>
        <w:tc>
          <w:tcPr>
            <w:tcW/>
            <w:vAlign w:val="center"/>
          </w:tcPr>
          <w:p>
            <w:pPr>
              <w:spacing w:line="240" w:lineRule="auto"/>
              <w:jc w:val="left"/>
            </w:pPr>
            <w:r>
              <w:rPr>
                <w:rFonts w:ascii="宋体" w:hAnsi="宋体" w:cs="宋体" w:eastAsia="宋体"/>
                <w:b w:val="false"/>
              </w:rPr>
              <w:t>减：报告期期间基金总赎回份额</w:t>
            </w:r>
          </w:p>
        </w:tc>
        <w:tc>
          <w:tcPr>
            <w:tcW w:type="pct" w:w="850"/>
            <w:vAlign w:val="center"/>
          </w:tcPr>
          <w:p>
            <w:pPr>
              <w:spacing w:line="240" w:lineRule="auto"/>
              <w:jc w:val="right"/>
            </w:pPr>
            <w:r>
              <w:rPr>
                <w:rFonts w:ascii="宋体" w:hAnsi="宋体" w:cs="宋体" w:eastAsia="宋体"/>
                <w:b w:val="false"/>
              </w:rPr>
              <w:t>28,015,417.35</w:t>
            </w:r>
          </w:p>
        </w:tc>
        <w:tc>
          <w:tcPr>
            <w:tcW w:type="pct" w:w="850"/>
            <w:vAlign w:val="center"/>
          </w:tcPr>
          <w:p>
            <w:pPr>
              <w:spacing w:line="240" w:lineRule="auto"/>
              <w:jc w:val="right"/>
            </w:pPr>
            <w:r>
              <w:rPr>
                <w:rFonts w:ascii="宋体" w:hAnsi="宋体" w:cs="宋体" w:eastAsia="宋体"/>
                <w:b w:val="false"/>
              </w:rPr>
              <w:t>1,904,987.35</w:t>
            </w:r>
          </w:p>
        </w:tc>
        <w:tc>
          <w:tcPr>
            <w:tcW w:type="pct" w:w="850"/>
            <w:vAlign w:val="center"/>
          </w:tcPr>
          <w:p>
            <w:pPr>
              <w:spacing w:line="240" w:lineRule="auto"/>
              <w:jc w:val="right"/>
            </w:pPr>
            <w:r>
              <w:rPr>
                <w:rFonts w:ascii="宋体" w:hAnsi="宋体" w:cs="宋体" w:eastAsia="宋体"/>
                <w:b w:val="false"/>
              </w:rPr>
              <w:t>431,524,238.82</w:t>
            </w:r>
          </w:p>
        </w:tc>
      </w:tr>
      <w:tr>
        <w:tc>
          <w:tcPr>
            <w:tcW/>
            <w:vAlign w:val="center"/>
          </w:tcPr>
          <w:p>
            <w:pPr>
              <w:spacing w:line="240" w:lineRule="auto"/>
              <w:jc w:val="left"/>
            </w:pPr>
            <w:r>
              <w:rPr>
                <w:rFonts w:ascii="宋体" w:hAnsi="宋体" w:cs="宋体" w:eastAsia="宋体"/>
                <w:b w:val="false"/>
              </w:rPr>
              <w:t>报告期期间基金拆分变动份额（份额减少以“-”填列）</w:t>
            </w:r>
          </w:p>
        </w:tc>
        <w:tc>
          <w:tcPr>
            <w:tcW w:type="pct" w:w="850"/>
            <w:vAlign w:val="center"/>
          </w:tcPr>
          <w:p>
            <w:pPr>
              <w:spacing w:line="240" w:lineRule="auto"/>
              <w:jc w:val="right"/>
            </w:pPr>
            <w:r>
              <w:rPr>
                <w:rFonts w:ascii="宋体" w:hAnsi="宋体" w:cs="宋体" w:eastAsia="宋体"/>
                <w:b w:val="false"/>
              </w:rPr>
              <w:t>-</w:t>
            </w:r>
          </w:p>
        </w:tc>
        <w:tc>
          <w:tcPr>
            <w:tcW w:type="pct" w:w="850"/>
            <w:vAlign w:val="center"/>
          </w:tcPr>
          <w:p>
            <w:pPr>
              <w:spacing w:line="240" w:lineRule="auto"/>
              <w:jc w:val="right"/>
            </w:pPr>
            <w:r>
              <w:rPr>
                <w:rFonts w:ascii="宋体" w:hAnsi="宋体" w:cs="宋体" w:eastAsia="宋体"/>
                <w:b w:val="false"/>
              </w:rPr>
              <w:t>-</w:t>
            </w:r>
          </w:p>
        </w:tc>
        <w:tc>
          <w:tcPr>
            <w:tcW w:type="pct" w:w="85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报告期期末基金份额总额</w:t>
            </w:r>
          </w:p>
        </w:tc>
        <w:tc>
          <w:tcPr>
            <w:tcW w:type="pct" w:w="850"/>
            <w:vAlign w:val="center"/>
          </w:tcPr>
          <w:p>
            <w:pPr>
              <w:spacing w:line="240" w:lineRule="auto"/>
              <w:jc w:val="right"/>
            </w:pPr>
            <w:r>
              <w:rPr>
                <w:rFonts w:ascii="宋体" w:hAnsi="宋体" w:cs="宋体" w:eastAsia="宋体"/>
                <w:b w:val="false"/>
              </w:rPr>
              <w:t>577,984,084.47</w:t>
            </w:r>
          </w:p>
        </w:tc>
        <w:tc>
          <w:tcPr>
            <w:tcW w:type="pct" w:w="850"/>
            <w:vAlign w:val="center"/>
          </w:tcPr>
          <w:p>
            <w:pPr>
              <w:spacing w:line="240" w:lineRule="auto"/>
              <w:jc w:val="right"/>
            </w:pPr>
            <w:r>
              <w:rPr>
                <w:rFonts w:ascii="宋体" w:hAnsi="宋体" w:cs="宋体" w:eastAsia="宋体"/>
                <w:b w:val="false"/>
              </w:rPr>
              <w:t>8,198,154.24</w:t>
            </w:r>
          </w:p>
        </w:tc>
        <w:tc>
          <w:tcPr>
            <w:tcW w:type="pct" w:w="850"/>
            <w:vAlign w:val="center"/>
          </w:tcPr>
          <w:p>
            <w:pPr>
              <w:spacing w:line="240" w:lineRule="auto"/>
              <w:jc w:val="right"/>
            </w:pPr>
            <w:r>
              <w:rPr>
                <w:rFonts w:ascii="宋体" w:hAnsi="宋体" w:cs="宋体" w:eastAsia="宋体"/>
                <w:b w:val="false"/>
              </w:rPr>
              <w:t>62,130,387.22</w:t>
            </w:r>
          </w:p>
        </w:tc>
      </w:tr>
    </w:tbl>
    <w:p>
      <w:pPr>
        <w:pStyle w:val="1"/>
        <w:jc w:val="center"/>
      </w:pPr>
      <w:r>
        <w:rPr>
          <w:rFonts w:ascii="宋体" w:hAnsi="宋体" w:cs="宋体" w:eastAsia="宋体"/>
        </w:rPr>
        <w:t>§7 基金管理人运用固有资金投资本基金情况</w:t>
      </w:r>
    </w:p>
    <w:p>
      <w:pPr>
        <w:pStyle w:val="2"/>
        <w:jc w:val="left"/>
      </w:pPr>
      <w:r>
        <w:rPr>
          <w:rFonts w:ascii="宋体" w:hAnsi="宋体" w:cs="宋体" w:eastAsia="宋体"/>
        </w:rPr>
        <w:t>7.1 基金管理人持有本基金份额变动情况</w:t>
      </w:r>
    </w:p>
    <w:p>
      <w:r>
        <w:rPr>
          <w:rFonts w:ascii="宋体" w:hAnsi="宋体" w:cs="宋体" w:eastAsia="宋体"/>
          <w:b w:val="false"/>
        </w:rPr>
        <w:t xml:space="preserve">    截至本报告期末，本基金管理人未持有本基金份额。</w:t>
      </w:r>
    </w:p>
    <w:p/>
    <w:p>
      <w:pPr>
        <w:pStyle w:val="2"/>
        <w:jc w:val="left"/>
      </w:pPr>
      <w:r>
        <w:rPr>
          <w:rFonts w:ascii="宋体" w:hAnsi="宋体" w:cs="宋体" w:eastAsia="宋体"/>
        </w:rPr>
        <w:t>7.2 基金管理人运用固有资金投资本基金交易明细</w:t>
      </w:r>
    </w:p>
    <w:p>
      <w:r>
        <w:rPr>
          <w:rFonts w:ascii="宋体" w:hAnsi="宋体" w:cs="宋体" w:eastAsia="宋体"/>
          <w:b w:val="false"/>
        </w:rPr>
        <w:t xml:space="preserve">    本报告期内，本基金管理人未运用固有资金投资本基金。</w:t>
      </w:r>
    </w:p>
    <w:p>
      <w:pPr>
        <w:pStyle w:val="1"/>
        <w:jc w:val="center"/>
      </w:pPr>
      <w:r>
        <w:rPr>
          <w:rFonts w:ascii="宋体" w:hAnsi="宋体" w:cs="宋体" w:eastAsia="宋体"/>
        </w:rPr>
        <w:t>§8 影响投资者决策的其他重要信息</w:t>
      </w:r>
    </w:p>
    <w:p>
      <w:pPr>
        <w:pStyle w:val="2"/>
        <w:jc w:val="left"/>
      </w:pPr>
      <w:r>
        <w:rPr>
          <w:rFonts w:ascii="宋体" w:hAnsi="宋体" w:cs="宋体" w:eastAsia="宋体"/>
        </w:rPr>
        <w:t>8.1 报告期内单一投资者持有基金份额比例达到或超过20%的情况</w:t>
      </w:r>
    </w:p>
    <w:tbl>
      <w:tblPr>
        <w:tblW w:w="5000" w:type="pct"/>
        <w:tblBorders>
          <w:top w:val="single" w:sz="4"/>
          <w:left w:val="single" w:sz="4"/>
          <w:bottom w:val="single" w:sz="4"/>
          <w:right w:val="single" w:sz="4"/>
          <w:insideH w:val="single" w:sz="4"/>
          <w:insideV w:val="single" w:sz="4"/>
        </w:tblBorders>
      </w:tblPr>
      <w:tblGrid>
        <w:gridCol w:w="1133"/>
        <w:gridCol w:w="1133"/>
        <w:gridCol w:w="1133"/>
        <w:gridCol w:w="1133"/>
        <w:gridCol w:w="1133"/>
        <w:gridCol w:w="1133"/>
        <w:gridCol w:w="1133"/>
        <w:gridCol w:w="1133"/>
      </w:tblGrid>
      <w:tr>
        <w:tc>
          <w:tcPr>
            <w:tcW w:type="pct" w:w="269"/>
            <w:vMerge w:val="restart"/>
            <w:vAlign w:val="center"/>
          </w:tcPr>
          <w:tcPr>
            <w:shd w:fill="d9d9d9"/>
          </w:tcPr>
          <w:p>
            <w:pPr>
              <w:spacing w:line="240" w:lineRule="auto"/>
              <w:jc w:val="center"/>
            </w:pPr>
            <w:r>
              <w:rPr>
                <w:rFonts w:ascii="宋体" w:hAnsi="宋体" w:cs="宋体" w:eastAsia="宋体"/>
                <w:b w:val="false"/>
              </w:rPr>
              <w:t>投资者类别</w:t>
            </w:r>
          </w:p>
        </w:tc>
        <w:tc>
          <w:tcPr>
            <w:tcW w:type="pct" w:w="3192"/>
            <w:hMerge w:val="restart"/>
            <w:vAlign w:val="center"/>
          </w:tcPr>
          <w:tcPr>
            <w:shd w:fill="d9d9d9"/>
          </w:tcPr>
          <w:p>
            <w:pPr>
              <w:spacing w:line="240" w:lineRule="auto"/>
              <w:jc w:val="center"/>
            </w:pPr>
            <w:r>
              <w:rPr>
                <w:rFonts w:ascii="宋体" w:hAnsi="宋体" w:cs="宋体" w:eastAsia="宋体"/>
                <w:b w:val="false"/>
              </w:rPr>
              <w:t>报告期内持有基金份额变化情况</w:t>
            </w:r>
          </w:p>
        </w:tc>
        <w:tc>
          <w:tcPr>
            <w:hMerge w:val="continue"/>
          </w:tcPr>
          <w:p/>
        </w:tc>
        <w:tc>
          <w:tcPr>
            <w:hMerge w:val="continue"/>
          </w:tcPr>
          <w:p/>
        </w:tc>
        <w:tc>
          <w:tcPr>
            <w:hMerge w:val="continue"/>
          </w:tcPr>
          <w:p/>
        </w:tc>
        <w:tc>
          <w:tcPr>
            <w:hMerge w:val="continue"/>
          </w:tcPr>
          <w:p/>
        </w:tc>
        <w:tc>
          <w:tcPr>
            <w:tcW w:type="pct" w:w="1154"/>
            <w:hMerge w:val="restart"/>
            <w:vAlign w:val="center"/>
          </w:tcPr>
          <w:tcPr>
            <w:shd w:fill="d9d9d9"/>
          </w:tcPr>
          <w:p>
            <w:pPr>
              <w:spacing w:line="240" w:lineRule="auto"/>
              <w:jc w:val="center"/>
            </w:pPr>
            <w:r>
              <w:rPr>
                <w:rFonts w:ascii="宋体" w:hAnsi="宋体" w:cs="宋体" w:eastAsia="宋体"/>
                <w:b w:val="false"/>
              </w:rPr>
              <w:t>报告期末持有基金情况</w:t>
            </w:r>
          </w:p>
        </w:tc>
        <w:tc>
          <w:tcPr>
            <w:hMerge w:val="continue"/>
          </w:tcPr>
          <w:p/>
        </w:tc>
      </w:tr>
      <w:tr>
        <w:tc>
          <w:tcPr>
            <w:vMerge w:val="continue"/>
          </w:tcPr>
          <w:p/>
        </w:tc>
        <w:tc>
          <w:tcPr>
            <w:tcW w:type="pct" w:w="269"/>
            <w:vAlign w:val="center"/>
          </w:tcPr>
          <w:tcPr>
            <w:shd w:fill="d9d9d9"/>
          </w:tcPr>
          <w:p>
            <w:pPr>
              <w:spacing w:line="240" w:lineRule="auto"/>
              <w:jc w:val="center"/>
            </w:pPr>
            <w:r>
              <w:rPr>
                <w:rFonts w:ascii="宋体" w:hAnsi="宋体" w:cs="宋体" w:eastAsia="宋体"/>
                <w:b w:val="false"/>
              </w:rPr>
              <w:t>序号</w:t>
            </w:r>
          </w:p>
        </w:tc>
        <w:tc>
          <w:tcPr>
            <w:tcW w:type="pct" w:w="1346"/>
            <w:vAlign w:val="center"/>
          </w:tcPr>
          <w:tcPr>
            <w:shd w:fill="d9d9d9"/>
          </w:tcPr>
          <w:p>
            <w:pPr>
              <w:spacing w:line="240" w:lineRule="auto"/>
              <w:jc w:val="center"/>
            </w:pPr>
            <w:r>
              <w:rPr>
                <w:rFonts w:ascii="宋体" w:hAnsi="宋体" w:cs="宋体" w:eastAsia="宋体"/>
                <w:b w:val="false"/>
              </w:rPr>
              <w:t>持有基金份额比例达到或者超过20%的时间区间</w:t>
            </w:r>
          </w:p>
        </w:tc>
        <w:tc>
          <w:tcPr>
            <w:tcW w:type="pct" w:w="615"/>
            <w:vAlign w:val="center"/>
          </w:tcPr>
          <w:tcPr>
            <w:shd w:fill="d9d9d9"/>
          </w:tcPr>
          <w:p>
            <w:pPr>
              <w:spacing w:line="240" w:lineRule="auto"/>
              <w:jc w:val="center"/>
            </w:pPr>
            <w:r>
              <w:rPr>
                <w:rFonts w:ascii="宋体" w:hAnsi="宋体" w:cs="宋体" w:eastAsia="宋体"/>
                <w:b w:val="false"/>
              </w:rPr>
              <w:t>期初份额</w:t>
            </w:r>
          </w:p>
        </w:tc>
        <w:tc>
          <w:tcPr>
            <w:tcW w:type="pct" w:w="615"/>
            <w:vAlign w:val="center"/>
          </w:tcPr>
          <w:tcPr>
            <w:shd w:fill="d9d9d9"/>
          </w:tcPr>
          <w:p>
            <w:pPr>
              <w:spacing w:line="240" w:lineRule="auto"/>
              <w:jc w:val="center"/>
            </w:pPr>
            <w:r>
              <w:rPr>
                <w:rFonts w:ascii="宋体" w:hAnsi="宋体" w:cs="宋体" w:eastAsia="宋体"/>
                <w:b w:val="false"/>
              </w:rPr>
              <w:t>申购份额</w:t>
            </w:r>
          </w:p>
        </w:tc>
        <w:tc>
          <w:tcPr>
            <w:tcW w:type="pct" w:w="615"/>
            <w:vAlign w:val="center"/>
          </w:tcPr>
          <w:tcPr>
            <w:shd w:fill="d9d9d9"/>
          </w:tcPr>
          <w:p>
            <w:pPr>
              <w:spacing w:line="240" w:lineRule="auto"/>
              <w:jc w:val="center"/>
            </w:pPr>
            <w:r>
              <w:rPr>
                <w:rFonts w:ascii="宋体" w:hAnsi="宋体" w:cs="宋体" w:eastAsia="宋体"/>
                <w:b w:val="false"/>
              </w:rPr>
              <w:t>赎回份额</w:t>
            </w:r>
          </w:p>
        </w:tc>
        <w:tc>
          <w:tcPr>
            <w:tcW w:type="pct" w:w="615"/>
            <w:vAlign w:val="center"/>
          </w:tcPr>
          <w:tcPr>
            <w:shd w:fill="d9d9d9"/>
          </w:tcPr>
          <w:p>
            <w:pPr>
              <w:spacing w:line="240" w:lineRule="auto"/>
              <w:jc w:val="center"/>
            </w:pPr>
            <w:r>
              <w:rPr>
                <w:rFonts w:ascii="宋体" w:hAnsi="宋体" w:cs="宋体" w:eastAsia="宋体"/>
                <w:b w:val="false"/>
              </w:rPr>
              <w:t>持有份额</w:t>
            </w:r>
          </w:p>
        </w:tc>
        <w:tc>
          <w:tcPr>
            <w:tcW w:type="pct" w:w="538"/>
            <w:vAlign w:val="center"/>
          </w:tcPr>
          <w:tcPr>
            <w:shd w:fill="d9d9d9"/>
          </w:tcPr>
          <w:p>
            <w:pPr>
              <w:spacing w:line="240" w:lineRule="auto"/>
              <w:jc w:val="center"/>
            </w:pPr>
            <w:r>
              <w:rPr>
                <w:rFonts w:ascii="宋体" w:hAnsi="宋体" w:cs="宋体" w:eastAsia="宋体"/>
                <w:b w:val="false"/>
              </w:rPr>
              <w:t>份额占比</w:t>
            </w:r>
          </w:p>
        </w:tc>
      </w:tr>
      <w:tr>
        <w:tc>
          <w:tcPr>
            <w:tcW/>
            <w:vMerge w:val="restart"/>
            <w:vAlign w:val="center"/>
          </w:tcPr>
          <w:p>
            <w:pPr>
              <w:spacing w:line="240" w:lineRule="auto"/>
              <w:jc w:val="center"/>
            </w:pPr>
            <w:r>
              <w:rPr>
                <w:rFonts w:ascii="宋体" w:hAnsi="宋体" w:cs="宋体" w:eastAsia="宋体"/>
                <w:b w:val="false"/>
              </w:rPr>
              <w:t>个人</w:t>
            </w:r>
          </w:p>
        </w:tc>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center"/>
            </w:pPr>
            <w:r>
              <w:rPr>
                <w:rFonts w:ascii="宋体" w:hAnsi="宋体" w:cs="宋体" w:eastAsia="宋体"/>
                <w:b w:val="false"/>
              </w:rPr>
              <w:t>2025年10月01日-2025年12月31日</w:t>
            </w:r>
          </w:p>
        </w:tc>
        <w:tc>
          <w:tcPr>
            <w:tcW/>
            <w:vAlign w:val="center"/>
          </w:tcPr>
          <w:p>
            <w:pPr>
              <w:spacing w:line="240" w:lineRule="auto"/>
              <w:jc w:val="right"/>
            </w:pPr>
            <w:r>
              <w:rPr>
                <w:rFonts w:ascii="宋体" w:hAnsi="宋体" w:cs="宋体" w:eastAsia="宋体"/>
                <w:b w:val="false"/>
              </w:rPr>
              <w:t>200,020,500.00</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200,020,500.00</w:t>
            </w:r>
          </w:p>
        </w:tc>
        <w:tc>
          <w:tcPr>
            <w:tcW/>
            <w:vAlign w:val="center"/>
          </w:tcPr>
          <w:p>
            <w:pPr>
              <w:spacing w:line="240" w:lineRule="auto"/>
              <w:jc w:val="right"/>
            </w:pPr>
            <w:r>
              <w:rPr>
                <w:rFonts w:ascii="宋体" w:hAnsi="宋体" w:cs="宋体" w:eastAsia="宋体"/>
                <w:b w:val="false"/>
              </w:rPr>
              <w:t>30.85%</w:t>
            </w:r>
          </w:p>
        </w:tc>
      </w:tr>
      <w:tr>
        <w:tc>
          <w:tcPr>
            <w:vMerge w:val="continue"/>
          </w:tcPr>
          <w:p/>
        </w:tc>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center"/>
            </w:pPr>
            <w:r>
              <w:rPr>
                <w:rFonts w:ascii="宋体" w:hAnsi="宋体" w:cs="宋体" w:eastAsia="宋体"/>
                <w:b w:val="false"/>
              </w:rPr>
              <w:t>2025年10月01日-2025年12月31日</w:t>
            </w:r>
          </w:p>
        </w:tc>
        <w:tc>
          <w:tcPr>
            <w:tcW/>
            <w:vAlign w:val="center"/>
          </w:tcPr>
          <w:p>
            <w:pPr>
              <w:spacing w:line="240" w:lineRule="auto"/>
              <w:jc w:val="right"/>
            </w:pPr>
            <w:r>
              <w:rPr>
                <w:rFonts w:ascii="宋体" w:hAnsi="宋体" w:cs="宋体" w:eastAsia="宋体"/>
                <w:b w:val="false"/>
              </w:rPr>
              <w:t>200,038,500.00</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200,038,500.00</w:t>
            </w:r>
          </w:p>
        </w:tc>
        <w:tc>
          <w:tcPr>
            <w:tcW/>
            <w:vAlign w:val="center"/>
          </w:tcPr>
          <w:p>
            <w:pPr>
              <w:spacing w:line="240" w:lineRule="auto"/>
              <w:jc w:val="right"/>
            </w:pPr>
            <w:r>
              <w:rPr>
                <w:rFonts w:ascii="宋体" w:hAnsi="宋体" w:cs="宋体" w:eastAsia="宋体"/>
                <w:b w:val="false"/>
              </w:rPr>
              <w:t>30.86%</w:t>
            </w:r>
          </w:p>
        </w:tc>
      </w:tr>
      <w:tr>
        <w:tc>
          <w:tcPr>
            <w:tcW/>
            <w:hMerge w:val="restart"/>
            <w:vAlign w:val="center"/>
          </w:tcPr>
          <w:p>
            <w:pPr>
              <w:spacing w:line="240" w:lineRule="auto"/>
              <w:jc w:val="center"/>
            </w:pPr>
            <w:r>
              <w:rPr>
                <w:rFonts w:ascii="宋体" w:hAnsi="宋体" w:cs="宋体" w:eastAsia="宋体"/>
                <w:b w:val="false"/>
              </w:rPr>
              <w:t>产品特有风险</w:t>
            </w: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r>
      <w:tr>
        <w:tc>
          <w:tcPr>
            <w:tcW/>
            <w:hMerge w:val="restart"/>
            <w:vAlign w:val="center"/>
          </w:tcPr>
          <w:p>
            <w:pPr>
              <w:spacing w:line="240" w:lineRule="auto"/>
              <w:jc w:val="left"/>
            </w:pPr>
            <w:r>
              <w:rPr>
                <w:rFonts w:ascii="宋体" w:hAnsi="宋体" w:cs="宋体" w:eastAsia="宋体"/>
                <w:b w:val="false"/>
              </w:rPr>
              <w:t xml:space="preserve">    基金管理人秉承谨慎勤勉、独立决策、规范运作、充分披露原则，公平对待投资者，保障投资者合法权益。当单一投资者持有基金份额比例达到或超过20%时，由此可能导致的特有风险主要包括：</w:t>
              <w:br/>
            </w:r>
            <w:r>
              <w:rPr>
                <w:rFonts w:ascii="宋体" w:hAnsi="宋体" w:cs="宋体" w:eastAsia="宋体"/>
                <w:b w:val="false"/>
              </w:rPr>
              <w:t xml:space="preserve">    1、本基金单一投资者所持有的基金份额占比较大，单一投资者的巨额赎回，可能导致基金管理人被迫抛售证券以应付基金赎回的现金需要，对本基金的投资运作及净值表现产生较大影响。</w:t>
              <w:br/>
            </w:r>
            <w:r>
              <w:rPr>
                <w:rFonts w:ascii="宋体" w:hAnsi="宋体" w:cs="宋体" w:eastAsia="宋体"/>
                <w:b w:val="false"/>
              </w:rPr>
              <w:t xml:space="preserve">    2、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2个开放日以上（含）发生巨额赎回，基金管理人可能根据《基金合同》的约定暂停接受基金的赎回申请，对剩余投资者的赎回办理造成影响。</w:t>
              <w:br/>
            </w:r>
            <w:r>
              <w:rPr>
                <w:rFonts w:ascii="宋体" w:hAnsi="宋体" w:cs="宋体" w:eastAsia="宋体"/>
                <w:b w:val="false"/>
              </w:rPr>
              <w:t xml:space="preserve">    3、单一投资者巨额赎回可能导致本基金在短时间内无法变现足够的资产予以应对，可能会导致基金仓位调整困难，发生流动性风险。</w:t>
              <w:br/>
            </w:r>
            <w:r>
              <w:rPr>
                <w:rFonts w:ascii="宋体" w:hAnsi="宋体" w:cs="宋体" w:eastAsia="宋体"/>
                <w:b w:val="false"/>
              </w:rPr>
              <w:t xml:space="preserve">    4、持有基金份额占比较高的投资者在召开基金份额持有人大会并对重大事项进行投票表决时，可能拥有较大话语权。</w:t>
              <w:br/>
            </w:r>
            <w:r>
              <w:rPr>
                <w:rFonts w:ascii="宋体" w:hAnsi="宋体" w:cs="宋体" w:eastAsia="宋体"/>
                <w:b w:val="false"/>
              </w:rPr>
              <w:t xml:space="preserve">    5、超出基金管理人允许的单一投资者持有基金份额比例的申购申请不被确认的风险。</w:t>
            </w: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r>
    </w:tbl>
    <w:p/>
    <w:p>
      <w:pPr>
        <w:pStyle w:val="2"/>
        <w:jc w:val="left"/>
      </w:pPr>
      <w:r>
        <w:rPr>
          <w:rFonts w:ascii="宋体" w:hAnsi="宋体" w:cs="宋体" w:eastAsia="宋体"/>
        </w:rPr>
        <w:t>8.2 影响投资者决策的其他重要信息</w:t>
      </w:r>
    </w:p>
    <w:p>
      <w:r>
        <w:rPr>
          <w:rFonts w:ascii="宋体" w:hAnsi="宋体" w:cs="宋体" w:eastAsia="宋体"/>
          <w:b w:val="false"/>
        </w:rPr>
        <w:t xml:space="preserve">    无。</w:t>
      </w:r>
    </w:p>
    <w:p>
      <w:pPr>
        <w:pStyle w:val="1"/>
        <w:jc w:val="center"/>
      </w:pPr>
      <w:r>
        <w:rPr>
          <w:rFonts w:ascii="宋体" w:hAnsi="宋体" w:cs="宋体" w:eastAsia="宋体"/>
        </w:rPr>
        <w:t>§9 备查文件目录</w:t>
      </w:r>
    </w:p>
    <w:p>
      <w:pPr>
        <w:pStyle w:val="2"/>
        <w:jc w:val="left"/>
      </w:pPr>
      <w:r>
        <w:rPr>
          <w:rFonts w:ascii="宋体" w:hAnsi="宋体" w:cs="宋体" w:eastAsia="宋体"/>
        </w:rPr>
        <w:t>9.1 备查文件目录</w:t>
      </w:r>
    </w:p>
    <w:p>
      <w:r>
        <w:rPr>
          <w:rFonts w:ascii="宋体" w:hAnsi="宋体" w:cs="宋体" w:eastAsia="宋体"/>
          <w:b w:val="false"/>
        </w:rPr>
        <w:t xml:space="preserve">    1、中国证券监督管理委员会批准的东方阿尔法招阳混合型证券投资基金设立的文件；</w:t>
        <w:cr/>
      </w:r>
      <w:r>
        <w:rPr>
          <w:rFonts w:ascii="宋体" w:hAnsi="宋体" w:cs="宋体" w:eastAsia="宋体"/>
          <w:b w:val="false"/>
        </w:rPr>
        <w:t xml:space="preserve">    2、《东方阿尔法招阳混合型证券投资基金基金合同》；</w:t>
        <w:cr/>
      </w:r>
      <w:r>
        <w:rPr>
          <w:rFonts w:ascii="宋体" w:hAnsi="宋体" w:cs="宋体" w:eastAsia="宋体"/>
          <w:b w:val="false"/>
        </w:rPr>
        <w:t xml:space="preserve">    3、《东方阿尔法招阳混合型证券投资基金托管协议》；</w:t>
        <w:cr/>
      </w:r>
      <w:r>
        <w:rPr>
          <w:rFonts w:ascii="宋体" w:hAnsi="宋体" w:cs="宋体" w:eastAsia="宋体"/>
          <w:b w:val="false"/>
        </w:rPr>
        <w:t xml:space="preserve">    4、《东方阿尔法招阳混合型证券投资基金招募说明书》（含更新）；</w:t>
        <w:cr/>
      </w:r>
      <w:r>
        <w:rPr>
          <w:rFonts w:ascii="宋体" w:hAnsi="宋体" w:cs="宋体" w:eastAsia="宋体"/>
          <w:b w:val="false"/>
        </w:rPr>
        <w:t xml:space="preserve">    5、基金管理人业务资格批件和营业执照。</w:t>
      </w:r>
    </w:p>
    <w:p/>
    <w:p>
      <w:pPr>
        <w:pStyle w:val="2"/>
        <w:jc w:val="left"/>
      </w:pPr>
      <w:r>
        <w:rPr>
          <w:rFonts w:ascii="宋体" w:hAnsi="宋体" w:cs="宋体" w:eastAsia="宋体"/>
        </w:rPr>
        <w:t>9.2 存放地点</w:t>
      </w:r>
    </w:p>
    <w:p>
      <w:r>
        <w:rPr>
          <w:rFonts w:ascii="宋体" w:hAnsi="宋体" w:cs="宋体" w:eastAsia="宋体"/>
          <w:b w:val="false"/>
        </w:rPr>
        <w:t xml:space="preserve">    基金管理人和基金托管人的住所。</w:t>
      </w:r>
    </w:p>
    <w:p/>
    <w:p>
      <w:pPr>
        <w:pStyle w:val="2"/>
        <w:jc w:val="left"/>
      </w:pPr>
      <w:r>
        <w:rPr>
          <w:rFonts w:ascii="宋体" w:hAnsi="宋体" w:cs="宋体" w:eastAsia="宋体"/>
        </w:rPr>
        <w:t>9.3 查阅方式</w:t>
      </w:r>
    </w:p>
    <w:p>
      <w:r>
        <w:rPr>
          <w:rFonts w:ascii="宋体" w:hAnsi="宋体" w:cs="宋体" w:eastAsia="宋体"/>
          <w:b w:val="false"/>
        </w:rPr>
        <w:t xml:space="preserve">    1、投资者可在营业时间免费查阅，也可按工本费购买复印件。</w:t>
        <w:cr/>
      </w:r>
      <w:r>
        <w:rPr>
          <w:rFonts w:ascii="宋体" w:hAnsi="宋体" w:cs="宋体" w:eastAsia="宋体"/>
          <w:b w:val="false"/>
        </w:rPr>
        <w:t xml:space="preserve">    2、投资者对本报告书如有疑问，可咨询本基金管理人东方阿尔法基金管理有限公司，客户服务电话：400-930-6677（免长途话费）。</w:t>
        <w:cr/>
      </w:r>
      <w:r>
        <w:rPr>
          <w:rFonts w:ascii="宋体" w:hAnsi="宋体" w:cs="宋体" w:eastAsia="宋体"/>
          <w:b w:val="false"/>
        </w:rPr>
        <w:t xml:space="preserve">    3、投资者可通过中国证监会基金电子披露网站（http://eid.csrc.gov.cn/fund/）和基金管理人网站（https://www.dfa66.com）查阅本报告书。</w:t>
      </w:r>
    </w:p>
    <w:p/>
    <w:p/>
    <w:p/>
    <w:p>
      <w:pPr>
        <w:jc w:val="right"/>
      </w:pPr>
      <w:r>
        <w:rPr>
          <w:rFonts w:ascii="宋体" w:hAnsi="宋体" w:cs="宋体" w:eastAsia="宋体"/>
          <w:b w:val="true"/>
        </w:rPr>
        <w:t>东方阿尔法基金管理有限公司</w:t>
      </w:r>
    </w:p>
    <w:p>
      <w:pPr>
        <w:jc w:val="right"/>
      </w:pPr>
      <w:r>
        <w:rPr>
          <w:rFonts w:ascii="宋体" w:hAnsi="宋体" w:cs="宋体" w:eastAsia="宋体"/>
          <w:b w:val="true"/>
        </w:rPr>
        <w:t>二〇二六年一月二十二日</w:t>
      </w:r>
    </w:p>
    <w:sectPr w:rsidR="00396EB6" w:rsidSect="000B0ABB">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1C5DF" w14:textId="77777777" w:rsidR="00CF2DE6" w:rsidRDefault="00CF2DE6">
      <w:r>
        <w:separator/>
      </w:r>
    </w:p>
  </w:endnote>
  <w:endnote w:type="continuationSeparator" w:id="0">
    <w:p w14:paraId="7F07E51B" w14:textId="77777777" w:rsidR="00CF2DE6" w:rsidRDefault="00CF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6F2E" w14:textId="77777777" w:rsidR="00210325" w:rsidRDefault="0021032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0235" w14:textId="1E8BACBC" w:rsidR="00396EB6" w:rsidRPr="00BB3931" w:rsidRDefault="00315609">
    <w:pPr>
      <w:pBdr>
        <w:top w:val="single" w:sz="2" w:space="0" w:color="auto"/>
      </w:pBdr>
      <w:tabs>
        <w:tab w:val="right" w:pos="8640"/>
      </w:tabs>
      <w:jc w:val="center"/>
      <w:textAlignment w:val="center"/>
      <w:rPr>
        <w:rFonts w:ascii="宋体" w:eastAsia="宋体" w:hAnsi="宋体"/>
        <w:sz w:val="20"/>
        <w:szCs w:val="20"/>
      </w:rPr>
    </w:pPr>
    <w:r w:rsidRPr="00BB3931">
      <w:rPr>
        <w:rFonts w:ascii="宋体" w:eastAsia="宋体" w:hAnsi="宋体" w:cs="宋体" w:hint="eastAsia"/>
        <w:sz w:val="20"/>
        <w:szCs w:val="20"/>
        <w:lang w:bidi="ar"/>
      </w:rPr>
      <w:t>第</w:t>
    </w:r>
    <w:r w:rsidRPr="00BB3931">
      <w:rPr>
        <w:rFonts w:ascii="宋体" w:eastAsia="宋体" w:hAnsi="宋体" w:cs="Times New Roman" w:hint="eastAsia"/>
        <w:sz w:val="20"/>
        <w:szCs w:val="20"/>
        <w:lang w:bidi="ar"/>
      </w:rPr>
      <w:fldChar w:fldCharType="begin"/>
    </w:r>
    <w:r w:rsidRPr="00BB3931">
      <w:rPr>
        <w:rFonts w:ascii="宋体" w:eastAsia="宋体" w:hAnsi="宋体" w:cs="宋体" w:hint="eastAsia"/>
        <w:sz w:val="20"/>
        <w:szCs w:val="20"/>
        <w:lang w:bidi="ar"/>
      </w:rPr>
      <w:instrText>PAGE  \* MERGEFORMAT</w:instrText>
    </w:r>
    <w:r w:rsidRPr="00BB3931">
      <w:rPr>
        <w:rFonts w:ascii="宋体" w:eastAsia="宋体" w:hAnsi="宋体" w:cs="Times New Roman" w:hint="eastAsia"/>
        <w:sz w:val="20"/>
        <w:szCs w:val="20"/>
        <w:lang w:bidi="ar"/>
      </w:rPr>
      <w:fldChar w:fldCharType="separate"/>
    </w:r>
    <w:r w:rsidR="00421707" w:rsidRPr="00BB3931">
      <w:rPr>
        <w:rFonts w:ascii="宋体" w:eastAsia="宋体" w:hAnsi="宋体" w:cs="宋体"/>
        <w:noProof/>
        <w:sz w:val="20"/>
        <w:szCs w:val="20"/>
        <w:lang w:bidi="ar"/>
      </w:rPr>
      <w:t>2</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r w:rsidR="00FA6399" w:rsidRPr="00BB3931">
      <w:rPr>
        <w:rFonts w:ascii="宋体" w:eastAsia="宋体" w:hAnsi="宋体" w:cs="宋体" w:hint="eastAsia"/>
        <w:sz w:val="20"/>
        <w:szCs w:val="20"/>
        <w:lang w:bidi="ar"/>
      </w:rPr>
      <w:t>，</w:t>
    </w:r>
    <w:r w:rsidRPr="00BB3931">
      <w:rPr>
        <w:rFonts w:ascii="宋体" w:eastAsia="宋体" w:hAnsi="宋体" w:cs="宋体" w:hint="eastAsia"/>
        <w:sz w:val="20"/>
        <w:szCs w:val="20"/>
        <w:lang w:bidi="ar"/>
      </w:rPr>
      <w:t>共</w:t>
    </w:r>
    <w:r w:rsidRPr="00BB3931">
      <w:rPr>
        <w:rFonts w:ascii="宋体" w:eastAsia="宋体" w:hAnsi="宋体" w:cs="Times New Roman" w:hint="eastAsia"/>
        <w:sz w:val="20"/>
        <w:szCs w:val="20"/>
        <w:lang w:bidi="ar"/>
      </w:rPr>
      <w:fldChar w:fldCharType="begin"/>
    </w:r>
    <w:r w:rsidR="00210325" w:rsidRPr="00BB3931">
      <w:rPr>
        <w:rFonts w:ascii="宋体" w:eastAsia="宋体" w:hAnsi="宋体" w:cs="Times New Roman"/>
        <w:sz w:val="20"/>
        <w:szCs w:val="20"/>
        <w:lang w:bidi="ar"/>
      </w:rPr>
      <w:instrText>=</w:instrText>
    </w:r>
    <w:r w:rsidR="00210325" w:rsidRPr="00BB3931">
      <w:rPr>
        <w:rFonts w:ascii="宋体" w:eastAsia="宋体" w:hAnsi="宋体" w:cs="宋体"/>
        <w:sz w:val="20"/>
        <w:szCs w:val="20"/>
        <w:lang w:bidi="ar"/>
      </w:rPr>
      <w:fldChar w:fldCharType="begin"/>
    </w:r>
    <w:r w:rsidR="00210325" w:rsidRPr="00BB3931">
      <w:rPr>
        <w:rFonts w:ascii="宋体" w:eastAsia="宋体" w:hAnsi="宋体" w:cs="宋体"/>
        <w:sz w:val="20"/>
        <w:szCs w:val="20"/>
        <w:lang w:bidi="ar"/>
      </w:rPr>
      <w:instrText xml:space="preserve"> </w:instrText>
    </w:r>
    <w:r w:rsidRPr="00BB3931">
      <w:rPr>
        <w:rFonts w:ascii="宋体" w:eastAsia="宋体" w:hAnsi="宋体" w:cs="宋体" w:hint="eastAsia"/>
        <w:sz w:val="20"/>
        <w:szCs w:val="20"/>
        <w:lang w:bidi="ar"/>
      </w:rPr>
      <w:instrText>NUMPAGES</w:instrText>
    </w:r>
    <w:r w:rsidR="00210325" w:rsidRPr="00BB3931">
      <w:rPr>
        <w:rFonts w:ascii="宋体" w:eastAsia="宋体" w:hAnsi="宋体" w:cs="宋体"/>
        <w:sz w:val="20"/>
        <w:szCs w:val="20"/>
        <w:lang w:bidi="ar"/>
      </w:rPr>
      <w:instrText xml:space="preserve"> </w:instrText>
    </w:r>
    <w:r w:rsidR="00210325" w:rsidRPr="00BB3931">
      <w:rPr>
        <w:rFonts w:ascii="宋体" w:eastAsia="宋体" w:hAnsi="宋体" w:cs="宋体"/>
        <w:sz w:val="20"/>
        <w:szCs w:val="20"/>
        <w:lang w:bidi="ar"/>
      </w:rPr>
      <w:fldChar w:fldCharType="separate"/>
    </w:r>
    <w:r w:rsidR="00F07C93">
      <w:rPr>
        <w:rFonts w:ascii="宋体" w:eastAsia="宋体" w:hAnsi="宋体" w:cs="宋体"/>
        <w:noProof/>
        <w:sz w:val="20"/>
        <w:szCs w:val="20"/>
        <w:lang w:bidi="ar"/>
      </w:rPr>
      <w:instrText>2</w:instrText>
    </w:r>
    <w:r w:rsidR="00210325" w:rsidRPr="00BB3931">
      <w:rPr>
        <w:rFonts w:ascii="宋体" w:eastAsia="宋体" w:hAnsi="宋体" w:cs="宋体"/>
        <w:sz w:val="20"/>
        <w:szCs w:val="20"/>
        <w:lang w:bidi="ar"/>
      </w:rPr>
      <w:fldChar w:fldCharType="end"/>
    </w:r>
    <w:r w:rsidR="00210325" w:rsidRPr="00BB3931">
      <w:rPr>
        <w:rFonts w:ascii="宋体" w:eastAsia="宋体" w:hAnsi="宋体" w:cs="宋体"/>
        <w:sz w:val="20"/>
        <w:szCs w:val="20"/>
        <w:lang w:bidi="ar"/>
      </w:rPr>
      <w:instrText>-1</w:instrText>
    </w:r>
    <w:r w:rsidRPr="00BB3931">
      <w:rPr>
        <w:rFonts w:ascii="宋体" w:eastAsia="宋体" w:hAnsi="宋体" w:cs="Times New Roman" w:hint="eastAsia"/>
        <w:sz w:val="20"/>
        <w:szCs w:val="20"/>
        <w:lang w:bidi="ar"/>
      </w:rPr>
      <w:fldChar w:fldCharType="separate"/>
    </w:r>
    <w:r w:rsidR="00F07C93">
      <w:rPr>
        <w:rFonts w:ascii="宋体" w:eastAsia="宋体" w:hAnsi="宋体" w:cs="Times New Roman"/>
        <w:noProof/>
        <w:sz w:val="20"/>
        <w:szCs w:val="20"/>
        <w:lang w:bidi="ar"/>
      </w:rPr>
      <w:t>1</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4EC9" w14:textId="77777777" w:rsidR="00210325" w:rsidRDefault="0021032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83EB" w14:textId="77777777" w:rsidR="00CF2DE6" w:rsidRDefault="00CF2DE6">
      <w:r>
        <w:separator/>
      </w:r>
    </w:p>
  </w:footnote>
  <w:footnote w:type="continuationSeparator" w:id="0">
    <w:p w14:paraId="6110B940" w14:textId="77777777" w:rsidR="00CF2DE6" w:rsidRDefault="00CF2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B55B" w14:textId="77777777" w:rsidR="00210325" w:rsidRDefault="0021032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8A64" w14:textId="77777777" w:rsidR="00396EB6" w:rsidRPr="00A53CFE" w:rsidRDefault="00315609">
    <w:pPr>
      <w:pStyle w:val="af1"/>
      <w:pBdr>
        <w:bottom w:val="single" w:sz="4" w:space="1" w:color="auto"/>
      </w:pBdr>
      <w:jc w:val="right"/>
      <w:rPr>
        <w:rFonts w:ascii="宋体" w:eastAsia="宋体" w:hAnsi="宋体"/>
      </w:rPr>
    </w:pPr>
    <w:r w:rsidRPr="00A53CFE">
      <w:rPr>
        <w:rFonts w:ascii="宋体" w:eastAsia="宋体" w:hAnsi="宋体" w:hint="eastAsia"/>
        <w:sz w:val="18"/>
      </w:rPr>
      <w:t>东方阿尔法招阳混合型证券投资基金2025年第4季度报告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E7EB" w14:textId="77777777" w:rsidR="00210325" w:rsidRDefault="00210325">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FFCBC"/>
  <w15:docId w15:val="{D89B03D2-9D7D-433E-9AEE-2EA6D7CF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TOC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TOC2">
    <w:name w:val="toc 2"/>
    <w:basedOn w:val="a"/>
    <w:next w:val="a"/>
    <w:autoRedefine/>
    <w:uiPriority w:val="39"/>
    <w:unhideWhenUsed/>
    <w:rsid w:val="002E045B"/>
    <w:pPr>
      <w:spacing w:line="240" w:lineRule="auto"/>
      <w:ind w:left="210"/>
      <w:jc w:val="left"/>
    </w:pPr>
    <w:rPr>
      <w:smallCaps/>
      <w:szCs w:val="20"/>
    </w:rPr>
  </w:style>
  <w:style w:type="paragraph" w:styleId="TOC3">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4">
    <w:name w:val="toc 4"/>
    <w:basedOn w:val="a"/>
    <w:next w:val="a"/>
    <w:autoRedefine/>
    <w:uiPriority w:val="39"/>
    <w:unhideWhenUsed/>
    <w:rsid w:val="001A4FE5"/>
    <w:pPr>
      <w:ind w:left="630"/>
      <w:jc w:val="left"/>
    </w:pPr>
    <w:rPr>
      <w:sz w:val="18"/>
      <w:szCs w:val="18"/>
    </w:rPr>
  </w:style>
  <w:style w:type="paragraph" w:styleId="TOC5">
    <w:name w:val="toc 5"/>
    <w:basedOn w:val="a"/>
    <w:next w:val="a"/>
    <w:autoRedefine/>
    <w:uiPriority w:val="39"/>
    <w:unhideWhenUsed/>
    <w:rsid w:val="001A4FE5"/>
    <w:pPr>
      <w:ind w:left="840"/>
      <w:jc w:val="left"/>
    </w:pPr>
    <w:rPr>
      <w:sz w:val="18"/>
      <w:szCs w:val="18"/>
    </w:rPr>
  </w:style>
  <w:style w:type="paragraph" w:styleId="TOC6">
    <w:name w:val="toc 6"/>
    <w:basedOn w:val="a"/>
    <w:next w:val="a"/>
    <w:autoRedefine/>
    <w:uiPriority w:val="39"/>
    <w:unhideWhenUsed/>
    <w:rsid w:val="001A4FE5"/>
    <w:pPr>
      <w:ind w:left="1050"/>
      <w:jc w:val="left"/>
    </w:pPr>
    <w:rPr>
      <w:sz w:val="18"/>
      <w:szCs w:val="18"/>
    </w:rPr>
  </w:style>
  <w:style w:type="paragraph" w:styleId="TOC7">
    <w:name w:val="toc 7"/>
    <w:basedOn w:val="a"/>
    <w:next w:val="a"/>
    <w:autoRedefine/>
    <w:uiPriority w:val="39"/>
    <w:unhideWhenUsed/>
    <w:rsid w:val="001A4FE5"/>
    <w:pPr>
      <w:ind w:left="1260"/>
      <w:jc w:val="left"/>
    </w:pPr>
    <w:rPr>
      <w:sz w:val="18"/>
      <w:szCs w:val="18"/>
    </w:rPr>
  </w:style>
  <w:style w:type="paragraph" w:styleId="TOC8">
    <w:name w:val="toc 8"/>
    <w:basedOn w:val="a"/>
    <w:next w:val="a"/>
    <w:autoRedefine/>
    <w:uiPriority w:val="39"/>
    <w:unhideWhenUsed/>
    <w:rsid w:val="000160C2"/>
    <w:pPr>
      <w:ind w:left="1470"/>
      <w:jc w:val="left"/>
    </w:pPr>
    <w:rPr>
      <w:rFonts w:eastAsiaTheme="minorHAnsi"/>
      <w:sz w:val="18"/>
      <w:szCs w:val="18"/>
    </w:rPr>
  </w:style>
  <w:style w:type="paragraph" w:styleId="TOC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 w:type="paragraph" w:customStyle="1" w:styleId="zhangjiep2">
    <w:name w:val="zhangjie_p2"/>
    <w:basedOn w:val="a"/>
    <w:next w:val="a"/>
    <w:autoRedefine/>
    <w:qFormat/>
    <w:rsid w:val="00BB5D3E"/>
    <w:pPr>
      <w:spacing w:line="240" w:lineRule="auto"/>
      <w:jc w:val="left"/>
    </w:pPr>
    <w:rPr>
      <w:bCs/>
      <w:i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18" Target="media/image3.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2024-12-03T03:02:00Z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