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东方阿尔法优势产业混合型发起式证券投资基金（C类份额）基金产品资料概要更新</w:t>
      </w:r>
    </w:p>
    <w:p>
      <w:pPr>
        <w:jc w:val="right"/>
      </w:pPr>
      <w:r>
        <w:rPr>
          <w:rFonts w:ascii="宋体" w:hAnsi="宋体" w:cs="宋体" w:eastAsia="宋体"/>
          <w:b w:val="false"/>
        </w:rPr>
        <w:t>编制日期：2026年01月29日</w:t>
      </w:r>
    </w:p>
    <w:p>
      <w:pPr>
        <w:jc w:val="center"/>
      </w:pPr>
      <w:r>
        <w:rPr>
          <w:rFonts w:ascii="宋体" w:hAnsi="宋体" w:cs="宋体" w:eastAsia="宋体"/>
          <w:b w:val="false"/>
        </w:rPr>
        <w:t>送出日期：2026年01月30日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东方阿尔法优势产业混合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009644</w:t>
            </w:r>
          </w:p>
        </w:tc>
      </w:tr>
      <w:tr>
        <w:tc>
          <w:tcPr>
            <w:tcW/>
            <w:vAlign w:val="center"/>
          </w:tcPr>
          <w:p>
            <w:pPr>
              <w:spacing w:line="240" w:lineRule="auto"/>
              <w:jc w:val="left"/>
            </w:pPr>
            <w:r>
              <w:rPr>
                <w:rFonts w:ascii="宋体" w:hAnsi="宋体" w:cs="宋体" w:eastAsia="宋体"/>
                <w:b w:val="true"/>
              </w:rPr>
              <w:t>基金简称C</w:t>
            </w:r>
          </w:p>
        </w:tc>
        <w:tc>
          <w:tcPr>
            <w:tcW/>
            <w:vAlign w:val="center"/>
          </w:tcPr>
          <w:p>
            <w:pPr>
              <w:spacing w:line="240" w:lineRule="auto"/>
              <w:jc w:val="left"/>
            </w:pPr>
            <w:r>
              <w:rPr>
                <w:rFonts w:ascii="宋体" w:hAnsi="宋体" w:cs="宋体" w:eastAsia="宋体"/>
                <w:b w:val="false"/>
              </w:rPr>
              <w:t>东方阿尔法优势产业混合C</w:t>
            </w:r>
          </w:p>
        </w:tc>
        <w:tc>
          <w:tcPr>
            <w:tcW/>
            <w:vAlign w:val="center"/>
          </w:tcPr>
          <w:p>
            <w:pPr>
              <w:spacing w:line="240" w:lineRule="auto"/>
              <w:jc w:val="left"/>
            </w:pPr>
            <w:r>
              <w:rPr>
                <w:rFonts w:ascii="宋体" w:hAnsi="宋体" w:cs="宋体" w:eastAsia="宋体"/>
                <w:b w:val="true"/>
              </w:rPr>
              <w:t>基金代码C</w:t>
            </w:r>
          </w:p>
        </w:tc>
        <w:tc>
          <w:tcPr>
            <w:tcW/>
            <w:vAlign w:val="center"/>
          </w:tcPr>
          <w:p>
            <w:pPr>
              <w:spacing w:line="240" w:lineRule="auto"/>
              <w:jc w:val="left"/>
            </w:pPr>
            <w:r>
              <w:rPr>
                <w:rFonts w:ascii="宋体" w:hAnsi="宋体" w:cs="宋体" w:eastAsia="宋体"/>
                <w:b w:val="false"/>
              </w:rPr>
              <w:t>009645</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2020年06月28日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2025年11月05日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2026年01月28日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2016年06月06日</w:t>
            </w:r>
          </w:p>
        </w:tc>
      </w:tr>
    </w:tbl>
    <w:p>
      <w:r>
        <w:rPr>
          <w:rFonts w:ascii="宋体" w:hAnsi="宋体" w:cs="宋体" w:eastAsia="宋体"/>
          <w:b w:val="false"/>
        </w:rPr>
        <w:t>注：本基金的基金类型为混合型（偏股混合型）</w:t>
      </w:r>
    </w:p>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详见《东方阿尔法优势产业混合型发起式证券投资基金招募说明书》第九部分“基金的投资”。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50%-95%，其中投资于本基金合同界定的优势产业主题相关证券的比例不低于非现金基金资产的80%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通过深入研究宏观经济转型、产业结构转型背景下的产业升级与变革，对受益于国家经济转型和政策环境改变的相关产业中的上市公司进行系统分析，从定性和定量结合的角度综合分析其成长性和投资价值。本基金采用自上而下的方法进行大类资产配置、行业配置，采用自下而上的方法精选个股。</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中证800指数收益率×70%+中证综合债券指数收益率×30%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C类份额无申购费</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销售服务费C类</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r>
              <w:rPr>
                <w:rFonts w:ascii="宋体" w:hAnsi="宋体" w:cs="宋体" w:eastAsia="宋体"/>
                <w:b w:val="false"/>
              </w:rPr>
              <w:t>销售机构</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73,000.00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基金份额持有人大会费用；基金的证券、期货交易费用；基金的银行汇划费用；基金的开户费用、账户维护费用；证券账户的开户费、账户维护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c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1.91%</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cr/>
      </w:r>
      <w:r>
        <w:rPr>
          <w:rFonts w:ascii="宋体" w:hAnsi="宋体" w:cs="宋体" w:eastAsia="宋体"/>
          <w:b w:val="false"/>
        </w:rPr>
        <w:t xml:space="preserve">    1、本基金特有风险</w:t>
        <w:cr/>
      </w:r>
      <w:r>
        <w:rPr>
          <w:rFonts w:ascii="宋体" w:hAnsi="宋体" w:cs="宋体" w:eastAsia="宋体"/>
          <w:b w:val="false"/>
        </w:rPr>
        <w:t xml:space="preserve">    （1）本基金投资于本基金《基金合同》界定的优势产业主题相关证券的比例不低于非现金基金资产的80%；同时，本基金投资于股票的比例占基金资产的50%-95%，投资集中度比较明显，股票市场的价格波动可能会导致基金净值发生剧烈波动的风险。</w:t>
        <w:cr/>
      </w:r>
      <w:r>
        <w:rPr>
          <w:rFonts w:ascii="宋体" w:hAnsi="宋体" w:cs="宋体" w:eastAsia="宋体"/>
          <w:b w:val="false"/>
        </w:rPr>
        <w:t xml:space="preserve">    （2）本基金为发起式基金，在基金合同生效三年后继续存续的，连续50个工作日出现基金份额持有人数量不满200人或者基金资产净值低于5000万元情形的，本基金将根据基金合同约定进入清算程序并终止，无需召开基金份额持有人大会进行表决。</w:t>
        <w:c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cr/>
      </w:r>
      <w:r>
        <w:rPr>
          <w:rFonts w:ascii="宋体" w:hAnsi="宋体" w:cs="宋体" w:eastAsia="宋体"/>
          <w:b w:val="false"/>
        </w:rPr>
        <w:t xml:space="preserve">    （4）本基金可投资股指期货，可能会出现的风险包括基差风险、合约品种差异造成的风险、标的物风险、衍生品模型风险等。</w:t>
        <w:cr/>
      </w:r>
      <w:r>
        <w:rPr>
          <w:rFonts w:ascii="宋体" w:hAnsi="宋体" w:cs="宋体" w:eastAsia="宋体"/>
          <w:b w:val="false"/>
        </w:rPr>
        <w:t xml:space="preserve">    （5）本基金可投资国债期货，国债期货的风险主要包含市场风险、流动性风险、信用风险、合规性风险以及国债期货实物交割风险等。</w:t>
        <w:cr/>
      </w:r>
      <w:r>
        <w:rPr>
          <w:rFonts w:ascii="宋体" w:hAnsi="宋体" w:cs="宋体" w:eastAsia="宋体"/>
          <w:b w:val="false"/>
        </w:rPr>
        <w:t xml:space="preserve">    （6）本基金可投资资产支持类证券，资产支持证券的风险主要包括信用风险、利率风险、流动性风险、提前偿付风险等。</w:t>
        <w:cr/>
      </w:r>
      <w:r>
        <w:rPr>
          <w:rFonts w:ascii="宋体" w:hAnsi="宋体" w:cs="宋体" w:eastAsia="宋体"/>
          <w:b w:val="false"/>
        </w:rPr>
        <w:t xml:space="preserve">    （7）本基金可参与融资交易，融资交易的风险主要包括流动性风险、信用风险等，这些风险可能会给基金净值带来一定的负面影响和损失。</w:t>
        <w:cr/>
      </w:r>
      <w:r>
        <w:rPr>
          <w:rFonts w:ascii="宋体" w:hAnsi="宋体" w:cs="宋体" w:eastAsia="宋体"/>
          <w:b w:val="false"/>
        </w:rPr>
        <w:t xml:space="preserve">    （8）本基金的投资范围包括存托凭证，如果投资，可能面临存托凭证价格大幅波动甚至出现较大亏损的风险，以及与创新企业发行人、境外发行人、存托凭证发行机制和交易机制等相关的风险。</w:t>
        <w:cr/>
      </w:r>
      <w:r>
        <w:rPr>
          <w:rFonts w:ascii="宋体" w:hAnsi="宋体" w:cs="宋体" w:eastAsia="宋体"/>
          <w:b w:val="false"/>
        </w:rPr>
        <w:t xml:space="preserve">    （9）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cr/>
      </w:r>
      <w:r>
        <w:rPr>
          <w:rFonts w:ascii="宋体" w:hAnsi="宋体" w:cs="宋体" w:eastAsia="宋体"/>
          <w:b w:val="false"/>
        </w:rPr>
        <w:t xml:space="preserve">    2、开放式基金的共有风险：市场风险、管理风险、职业道德风险、流动性风险、合规风险、投资管理风险、操作和技术风险以及不可抗力可能导致的其他风险。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c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c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cr/>
      </w:r>
      <w:r>
        <w:rPr>
          <w:rFonts w:ascii="宋体" w:hAnsi="宋体" w:cs="宋体" w:eastAsia="宋体"/>
          <w:b w:val="false"/>
        </w:rPr>
        <w:t xml:space="preserve">    （1）基金合同、托管协议、招募说明书</w:t>
        <w:cr/>
      </w:r>
      <w:r>
        <w:rPr>
          <w:rFonts w:ascii="宋体" w:hAnsi="宋体" w:cs="宋体" w:eastAsia="宋体"/>
          <w:b w:val="false"/>
        </w:rPr>
        <w:t xml:space="preserve">    （2）定期报告，包括基金季度报告、中期报告和年度报告</w:t>
        <w:cr/>
      </w:r>
      <w:r>
        <w:rPr>
          <w:rFonts w:ascii="宋体" w:hAnsi="宋体" w:cs="宋体" w:eastAsia="宋体"/>
          <w:b w:val="false"/>
        </w:rPr>
        <w:t xml:space="preserve">    （3）基金份额净值</w:t>
        <w:cr/>
      </w:r>
      <w:r>
        <w:rPr>
          <w:rFonts w:ascii="宋体" w:hAnsi="宋体" w:cs="宋体" w:eastAsia="宋体"/>
          <w:b w:val="false"/>
        </w:rPr>
        <w:t xml:space="preserve">    （4）基金销售机构及联系方式</w:t>
        <w:c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东方阿尔法优势产业混合型发起式证券投资基金（C类份额）基金产品资料概要更新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